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4D4B"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PRECIO DE LA VIVIENDA DE COMPRA CON GARAJE</w:t>
      </w:r>
    </w:p>
    <w:p w14:paraId="00000002" w14:textId="77777777" w:rsidR="005D4D4B" w:rsidRDefault="00000000">
      <w:pPr>
        <w:shd w:val="clear" w:color="auto" w:fill="FFFFFF"/>
        <w:ind w:right="-574"/>
        <w:jc w:val="center"/>
        <w:rPr>
          <w:rFonts w:ascii="National" w:eastAsia="National" w:hAnsi="National" w:cs="National"/>
          <w:b/>
          <w:color w:val="303AB2"/>
          <w:sz w:val="54"/>
          <w:szCs w:val="54"/>
        </w:rPr>
      </w:pPr>
      <w:r>
        <w:rPr>
          <w:rFonts w:ascii="National" w:eastAsia="National" w:hAnsi="National" w:cs="National"/>
          <w:b/>
          <w:color w:val="303AB2"/>
          <w:sz w:val="54"/>
          <w:szCs w:val="54"/>
        </w:rPr>
        <w:t>Una plaza de garaje incrementa el valor de un piso un 7,5% en España</w:t>
      </w:r>
    </w:p>
    <w:p w14:paraId="00000003" w14:textId="77777777" w:rsidR="005D4D4B" w:rsidRDefault="005D4D4B">
      <w:pPr>
        <w:spacing w:line="276" w:lineRule="auto"/>
        <w:ind w:right="-574"/>
        <w:jc w:val="both"/>
        <w:rPr>
          <w:rFonts w:ascii="Open Sans" w:eastAsia="Open Sans" w:hAnsi="Open Sans" w:cs="Open Sans"/>
          <w:color w:val="303AB2"/>
        </w:rPr>
      </w:pPr>
    </w:p>
    <w:p w14:paraId="00000004" w14:textId="77777777" w:rsidR="005D4D4B"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highlight w:val="white"/>
        </w:rPr>
        <w:t>El precio medio de una vivienda en España se sitúa en 196.700 euros, mientras que el precio de un piso con garaje supera los 211.500 euros</w:t>
      </w:r>
    </w:p>
    <w:p w14:paraId="00000005" w14:textId="77777777" w:rsidR="005D4D4B"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En siete comunidades autónomas el precio de la vivienda con garaje se incrementa por encima del 10% </w:t>
      </w:r>
    </w:p>
    <w:p w14:paraId="00000006" w14:textId="77777777" w:rsidR="005D4D4B"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Extremadura en la comunidad que más se incrementa el precio de una vivienda con garaje (15,7%)</w:t>
      </w:r>
    </w:p>
    <w:p w14:paraId="00000007" w14:textId="77777777" w:rsidR="005D4D4B"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Madrid (3,8%), Baleares (5,4%) y Cataluña (6,3%) son las comunidades en las que menos se incrementa el valor de un inmueble con garaje</w:t>
      </w:r>
    </w:p>
    <w:p w14:paraId="00000008" w14:textId="77777777" w:rsidR="005D4D4B" w:rsidRDefault="005D4D4B">
      <w:pPr>
        <w:spacing w:line="276" w:lineRule="auto"/>
        <w:ind w:right="-574"/>
        <w:jc w:val="both"/>
        <w:rPr>
          <w:rFonts w:ascii="Open Sans" w:eastAsia="Open Sans" w:hAnsi="Open Sans" w:cs="Open Sans"/>
          <w:b/>
          <w:color w:val="303AB2"/>
        </w:rPr>
      </w:pPr>
    </w:p>
    <w:p w14:paraId="00000009" w14:textId="77777777" w:rsidR="005D4D4B" w:rsidRDefault="005D4D4B">
      <w:pPr>
        <w:spacing w:line="276" w:lineRule="auto"/>
        <w:ind w:right="-574"/>
        <w:jc w:val="both"/>
        <w:rPr>
          <w:rFonts w:ascii="Open Sans" w:eastAsia="Open Sans" w:hAnsi="Open Sans" w:cs="Open Sans"/>
          <w:b/>
          <w:color w:val="303AB2"/>
        </w:rPr>
      </w:pPr>
    </w:p>
    <w:p w14:paraId="0000000A" w14:textId="77777777" w:rsidR="005D4D4B" w:rsidRDefault="00000000">
      <w:pPr>
        <w:spacing w:line="276" w:lineRule="auto"/>
        <w:ind w:right="-574"/>
        <w:jc w:val="both"/>
        <w:rPr>
          <w:rFonts w:ascii="Open Sans" w:eastAsia="Open Sans" w:hAnsi="Open Sans" w:cs="Open Sans"/>
          <w:b/>
          <w:color w:val="303AB2"/>
        </w:rPr>
      </w:pPr>
      <w:r>
        <w:rPr>
          <w:rFonts w:ascii="Open Sans" w:eastAsia="Open Sans" w:hAnsi="Open Sans" w:cs="Open Sans"/>
          <w:b/>
          <w:color w:val="303AB2"/>
        </w:rPr>
        <w:t>Madrid, 3 de abril de 2025</w:t>
      </w:r>
    </w:p>
    <w:p w14:paraId="0000000B" w14:textId="77777777" w:rsidR="005D4D4B" w:rsidRDefault="005D4D4B">
      <w:pPr>
        <w:spacing w:line="276" w:lineRule="auto"/>
        <w:ind w:right="-574"/>
        <w:jc w:val="both"/>
        <w:rPr>
          <w:rFonts w:ascii="Open Sans" w:eastAsia="Open Sans" w:hAnsi="Open Sans" w:cs="Open Sans"/>
          <w:color w:val="30302E"/>
          <w:sz w:val="22"/>
          <w:szCs w:val="22"/>
        </w:rPr>
      </w:pPr>
    </w:p>
    <w:p w14:paraId="0000000C" w14:textId="77777777" w:rsidR="005D4D4B"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los últimos años, las plazas de garaje han registrado una alta demanda y se han convertido en un activo estrella en el mercado inmobiliario y el hecho de que una vivienda cuente con una plaza de garaje la revaloriza significativamente. Así, </w:t>
      </w:r>
      <w:r>
        <w:rPr>
          <w:rFonts w:ascii="Open Sans" w:eastAsia="Open Sans" w:hAnsi="Open Sans" w:cs="Open Sans"/>
          <w:b/>
          <w:sz w:val="22"/>
          <w:szCs w:val="22"/>
        </w:rPr>
        <w:t>una plaza de garaje incrementa el valor de un piso hasta un 7,5% de media en España</w:t>
      </w:r>
      <w:r>
        <w:rPr>
          <w:rFonts w:ascii="Open Sans" w:eastAsia="Open Sans" w:hAnsi="Open Sans" w:cs="Open Sans"/>
          <w:sz w:val="22"/>
          <w:szCs w:val="22"/>
        </w:rPr>
        <w:t xml:space="preserve">, según los datos del portal inmobiliario </w:t>
      </w:r>
      <w:hyperlink r:id="rId8">
        <w:r w:rsidR="005D4D4B">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En este sentido, mientras el precio medio de una vivienda en España se sitúa en los 196.790 euros, el precio medio de un piso con garaje alcanza los 211.526 euros. </w:t>
      </w:r>
    </w:p>
    <w:p w14:paraId="0000000D" w14:textId="77777777" w:rsidR="005D4D4B" w:rsidRDefault="005D4D4B">
      <w:pPr>
        <w:spacing w:line="276" w:lineRule="auto"/>
        <w:ind w:right="-574"/>
        <w:jc w:val="both"/>
        <w:rPr>
          <w:rFonts w:ascii="Open Sans" w:eastAsia="Open Sans" w:hAnsi="Open Sans" w:cs="Open Sans"/>
          <w:sz w:val="22"/>
          <w:szCs w:val="22"/>
        </w:rPr>
      </w:pPr>
    </w:p>
    <w:p w14:paraId="0000000E" w14:textId="77777777" w:rsidR="005D4D4B"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incremento del valor de una vivienda con garaje registrado en 2025 (7,5%) es el más elevado desde 2018, cuando el valor de una vivienda que tenía garaje llegó a incrementar el precio total en un 8,5%. El máximo valor alcanzado de los últimos 10 años fue en 2016, cuando un garaje llegó a incrementar en un 10,5% el valor total de una vivienda. En aquel momento (2016) el precio medio de una vivienda era de 128.700 € en España y con garaje se incrementaba hasta los 142.300 €. </w:t>
      </w:r>
    </w:p>
    <w:p w14:paraId="0000000F" w14:textId="77777777" w:rsidR="005D4D4B" w:rsidRDefault="005D4D4B">
      <w:pPr>
        <w:spacing w:line="276" w:lineRule="auto"/>
        <w:ind w:right="-574"/>
        <w:jc w:val="both"/>
        <w:rPr>
          <w:rFonts w:ascii="Open Sans" w:eastAsia="Open Sans" w:hAnsi="Open Sans" w:cs="Open Sans"/>
          <w:sz w:val="22"/>
          <w:szCs w:val="22"/>
        </w:rPr>
      </w:pPr>
    </w:p>
    <w:p w14:paraId="00000010" w14:textId="77777777" w:rsidR="005D4D4B" w:rsidRDefault="005D4D4B">
      <w:pPr>
        <w:spacing w:line="276" w:lineRule="auto"/>
        <w:ind w:right="-574"/>
        <w:jc w:val="both"/>
        <w:rPr>
          <w:rFonts w:ascii="Open Sans" w:eastAsia="Open Sans" w:hAnsi="Open Sans" w:cs="Open Sans"/>
          <w:sz w:val="22"/>
          <w:szCs w:val="22"/>
        </w:rPr>
      </w:pPr>
    </w:p>
    <w:p w14:paraId="00000011" w14:textId="77777777" w:rsidR="005D4D4B" w:rsidRDefault="005D4D4B">
      <w:pPr>
        <w:spacing w:line="276" w:lineRule="auto"/>
        <w:ind w:right="-574"/>
        <w:jc w:val="both"/>
        <w:rPr>
          <w:rFonts w:ascii="Open Sans" w:eastAsia="Open Sans" w:hAnsi="Open Sans" w:cs="Open Sans"/>
          <w:sz w:val="22"/>
          <w:szCs w:val="22"/>
        </w:rPr>
      </w:pPr>
    </w:p>
    <w:p w14:paraId="00000012" w14:textId="77777777" w:rsidR="005D4D4B" w:rsidRDefault="00000000">
      <w:pPr>
        <w:spacing w:line="276" w:lineRule="auto"/>
        <w:ind w:right="-574"/>
        <w:rPr>
          <w:rFonts w:ascii="Open Sans" w:eastAsia="Open Sans" w:hAnsi="Open Sans" w:cs="Open Sans"/>
          <w:b/>
          <w:color w:val="303AB2"/>
          <w:sz w:val="26"/>
          <w:szCs w:val="26"/>
        </w:rPr>
      </w:pPr>
      <w:r>
        <w:rPr>
          <w:rFonts w:ascii="Open Sans" w:eastAsia="Open Sans" w:hAnsi="Open Sans" w:cs="Open Sans"/>
          <w:b/>
          <w:color w:val="303AB2"/>
          <w:sz w:val="26"/>
          <w:szCs w:val="26"/>
        </w:rPr>
        <w:lastRenderedPageBreak/>
        <w:t xml:space="preserve">     ¿Cuánto incrementa un garaje el valor total de una vivienda?</w:t>
      </w:r>
    </w:p>
    <w:p w14:paraId="00000013" w14:textId="77777777" w:rsidR="005D4D4B" w:rsidRDefault="005D4D4B">
      <w:pPr>
        <w:spacing w:line="276" w:lineRule="auto"/>
        <w:ind w:right="-574"/>
        <w:jc w:val="center"/>
        <w:rPr>
          <w:rFonts w:ascii="Open Sans" w:eastAsia="Open Sans" w:hAnsi="Open Sans" w:cs="Open Sans"/>
          <w:b/>
          <w:color w:val="303AB2"/>
          <w:sz w:val="28"/>
          <w:szCs w:val="28"/>
        </w:rPr>
      </w:pPr>
    </w:p>
    <w:p w14:paraId="00000014" w14:textId="77777777" w:rsidR="005D4D4B" w:rsidRDefault="00000000">
      <w:pPr>
        <w:spacing w:line="276" w:lineRule="auto"/>
        <w:ind w:right="-574"/>
        <w:jc w:val="both"/>
        <w:rPr>
          <w:rFonts w:ascii="Open Sans" w:eastAsia="Open Sans" w:hAnsi="Open Sans" w:cs="Open Sans"/>
          <w:sz w:val="22"/>
          <w:szCs w:val="22"/>
        </w:rPr>
      </w:pPr>
      <w:r>
        <w:rPr>
          <w:noProof/>
        </w:rPr>
        <w:drawing>
          <wp:inline distT="0" distB="0" distL="0" distR="0" wp14:anchorId="40BD06E1" wp14:editId="2EBDAC2C">
            <wp:extent cx="5585460" cy="2766060"/>
            <wp:effectExtent l="0" t="0" r="0" b="0"/>
            <wp:docPr id="2079366828" name="image1.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El contenido generado por IA puede ser incorrecto."/>
                    <pic:cNvPicPr preferRelativeResize="0"/>
                  </pic:nvPicPr>
                  <pic:blipFill>
                    <a:blip r:embed="rId9"/>
                    <a:srcRect/>
                    <a:stretch>
                      <a:fillRect/>
                    </a:stretch>
                  </pic:blipFill>
                  <pic:spPr>
                    <a:xfrm>
                      <a:off x="0" y="0"/>
                      <a:ext cx="5585460" cy="2766060"/>
                    </a:xfrm>
                    <a:prstGeom prst="rect">
                      <a:avLst/>
                    </a:prstGeom>
                    <a:ln/>
                  </pic:spPr>
                </pic:pic>
              </a:graphicData>
            </a:graphic>
          </wp:inline>
        </w:drawing>
      </w:r>
    </w:p>
    <w:p w14:paraId="00000015" w14:textId="77777777" w:rsidR="005D4D4B" w:rsidRDefault="005D4D4B">
      <w:pPr>
        <w:spacing w:line="276" w:lineRule="auto"/>
        <w:ind w:right="-574"/>
        <w:rPr>
          <w:rFonts w:ascii="Open Sans" w:eastAsia="Open Sans" w:hAnsi="Open Sans" w:cs="Open Sans"/>
          <w:sz w:val="22"/>
          <w:szCs w:val="22"/>
        </w:rPr>
      </w:pPr>
    </w:p>
    <w:p w14:paraId="00000016" w14:textId="77777777" w:rsidR="005D4D4B" w:rsidRDefault="00000000">
      <w:pPr>
        <w:spacing w:line="276" w:lineRule="auto"/>
        <w:ind w:right="-574"/>
        <w:rPr>
          <w:rFonts w:ascii="Open Sans" w:eastAsia="Open Sans" w:hAnsi="Open Sans" w:cs="Open Sans"/>
          <w:sz w:val="22"/>
          <w:szCs w:val="22"/>
        </w:rPr>
      </w:pPr>
      <w:r>
        <w:rPr>
          <w:rFonts w:ascii="Open Sans" w:eastAsia="Open Sans" w:hAnsi="Open Sans" w:cs="Open Sans"/>
          <w:sz w:val="22"/>
          <w:szCs w:val="22"/>
        </w:rPr>
        <w:t xml:space="preserve">    </w:t>
      </w:r>
    </w:p>
    <w:p w14:paraId="00000017" w14:textId="77777777" w:rsidR="005D4D4B" w:rsidRDefault="00000000">
      <w:pPr>
        <w:spacing w:line="276" w:lineRule="auto"/>
        <w:ind w:right="-574"/>
        <w:rPr>
          <w:rFonts w:ascii="Open Sans" w:eastAsia="Open Sans" w:hAnsi="Open Sans" w:cs="Open Sans"/>
          <w:b/>
          <w:color w:val="303AB2"/>
          <w:sz w:val="26"/>
          <w:szCs w:val="26"/>
        </w:rPr>
      </w:pPr>
      <w:r>
        <w:rPr>
          <w:rFonts w:ascii="Open Sans" w:eastAsia="Open Sans" w:hAnsi="Open Sans" w:cs="Open Sans"/>
          <w:b/>
          <w:color w:val="303AB2"/>
          <w:sz w:val="26"/>
          <w:szCs w:val="26"/>
        </w:rPr>
        <w:t>Evolución del precio de la vivienda en España con o sin garaje</w:t>
      </w:r>
    </w:p>
    <w:p w14:paraId="00000018"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tbl>
      <w:tblPr>
        <w:tblStyle w:val="af0"/>
        <w:tblW w:w="836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410"/>
        <w:gridCol w:w="2126"/>
        <w:gridCol w:w="2127"/>
      </w:tblGrid>
      <w:tr w:rsidR="005D4D4B" w14:paraId="6B30917B" w14:textId="77777777" w:rsidTr="005D4D4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0000019"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Año</w:t>
            </w:r>
          </w:p>
        </w:tc>
        <w:tc>
          <w:tcPr>
            <w:tcW w:w="2410" w:type="dxa"/>
            <w:vAlign w:val="center"/>
          </w:tcPr>
          <w:p w14:paraId="0000001A"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medio vivienda </w:t>
            </w:r>
          </w:p>
        </w:tc>
        <w:tc>
          <w:tcPr>
            <w:tcW w:w="2126" w:type="dxa"/>
            <w:vAlign w:val="center"/>
          </w:tcPr>
          <w:p w14:paraId="0000001B"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medio vivienda + garaje</w:t>
            </w:r>
          </w:p>
        </w:tc>
        <w:tc>
          <w:tcPr>
            <w:tcW w:w="2127" w:type="dxa"/>
            <w:vAlign w:val="center"/>
          </w:tcPr>
          <w:p w14:paraId="0000001C"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Incremento (%)</w:t>
            </w:r>
          </w:p>
        </w:tc>
      </w:tr>
      <w:tr w:rsidR="005D4D4B" w14:paraId="4149FC31"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1D"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2015</w:t>
            </w:r>
          </w:p>
        </w:tc>
        <w:tc>
          <w:tcPr>
            <w:tcW w:w="2410" w:type="dxa"/>
          </w:tcPr>
          <w:p w14:paraId="0000001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rPr>
              <w:t xml:space="preserve"> 130.168 € </w:t>
            </w:r>
          </w:p>
        </w:tc>
        <w:tc>
          <w:tcPr>
            <w:tcW w:w="2126" w:type="dxa"/>
          </w:tcPr>
          <w:p w14:paraId="0000001F"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rPr>
              <w:t xml:space="preserve"> 142.951 € </w:t>
            </w:r>
          </w:p>
        </w:tc>
        <w:tc>
          <w:tcPr>
            <w:tcW w:w="2127" w:type="dxa"/>
          </w:tcPr>
          <w:p w14:paraId="00000020"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rPr>
              <w:t>9,8%</w:t>
            </w:r>
          </w:p>
        </w:tc>
      </w:tr>
      <w:tr w:rsidR="005D4D4B" w14:paraId="4E5CBBD7"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21"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2016</w:t>
            </w:r>
          </w:p>
        </w:tc>
        <w:tc>
          <w:tcPr>
            <w:tcW w:w="2410" w:type="dxa"/>
          </w:tcPr>
          <w:p w14:paraId="0000002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128.769 € </w:t>
            </w:r>
          </w:p>
        </w:tc>
        <w:tc>
          <w:tcPr>
            <w:tcW w:w="2126" w:type="dxa"/>
          </w:tcPr>
          <w:p w14:paraId="00000023"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142.316 € </w:t>
            </w:r>
          </w:p>
        </w:tc>
        <w:tc>
          <w:tcPr>
            <w:tcW w:w="2127" w:type="dxa"/>
          </w:tcPr>
          <w:p w14:paraId="00000024"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10,5%</w:t>
            </w:r>
          </w:p>
        </w:tc>
      </w:tr>
      <w:tr w:rsidR="005D4D4B" w14:paraId="569F115A"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25"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2017</w:t>
            </w:r>
          </w:p>
        </w:tc>
        <w:tc>
          <w:tcPr>
            <w:tcW w:w="2410" w:type="dxa"/>
          </w:tcPr>
          <w:p w14:paraId="00000026"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132.925 € </w:t>
            </w:r>
          </w:p>
        </w:tc>
        <w:tc>
          <w:tcPr>
            <w:tcW w:w="2126" w:type="dxa"/>
          </w:tcPr>
          <w:p w14:paraId="00000027"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145.983 € </w:t>
            </w:r>
          </w:p>
        </w:tc>
        <w:tc>
          <w:tcPr>
            <w:tcW w:w="2127" w:type="dxa"/>
          </w:tcPr>
          <w:p w14:paraId="00000028"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9,8%</w:t>
            </w:r>
          </w:p>
        </w:tc>
      </w:tr>
      <w:tr w:rsidR="005D4D4B" w14:paraId="2F699944"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29"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2018</w:t>
            </w:r>
          </w:p>
        </w:tc>
        <w:tc>
          <w:tcPr>
            <w:tcW w:w="2410" w:type="dxa"/>
          </w:tcPr>
          <w:p w14:paraId="0000002A"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139.770 € </w:t>
            </w:r>
          </w:p>
        </w:tc>
        <w:tc>
          <w:tcPr>
            <w:tcW w:w="2126" w:type="dxa"/>
          </w:tcPr>
          <w:p w14:paraId="0000002B"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rPr>
              <w:t xml:space="preserve"> 151.617 € </w:t>
            </w:r>
          </w:p>
        </w:tc>
        <w:tc>
          <w:tcPr>
            <w:tcW w:w="2127" w:type="dxa"/>
          </w:tcPr>
          <w:p w14:paraId="0000002C"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8,5%</w:t>
            </w:r>
          </w:p>
        </w:tc>
      </w:tr>
      <w:tr w:rsidR="005D4D4B" w14:paraId="01298AF1"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2D"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2019</w:t>
            </w:r>
          </w:p>
        </w:tc>
        <w:tc>
          <w:tcPr>
            <w:tcW w:w="2410" w:type="dxa"/>
          </w:tcPr>
          <w:p w14:paraId="0000002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150.925 € </w:t>
            </w:r>
          </w:p>
        </w:tc>
        <w:tc>
          <w:tcPr>
            <w:tcW w:w="2126" w:type="dxa"/>
          </w:tcPr>
          <w:p w14:paraId="0000002F"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162.091 € </w:t>
            </w:r>
          </w:p>
        </w:tc>
        <w:tc>
          <w:tcPr>
            <w:tcW w:w="2127" w:type="dxa"/>
          </w:tcPr>
          <w:p w14:paraId="00000030"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7,4%</w:t>
            </w:r>
          </w:p>
        </w:tc>
      </w:tr>
      <w:tr w:rsidR="005D4D4B" w14:paraId="31C3ECBC"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31"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2020</w:t>
            </w:r>
          </w:p>
        </w:tc>
        <w:tc>
          <w:tcPr>
            <w:tcW w:w="2410" w:type="dxa"/>
          </w:tcPr>
          <w:p w14:paraId="0000003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147.434 € </w:t>
            </w:r>
          </w:p>
        </w:tc>
        <w:tc>
          <w:tcPr>
            <w:tcW w:w="2126" w:type="dxa"/>
          </w:tcPr>
          <w:p w14:paraId="00000033"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158.057 € </w:t>
            </w:r>
          </w:p>
        </w:tc>
        <w:tc>
          <w:tcPr>
            <w:tcW w:w="2127" w:type="dxa"/>
          </w:tcPr>
          <w:p w14:paraId="00000034"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7,2%</w:t>
            </w:r>
          </w:p>
        </w:tc>
      </w:tr>
      <w:tr w:rsidR="005D4D4B" w14:paraId="445DB014"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35"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2021</w:t>
            </w:r>
          </w:p>
        </w:tc>
        <w:tc>
          <w:tcPr>
            <w:tcW w:w="2410" w:type="dxa"/>
          </w:tcPr>
          <w:p w14:paraId="00000036"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150.618 € </w:t>
            </w:r>
          </w:p>
        </w:tc>
        <w:tc>
          <w:tcPr>
            <w:tcW w:w="2126" w:type="dxa"/>
          </w:tcPr>
          <w:p w14:paraId="00000037"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161.289 € </w:t>
            </w:r>
          </w:p>
        </w:tc>
        <w:tc>
          <w:tcPr>
            <w:tcW w:w="2127" w:type="dxa"/>
          </w:tcPr>
          <w:p w14:paraId="00000038"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7,1%</w:t>
            </w:r>
          </w:p>
        </w:tc>
      </w:tr>
      <w:tr w:rsidR="005D4D4B" w14:paraId="5938D50E"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39"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2022</w:t>
            </w:r>
          </w:p>
        </w:tc>
        <w:tc>
          <w:tcPr>
            <w:tcW w:w="2410" w:type="dxa"/>
          </w:tcPr>
          <w:p w14:paraId="0000003A"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151.844 € </w:t>
            </w:r>
          </w:p>
        </w:tc>
        <w:tc>
          <w:tcPr>
            <w:tcW w:w="2126" w:type="dxa"/>
          </w:tcPr>
          <w:p w14:paraId="0000003B"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rPr>
              <w:t xml:space="preserve"> 161.804 € </w:t>
            </w:r>
          </w:p>
        </w:tc>
        <w:tc>
          <w:tcPr>
            <w:tcW w:w="2127" w:type="dxa"/>
          </w:tcPr>
          <w:p w14:paraId="0000003C"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6,6%</w:t>
            </w:r>
          </w:p>
        </w:tc>
      </w:tr>
      <w:tr w:rsidR="005D4D4B" w14:paraId="74525DE3"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3D"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2023</w:t>
            </w:r>
          </w:p>
        </w:tc>
        <w:tc>
          <w:tcPr>
            <w:tcW w:w="2410" w:type="dxa"/>
          </w:tcPr>
          <w:p w14:paraId="0000003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166.858 € </w:t>
            </w:r>
          </w:p>
        </w:tc>
        <w:tc>
          <w:tcPr>
            <w:tcW w:w="2126" w:type="dxa"/>
          </w:tcPr>
          <w:p w14:paraId="0000003F"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rPr>
              <w:t xml:space="preserve"> 178.085 € </w:t>
            </w:r>
          </w:p>
        </w:tc>
        <w:tc>
          <w:tcPr>
            <w:tcW w:w="2127" w:type="dxa"/>
          </w:tcPr>
          <w:p w14:paraId="00000040"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6,7%</w:t>
            </w:r>
          </w:p>
        </w:tc>
      </w:tr>
      <w:tr w:rsidR="005D4D4B" w14:paraId="16E8CB92"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41"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2024</w:t>
            </w:r>
          </w:p>
        </w:tc>
        <w:tc>
          <w:tcPr>
            <w:tcW w:w="2410" w:type="dxa"/>
          </w:tcPr>
          <w:p w14:paraId="0000004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178.735 € </w:t>
            </w:r>
          </w:p>
        </w:tc>
        <w:tc>
          <w:tcPr>
            <w:tcW w:w="2126" w:type="dxa"/>
          </w:tcPr>
          <w:p w14:paraId="00000043"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192.035 € </w:t>
            </w:r>
          </w:p>
        </w:tc>
        <w:tc>
          <w:tcPr>
            <w:tcW w:w="2127" w:type="dxa"/>
          </w:tcPr>
          <w:p w14:paraId="00000044"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rPr>
              <w:t>7,4%</w:t>
            </w:r>
          </w:p>
        </w:tc>
      </w:tr>
      <w:tr w:rsidR="005D4D4B" w14:paraId="7BD66E7C"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000045" w14:textId="77777777" w:rsidR="005D4D4B" w:rsidRDefault="00000000">
            <w:pPr>
              <w:jc w:val="center"/>
              <w:rPr>
                <w:rFonts w:ascii="Open Sans" w:eastAsia="Open Sans" w:hAnsi="Open Sans" w:cs="Open Sans"/>
                <w:sz w:val="22"/>
                <w:szCs w:val="22"/>
              </w:rPr>
            </w:pPr>
            <w:r>
              <w:rPr>
                <w:rFonts w:ascii="Open Sans" w:eastAsia="Open Sans" w:hAnsi="Open Sans" w:cs="Open Sans"/>
                <w:b w:val="0"/>
                <w:sz w:val="22"/>
                <w:szCs w:val="22"/>
              </w:rPr>
              <w:t>2025</w:t>
            </w:r>
          </w:p>
        </w:tc>
        <w:tc>
          <w:tcPr>
            <w:tcW w:w="2410" w:type="dxa"/>
          </w:tcPr>
          <w:p w14:paraId="00000046"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196.790 € </w:t>
            </w:r>
          </w:p>
        </w:tc>
        <w:tc>
          <w:tcPr>
            <w:tcW w:w="2126" w:type="dxa"/>
          </w:tcPr>
          <w:p w14:paraId="00000047"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211.526 € </w:t>
            </w:r>
          </w:p>
        </w:tc>
        <w:tc>
          <w:tcPr>
            <w:tcW w:w="2127" w:type="dxa"/>
          </w:tcPr>
          <w:p w14:paraId="00000048"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7,5%</w:t>
            </w:r>
          </w:p>
        </w:tc>
      </w:tr>
    </w:tbl>
    <w:p w14:paraId="00000049"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4A"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4B"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4C"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4D" w14:textId="77777777" w:rsidR="005D4D4B" w:rsidRDefault="00000000">
      <w:pPr>
        <w:spacing w:line="276" w:lineRule="auto"/>
        <w:ind w:right="-574"/>
        <w:jc w:val="both"/>
        <w:rPr>
          <w:rFonts w:ascii="Open Sans" w:eastAsia="Open Sans" w:hAnsi="Open Sans" w:cs="Open Sans"/>
          <w:b/>
          <w:color w:val="303AB2"/>
        </w:rPr>
      </w:pPr>
      <w:r>
        <w:rPr>
          <w:rFonts w:ascii="Open Sans" w:eastAsia="Open Sans" w:hAnsi="Open Sans" w:cs="Open Sans"/>
          <w:sz w:val="22"/>
          <w:szCs w:val="22"/>
        </w:rPr>
        <w:lastRenderedPageBreak/>
        <w:t xml:space="preserve">“En los últimos años, el segmento de garajes se ha convertido en el inmueble estrella del mercado inmobiliario. De hecho, el aparcamiento incluido en la vivienda es la característica más buscada entre los demandantes de las grandes ciudades. Desde los últimos cuatro años, el coste de una plaza de garaje ha ido recuperando valor, aunque el beneficio añadido a la compra de vivienda aún no ha recuperado su máximo del 10,5%. Sin embargo, la revalorización de la vivienda debido al garaje es más alta por cualquier otro atributo adicional, como trastero, piscina o zonas ajardinadas. Este fenómeno se debe a la creciente demanda de estacionamiento en entornos urbanos, donde la escasez de plazas disponibles eleva su valor de manera sustancial. El millón de matriculaciones de vehículos en España ha impulsado la demanda de plazas de garaje convirtiéndose en un activo muy requerido, a la vez que revaloriza la vivienda a la que acompaña”, </w:t>
      </w:r>
      <w:r>
        <w:rPr>
          <w:rFonts w:ascii="Open Sans" w:eastAsia="Open Sans" w:hAnsi="Open Sans" w:cs="Open Sans"/>
          <w:b/>
          <w:sz w:val="22"/>
          <w:szCs w:val="22"/>
        </w:rPr>
        <w:t xml:space="preserve">comenta María Matos, directora de Estudios de </w:t>
      </w:r>
      <w:hyperlink r:id="rId10">
        <w:r w:rsidR="005D4D4B">
          <w:rPr>
            <w:rFonts w:ascii="Open Sans" w:eastAsia="Open Sans" w:hAnsi="Open Sans" w:cs="Open Sans"/>
            <w:b/>
            <w:color w:val="0000FF"/>
            <w:sz w:val="22"/>
            <w:szCs w:val="22"/>
            <w:u w:val="single"/>
          </w:rPr>
          <w:t>Fotocasa</w:t>
        </w:r>
      </w:hyperlink>
      <w:r>
        <w:rPr>
          <w:b/>
        </w:rPr>
        <w:t>.</w:t>
      </w:r>
    </w:p>
    <w:p w14:paraId="0000004E" w14:textId="77777777" w:rsidR="005D4D4B" w:rsidRDefault="005D4D4B">
      <w:pPr>
        <w:spacing w:line="276" w:lineRule="auto"/>
        <w:ind w:right="-574"/>
        <w:jc w:val="both"/>
        <w:rPr>
          <w:rFonts w:ascii="Open Sans" w:eastAsia="Open Sans" w:hAnsi="Open Sans" w:cs="Open Sans"/>
          <w:b/>
          <w:color w:val="303AB2"/>
        </w:rPr>
      </w:pPr>
    </w:p>
    <w:p w14:paraId="0000004F" w14:textId="77777777" w:rsidR="005D4D4B" w:rsidRDefault="00000000">
      <w:pPr>
        <w:spacing w:line="276" w:lineRule="auto"/>
        <w:ind w:right="-574"/>
        <w:jc w:val="both"/>
        <w:rPr>
          <w:rFonts w:ascii="Open Sans" w:eastAsia="Open Sans" w:hAnsi="Open Sans" w:cs="Open Sans"/>
          <w:b/>
          <w:color w:val="303AB2"/>
        </w:rPr>
      </w:pPr>
      <w:r>
        <w:rPr>
          <w:rFonts w:ascii="Open Sans" w:eastAsia="Open Sans" w:hAnsi="Open Sans" w:cs="Open Sans"/>
          <w:b/>
          <w:color w:val="303AB2"/>
        </w:rPr>
        <w:t>Extremadura, Castilla y León y Aragón, las comunidades donde más se incrementa el valor de la vivienda con garaje</w:t>
      </w:r>
    </w:p>
    <w:p w14:paraId="00000050"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51" w14:textId="61B3908B" w:rsidR="005D4D4B"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análisis realizado por </w:t>
      </w:r>
      <w:hyperlink r:id="rId11">
        <w:r w:rsidR="005D4D4B">
          <w:rPr>
            <w:rFonts w:ascii="Open Sans" w:eastAsia="Open Sans" w:hAnsi="Open Sans" w:cs="Open Sans"/>
            <w:color w:val="1155CC"/>
            <w:sz w:val="22"/>
            <w:szCs w:val="22"/>
            <w:u w:val="single"/>
          </w:rPr>
          <w:t>Fotocasa</w:t>
        </w:r>
      </w:hyperlink>
      <w:r>
        <w:t xml:space="preserve"> </w:t>
      </w:r>
      <w:r>
        <w:rPr>
          <w:rFonts w:ascii="Open Sans" w:eastAsia="Open Sans" w:hAnsi="Open Sans" w:cs="Open Sans"/>
          <w:sz w:val="22"/>
          <w:szCs w:val="22"/>
        </w:rPr>
        <w:t xml:space="preserve">muestra que hay </w:t>
      </w:r>
      <w:r w:rsidR="003050C1">
        <w:rPr>
          <w:rFonts w:ascii="Open Sans" w:eastAsia="Open Sans" w:hAnsi="Open Sans" w:cs="Open Sans"/>
          <w:sz w:val="22"/>
          <w:szCs w:val="22"/>
        </w:rPr>
        <w:t>siete comunidades en las</w:t>
      </w:r>
      <w:r>
        <w:rPr>
          <w:rFonts w:ascii="Open Sans" w:eastAsia="Open Sans" w:hAnsi="Open Sans" w:cs="Open Sans"/>
          <w:sz w:val="22"/>
          <w:szCs w:val="22"/>
        </w:rPr>
        <w:t xml:space="preserve"> que el hecho de contar con garaje eleva el precio más de un 10%. En concreto, </w:t>
      </w:r>
      <w:r>
        <w:rPr>
          <w:rFonts w:ascii="Open Sans" w:eastAsia="Open Sans" w:hAnsi="Open Sans" w:cs="Open Sans"/>
          <w:b/>
          <w:sz w:val="22"/>
          <w:szCs w:val="22"/>
        </w:rPr>
        <w:t>Extremadura</w:t>
      </w:r>
      <w:r>
        <w:rPr>
          <w:rFonts w:ascii="Open Sans" w:eastAsia="Open Sans" w:hAnsi="Open Sans" w:cs="Open Sans"/>
          <w:sz w:val="22"/>
          <w:szCs w:val="22"/>
        </w:rPr>
        <w:t xml:space="preserve"> es la comunidad que más un garaje más incrementa el precio de la vivienda, en concreto lo hace un 15,7%, seguido de </w:t>
      </w:r>
      <w:r>
        <w:rPr>
          <w:rFonts w:ascii="Open Sans" w:eastAsia="Open Sans" w:hAnsi="Open Sans" w:cs="Open Sans"/>
          <w:b/>
          <w:sz w:val="22"/>
          <w:szCs w:val="22"/>
        </w:rPr>
        <w:t>Castilla y León</w:t>
      </w:r>
      <w:r>
        <w:rPr>
          <w:rFonts w:ascii="Open Sans" w:eastAsia="Open Sans" w:hAnsi="Open Sans" w:cs="Open Sans"/>
          <w:sz w:val="22"/>
          <w:szCs w:val="22"/>
        </w:rPr>
        <w:t xml:space="preserve"> (12,1%), </w:t>
      </w:r>
      <w:r>
        <w:rPr>
          <w:rFonts w:ascii="Open Sans" w:eastAsia="Open Sans" w:hAnsi="Open Sans" w:cs="Open Sans"/>
          <w:b/>
          <w:sz w:val="22"/>
          <w:szCs w:val="22"/>
        </w:rPr>
        <w:t>Aragón</w:t>
      </w:r>
      <w:r>
        <w:rPr>
          <w:rFonts w:ascii="Open Sans" w:eastAsia="Open Sans" w:hAnsi="Open Sans" w:cs="Open Sans"/>
          <w:sz w:val="22"/>
          <w:szCs w:val="22"/>
        </w:rPr>
        <w:t xml:space="preserve"> (11,2%), </w:t>
      </w:r>
      <w:r>
        <w:rPr>
          <w:rFonts w:ascii="Open Sans" w:eastAsia="Open Sans" w:hAnsi="Open Sans" w:cs="Open Sans"/>
          <w:b/>
          <w:sz w:val="22"/>
          <w:szCs w:val="22"/>
        </w:rPr>
        <w:t>Galicia</w:t>
      </w:r>
      <w:r>
        <w:rPr>
          <w:rFonts w:ascii="Open Sans" w:eastAsia="Open Sans" w:hAnsi="Open Sans" w:cs="Open Sans"/>
          <w:sz w:val="22"/>
          <w:szCs w:val="22"/>
        </w:rPr>
        <w:t xml:space="preserve"> (11%), </w:t>
      </w:r>
      <w:r>
        <w:rPr>
          <w:rFonts w:ascii="Open Sans" w:eastAsia="Open Sans" w:hAnsi="Open Sans" w:cs="Open Sans"/>
          <w:b/>
          <w:sz w:val="22"/>
          <w:szCs w:val="22"/>
        </w:rPr>
        <w:t>Asturias</w:t>
      </w:r>
      <w:r>
        <w:rPr>
          <w:rFonts w:ascii="Open Sans" w:eastAsia="Open Sans" w:hAnsi="Open Sans" w:cs="Open Sans"/>
          <w:sz w:val="22"/>
          <w:szCs w:val="22"/>
        </w:rPr>
        <w:t xml:space="preserve"> (10,5%), </w:t>
      </w:r>
      <w:r>
        <w:rPr>
          <w:rFonts w:ascii="Open Sans" w:eastAsia="Open Sans" w:hAnsi="Open Sans" w:cs="Open Sans"/>
          <w:b/>
          <w:sz w:val="22"/>
          <w:szCs w:val="22"/>
        </w:rPr>
        <w:t>Castilla-La Mancha</w:t>
      </w:r>
      <w:r>
        <w:rPr>
          <w:rFonts w:ascii="Open Sans" w:eastAsia="Open Sans" w:hAnsi="Open Sans" w:cs="Open Sans"/>
          <w:sz w:val="22"/>
          <w:szCs w:val="22"/>
        </w:rPr>
        <w:t xml:space="preserve"> (10,4%) y </w:t>
      </w:r>
      <w:r>
        <w:rPr>
          <w:rFonts w:ascii="Open Sans" w:eastAsia="Open Sans" w:hAnsi="Open Sans" w:cs="Open Sans"/>
          <w:b/>
          <w:sz w:val="22"/>
          <w:szCs w:val="22"/>
        </w:rPr>
        <w:t>Cantabria</w:t>
      </w:r>
      <w:r>
        <w:rPr>
          <w:rFonts w:ascii="Open Sans" w:eastAsia="Open Sans" w:hAnsi="Open Sans" w:cs="Open Sans"/>
          <w:sz w:val="22"/>
          <w:szCs w:val="22"/>
        </w:rPr>
        <w:t xml:space="preserve"> (10%). </w:t>
      </w:r>
    </w:p>
    <w:p w14:paraId="00000052"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53" w14:textId="77777777" w:rsidR="005D4D4B"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otro extremo, </w:t>
      </w:r>
      <w:r>
        <w:rPr>
          <w:rFonts w:ascii="Open Sans" w:eastAsia="Open Sans" w:hAnsi="Open Sans" w:cs="Open Sans"/>
          <w:b/>
          <w:sz w:val="22"/>
          <w:szCs w:val="22"/>
        </w:rPr>
        <w:t>Madrid (3,8%), Baleares (5,4%), Cataluña (6,3%) y Canarias (6,6%)</w:t>
      </w:r>
      <w:r>
        <w:rPr>
          <w:rFonts w:ascii="Open Sans" w:eastAsia="Open Sans" w:hAnsi="Open Sans" w:cs="Open Sans"/>
          <w:sz w:val="22"/>
          <w:szCs w:val="22"/>
        </w:rPr>
        <w:t xml:space="preserve"> son las comunidades autónomas que registran una menor diferencia entre el precio de venta de la vivienda sin garaje y el valor de la vivienda con garaje, situándose por debajo de la media española (7,5%). </w:t>
      </w:r>
    </w:p>
    <w:p w14:paraId="00000054"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55" w14:textId="77777777" w:rsidR="005D4D4B" w:rsidRDefault="00000000">
      <w:pPr>
        <w:pBdr>
          <w:top w:val="nil"/>
          <w:left w:val="nil"/>
          <w:bottom w:val="nil"/>
          <w:right w:val="nil"/>
          <w:between w:val="nil"/>
        </w:pBdr>
        <w:spacing w:line="276" w:lineRule="auto"/>
        <w:ind w:right="-574"/>
        <w:jc w:val="center"/>
        <w:rPr>
          <w:rFonts w:ascii="Open Sans" w:eastAsia="Open Sans" w:hAnsi="Open Sans" w:cs="Open Sans"/>
          <w:b/>
          <w:color w:val="303AB2"/>
        </w:rPr>
      </w:pPr>
      <w:r>
        <w:rPr>
          <w:rFonts w:ascii="Open Sans" w:eastAsia="Open Sans" w:hAnsi="Open Sans" w:cs="Open Sans"/>
          <w:b/>
          <w:color w:val="303AB2"/>
        </w:rPr>
        <w:t>Incremento del precio de la vivienda con garaje por CC.AA.</w:t>
      </w:r>
    </w:p>
    <w:p w14:paraId="00000056"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b/>
          <w:sz w:val="22"/>
          <w:szCs w:val="22"/>
        </w:rPr>
      </w:pPr>
    </w:p>
    <w:tbl>
      <w:tblPr>
        <w:tblStyle w:val="af1"/>
        <w:tblW w:w="907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2410"/>
        <w:gridCol w:w="2693"/>
        <w:gridCol w:w="1984"/>
      </w:tblGrid>
      <w:tr w:rsidR="005D4D4B" w14:paraId="37EEDFEB" w14:textId="77777777" w:rsidTr="005D4D4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0000057" w14:textId="77777777" w:rsidR="005D4D4B" w:rsidRDefault="00000000">
            <w:pPr>
              <w:jc w:val="center"/>
              <w:rPr>
                <w:rFonts w:ascii="Open Sans" w:eastAsia="Open Sans" w:hAnsi="Open Sans" w:cs="Open Sans"/>
                <w:sz w:val="22"/>
                <w:szCs w:val="22"/>
              </w:rPr>
            </w:pPr>
            <w:r>
              <w:rPr>
                <w:rFonts w:ascii="Open Sans" w:eastAsia="Open Sans" w:hAnsi="Open Sans" w:cs="Open Sans"/>
                <w:sz w:val="22"/>
                <w:szCs w:val="22"/>
              </w:rPr>
              <w:t>CC.AA.</w:t>
            </w:r>
          </w:p>
        </w:tc>
        <w:tc>
          <w:tcPr>
            <w:tcW w:w="2410" w:type="dxa"/>
            <w:vAlign w:val="center"/>
          </w:tcPr>
          <w:p w14:paraId="00000058"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Precio medio vivienda </w:t>
            </w:r>
          </w:p>
        </w:tc>
        <w:tc>
          <w:tcPr>
            <w:tcW w:w="2693" w:type="dxa"/>
            <w:vAlign w:val="center"/>
          </w:tcPr>
          <w:p w14:paraId="00000059"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 medio vivienda + garaje</w:t>
            </w:r>
          </w:p>
        </w:tc>
        <w:tc>
          <w:tcPr>
            <w:tcW w:w="1984" w:type="dxa"/>
            <w:vAlign w:val="center"/>
          </w:tcPr>
          <w:p w14:paraId="0000005A"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Incremento (%)</w:t>
            </w:r>
          </w:p>
        </w:tc>
      </w:tr>
      <w:tr w:rsidR="005D4D4B" w14:paraId="6211079F"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5B"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Extremadura </w:t>
            </w:r>
          </w:p>
        </w:tc>
        <w:tc>
          <w:tcPr>
            <w:tcW w:w="2410" w:type="dxa"/>
          </w:tcPr>
          <w:p w14:paraId="0000005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 xml:space="preserve"> 97.745 € </w:t>
            </w:r>
          </w:p>
        </w:tc>
        <w:tc>
          <w:tcPr>
            <w:tcW w:w="2693" w:type="dxa"/>
          </w:tcPr>
          <w:p w14:paraId="0000005D"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 xml:space="preserve"> 113.120 € </w:t>
            </w:r>
          </w:p>
        </w:tc>
        <w:tc>
          <w:tcPr>
            <w:tcW w:w="1984" w:type="dxa"/>
          </w:tcPr>
          <w:p w14:paraId="0000005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t>15,7%</w:t>
            </w:r>
          </w:p>
        </w:tc>
      </w:tr>
      <w:tr w:rsidR="005D4D4B" w14:paraId="425E4304"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5F"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Castilla y León </w:t>
            </w:r>
          </w:p>
        </w:tc>
        <w:tc>
          <w:tcPr>
            <w:tcW w:w="2410" w:type="dxa"/>
          </w:tcPr>
          <w:p w14:paraId="0000006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125.379 € </w:t>
            </w:r>
          </w:p>
        </w:tc>
        <w:tc>
          <w:tcPr>
            <w:tcW w:w="2693" w:type="dxa"/>
          </w:tcPr>
          <w:p w14:paraId="00000061"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140.520 € </w:t>
            </w:r>
          </w:p>
        </w:tc>
        <w:tc>
          <w:tcPr>
            <w:tcW w:w="1984" w:type="dxa"/>
          </w:tcPr>
          <w:p w14:paraId="0000006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t>12,1%</w:t>
            </w:r>
          </w:p>
        </w:tc>
      </w:tr>
      <w:tr w:rsidR="005D4D4B" w14:paraId="353DCBA4"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63"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Aragón </w:t>
            </w:r>
          </w:p>
        </w:tc>
        <w:tc>
          <w:tcPr>
            <w:tcW w:w="2410" w:type="dxa"/>
          </w:tcPr>
          <w:p w14:paraId="0000006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139.514 € </w:t>
            </w:r>
          </w:p>
        </w:tc>
        <w:tc>
          <w:tcPr>
            <w:tcW w:w="2693" w:type="dxa"/>
          </w:tcPr>
          <w:p w14:paraId="00000065"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155.173 € </w:t>
            </w:r>
          </w:p>
        </w:tc>
        <w:tc>
          <w:tcPr>
            <w:tcW w:w="1984" w:type="dxa"/>
          </w:tcPr>
          <w:p w14:paraId="00000066"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t>11,2%</w:t>
            </w:r>
          </w:p>
        </w:tc>
      </w:tr>
      <w:tr w:rsidR="005D4D4B" w14:paraId="1EBA2E98"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67"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Galicia </w:t>
            </w:r>
          </w:p>
        </w:tc>
        <w:tc>
          <w:tcPr>
            <w:tcW w:w="2410" w:type="dxa"/>
          </w:tcPr>
          <w:p w14:paraId="0000006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150.746 € </w:t>
            </w:r>
          </w:p>
        </w:tc>
        <w:tc>
          <w:tcPr>
            <w:tcW w:w="2693" w:type="dxa"/>
          </w:tcPr>
          <w:p w14:paraId="00000069"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167.367 € </w:t>
            </w:r>
          </w:p>
        </w:tc>
        <w:tc>
          <w:tcPr>
            <w:tcW w:w="1984" w:type="dxa"/>
          </w:tcPr>
          <w:p w14:paraId="0000006A"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t>11,0%</w:t>
            </w:r>
          </w:p>
        </w:tc>
      </w:tr>
      <w:tr w:rsidR="005D4D4B" w14:paraId="679A32CA"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6B"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Asturias </w:t>
            </w:r>
          </w:p>
        </w:tc>
        <w:tc>
          <w:tcPr>
            <w:tcW w:w="2410" w:type="dxa"/>
          </w:tcPr>
          <w:p w14:paraId="0000006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147.810 € </w:t>
            </w:r>
          </w:p>
        </w:tc>
        <w:tc>
          <w:tcPr>
            <w:tcW w:w="2693" w:type="dxa"/>
          </w:tcPr>
          <w:p w14:paraId="0000006D"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163.354 € </w:t>
            </w:r>
          </w:p>
        </w:tc>
        <w:tc>
          <w:tcPr>
            <w:tcW w:w="1984" w:type="dxa"/>
          </w:tcPr>
          <w:p w14:paraId="0000006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t>10,5%</w:t>
            </w:r>
          </w:p>
        </w:tc>
      </w:tr>
      <w:tr w:rsidR="005D4D4B" w14:paraId="219B6AB8"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6F"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 xml:space="preserve">Castilla-La Mancha </w:t>
            </w:r>
          </w:p>
        </w:tc>
        <w:tc>
          <w:tcPr>
            <w:tcW w:w="2410" w:type="dxa"/>
          </w:tcPr>
          <w:p w14:paraId="0000007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96.766 € </w:t>
            </w:r>
          </w:p>
        </w:tc>
        <w:tc>
          <w:tcPr>
            <w:tcW w:w="2693" w:type="dxa"/>
          </w:tcPr>
          <w:p w14:paraId="00000071"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106.873 € </w:t>
            </w:r>
          </w:p>
        </w:tc>
        <w:tc>
          <w:tcPr>
            <w:tcW w:w="1984" w:type="dxa"/>
          </w:tcPr>
          <w:p w14:paraId="0000007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t>10,4%</w:t>
            </w:r>
          </w:p>
        </w:tc>
      </w:tr>
      <w:tr w:rsidR="005D4D4B" w14:paraId="6259C792"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73"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Cantabria </w:t>
            </w:r>
          </w:p>
        </w:tc>
        <w:tc>
          <w:tcPr>
            <w:tcW w:w="2410" w:type="dxa"/>
          </w:tcPr>
          <w:p w14:paraId="0000007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171.342 € </w:t>
            </w:r>
          </w:p>
        </w:tc>
        <w:tc>
          <w:tcPr>
            <w:tcW w:w="2693" w:type="dxa"/>
          </w:tcPr>
          <w:p w14:paraId="00000075"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188.396 € </w:t>
            </w:r>
          </w:p>
        </w:tc>
        <w:tc>
          <w:tcPr>
            <w:tcW w:w="1984" w:type="dxa"/>
          </w:tcPr>
          <w:p w14:paraId="00000076"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t>10,0%</w:t>
            </w:r>
          </w:p>
        </w:tc>
      </w:tr>
      <w:tr w:rsidR="005D4D4B" w14:paraId="294A04C2"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77"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Andalucía </w:t>
            </w:r>
          </w:p>
        </w:tc>
        <w:tc>
          <w:tcPr>
            <w:tcW w:w="2410" w:type="dxa"/>
          </w:tcPr>
          <w:p w14:paraId="0000007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186.676 € </w:t>
            </w:r>
          </w:p>
        </w:tc>
        <w:tc>
          <w:tcPr>
            <w:tcW w:w="2693" w:type="dxa"/>
          </w:tcPr>
          <w:p w14:paraId="00000079"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202.971 € </w:t>
            </w:r>
          </w:p>
        </w:tc>
        <w:tc>
          <w:tcPr>
            <w:tcW w:w="1984" w:type="dxa"/>
          </w:tcPr>
          <w:p w14:paraId="0000007A"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t>8,7%</w:t>
            </w:r>
          </w:p>
        </w:tc>
      </w:tr>
      <w:tr w:rsidR="005D4D4B" w14:paraId="17A53C5A"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7B"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La Rioja </w:t>
            </w:r>
          </w:p>
        </w:tc>
        <w:tc>
          <w:tcPr>
            <w:tcW w:w="2410" w:type="dxa"/>
          </w:tcPr>
          <w:p w14:paraId="0000007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133.223 € </w:t>
            </w:r>
          </w:p>
        </w:tc>
        <w:tc>
          <w:tcPr>
            <w:tcW w:w="2693" w:type="dxa"/>
          </w:tcPr>
          <w:p w14:paraId="0000007D"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144.750 € </w:t>
            </w:r>
          </w:p>
        </w:tc>
        <w:tc>
          <w:tcPr>
            <w:tcW w:w="1984" w:type="dxa"/>
          </w:tcPr>
          <w:p w14:paraId="0000007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t>8,7%</w:t>
            </w:r>
          </w:p>
        </w:tc>
      </w:tr>
      <w:tr w:rsidR="005D4D4B" w14:paraId="3909132D"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7F"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Navarra </w:t>
            </w:r>
          </w:p>
        </w:tc>
        <w:tc>
          <w:tcPr>
            <w:tcW w:w="2410" w:type="dxa"/>
          </w:tcPr>
          <w:p w14:paraId="0000008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163.799 € </w:t>
            </w:r>
          </w:p>
        </w:tc>
        <w:tc>
          <w:tcPr>
            <w:tcW w:w="2693" w:type="dxa"/>
          </w:tcPr>
          <w:p w14:paraId="00000081"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177.579 € </w:t>
            </w:r>
          </w:p>
        </w:tc>
        <w:tc>
          <w:tcPr>
            <w:tcW w:w="1984" w:type="dxa"/>
          </w:tcPr>
          <w:p w14:paraId="0000008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t>8,4%</w:t>
            </w:r>
          </w:p>
        </w:tc>
      </w:tr>
      <w:tr w:rsidR="005D4D4B" w14:paraId="2C316DF4"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83"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País Vasco </w:t>
            </w:r>
          </w:p>
        </w:tc>
        <w:tc>
          <w:tcPr>
            <w:tcW w:w="2410" w:type="dxa"/>
          </w:tcPr>
          <w:p w14:paraId="0000008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269.170 € </w:t>
            </w:r>
          </w:p>
        </w:tc>
        <w:tc>
          <w:tcPr>
            <w:tcW w:w="2693" w:type="dxa"/>
          </w:tcPr>
          <w:p w14:paraId="00000085"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290.362 € </w:t>
            </w:r>
          </w:p>
        </w:tc>
        <w:tc>
          <w:tcPr>
            <w:tcW w:w="1984" w:type="dxa"/>
          </w:tcPr>
          <w:p w14:paraId="00000086"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7,9%</w:t>
            </w:r>
          </w:p>
        </w:tc>
      </w:tr>
      <w:tr w:rsidR="005D4D4B" w14:paraId="7F5403DA"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87"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Región de Murcia </w:t>
            </w:r>
          </w:p>
        </w:tc>
        <w:tc>
          <w:tcPr>
            <w:tcW w:w="2410" w:type="dxa"/>
          </w:tcPr>
          <w:p w14:paraId="0000008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124.610 € </w:t>
            </w:r>
          </w:p>
        </w:tc>
        <w:tc>
          <w:tcPr>
            <w:tcW w:w="2693" w:type="dxa"/>
          </w:tcPr>
          <w:p w14:paraId="00000089"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133.991 € </w:t>
            </w:r>
          </w:p>
        </w:tc>
        <w:tc>
          <w:tcPr>
            <w:tcW w:w="1984" w:type="dxa"/>
          </w:tcPr>
          <w:p w14:paraId="0000008A"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7,5%</w:t>
            </w:r>
          </w:p>
        </w:tc>
      </w:tr>
      <w:tr w:rsidR="005D4D4B" w14:paraId="5524B6B5"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8B"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Comunitat Valenciana </w:t>
            </w:r>
          </w:p>
        </w:tc>
        <w:tc>
          <w:tcPr>
            <w:tcW w:w="2410" w:type="dxa"/>
          </w:tcPr>
          <w:p w14:paraId="0000008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 xml:space="preserve"> 175.890 € </w:t>
            </w:r>
          </w:p>
        </w:tc>
        <w:tc>
          <w:tcPr>
            <w:tcW w:w="2693" w:type="dxa"/>
          </w:tcPr>
          <w:p w14:paraId="0000008D"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 xml:space="preserve"> 188.541 € </w:t>
            </w:r>
          </w:p>
        </w:tc>
        <w:tc>
          <w:tcPr>
            <w:tcW w:w="1984" w:type="dxa"/>
          </w:tcPr>
          <w:p w14:paraId="0000008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7,2%</w:t>
            </w:r>
          </w:p>
        </w:tc>
      </w:tr>
      <w:tr w:rsidR="005D4D4B" w14:paraId="7C8228F9"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8F"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Canarias </w:t>
            </w:r>
          </w:p>
        </w:tc>
        <w:tc>
          <w:tcPr>
            <w:tcW w:w="2410" w:type="dxa"/>
          </w:tcPr>
          <w:p w14:paraId="0000009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224.966 € </w:t>
            </w:r>
          </w:p>
        </w:tc>
        <w:tc>
          <w:tcPr>
            <w:tcW w:w="2693" w:type="dxa"/>
          </w:tcPr>
          <w:p w14:paraId="00000091"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239.911 € </w:t>
            </w:r>
          </w:p>
        </w:tc>
        <w:tc>
          <w:tcPr>
            <w:tcW w:w="1984" w:type="dxa"/>
          </w:tcPr>
          <w:p w14:paraId="0000009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6,6%</w:t>
            </w:r>
          </w:p>
        </w:tc>
      </w:tr>
      <w:tr w:rsidR="005D4D4B" w14:paraId="286AD5E4"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93"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Cataluña </w:t>
            </w:r>
          </w:p>
        </w:tc>
        <w:tc>
          <w:tcPr>
            <w:tcW w:w="2410" w:type="dxa"/>
          </w:tcPr>
          <w:p w14:paraId="0000009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 xml:space="preserve"> 230.458 € </w:t>
            </w:r>
          </w:p>
        </w:tc>
        <w:tc>
          <w:tcPr>
            <w:tcW w:w="2693" w:type="dxa"/>
          </w:tcPr>
          <w:p w14:paraId="00000095"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 xml:space="preserve"> 245.044 € </w:t>
            </w:r>
          </w:p>
        </w:tc>
        <w:tc>
          <w:tcPr>
            <w:tcW w:w="1984" w:type="dxa"/>
          </w:tcPr>
          <w:p w14:paraId="00000096"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6,3%</w:t>
            </w:r>
          </w:p>
        </w:tc>
      </w:tr>
      <w:tr w:rsidR="005D4D4B" w14:paraId="259C4201"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97"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Baleares </w:t>
            </w:r>
          </w:p>
        </w:tc>
        <w:tc>
          <w:tcPr>
            <w:tcW w:w="2410" w:type="dxa"/>
          </w:tcPr>
          <w:p w14:paraId="0000009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387.066 € </w:t>
            </w:r>
          </w:p>
        </w:tc>
        <w:tc>
          <w:tcPr>
            <w:tcW w:w="2693" w:type="dxa"/>
          </w:tcPr>
          <w:p w14:paraId="00000099"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407.872 € </w:t>
            </w:r>
          </w:p>
        </w:tc>
        <w:tc>
          <w:tcPr>
            <w:tcW w:w="1984" w:type="dxa"/>
          </w:tcPr>
          <w:p w14:paraId="0000009A"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5,4%</w:t>
            </w:r>
          </w:p>
        </w:tc>
      </w:tr>
      <w:tr w:rsidR="005D4D4B" w14:paraId="769CE059"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9B"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Madrid </w:t>
            </w:r>
          </w:p>
        </w:tc>
        <w:tc>
          <w:tcPr>
            <w:tcW w:w="2410" w:type="dxa"/>
          </w:tcPr>
          <w:p w14:paraId="0000009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 xml:space="preserve"> 363.105 € </w:t>
            </w:r>
          </w:p>
        </w:tc>
        <w:tc>
          <w:tcPr>
            <w:tcW w:w="2693" w:type="dxa"/>
          </w:tcPr>
          <w:p w14:paraId="0000009D"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 xml:space="preserve"> 376.918 € </w:t>
            </w:r>
          </w:p>
        </w:tc>
        <w:tc>
          <w:tcPr>
            <w:tcW w:w="1984" w:type="dxa"/>
          </w:tcPr>
          <w:p w14:paraId="0000009E"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3,8%</w:t>
            </w:r>
          </w:p>
        </w:tc>
      </w:tr>
      <w:tr w:rsidR="005D4D4B" w14:paraId="7B57BB2D"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9F" w14:textId="77777777" w:rsidR="005D4D4B" w:rsidRDefault="00000000">
            <w:pPr>
              <w:rPr>
                <w:rFonts w:ascii="Open Sans" w:eastAsia="Open Sans" w:hAnsi="Open Sans" w:cs="Open Sans"/>
                <w:sz w:val="22"/>
                <w:szCs w:val="22"/>
              </w:rPr>
            </w:pPr>
            <w:r>
              <w:rPr>
                <w:rFonts w:ascii="Open Sans" w:eastAsia="Open Sans" w:hAnsi="Open Sans" w:cs="Open Sans"/>
                <w:b w:val="0"/>
                <w:sz w:val="22"/>
                <w:szCs w:val="22"/>
              </w:rPr>
              <w:t xml:space="preserve">España </w:t>
            </w:r>
          </w:p>
        </w:tc>
        <w:tc>
          <w:tcPr>
            <w:tcW w:w="2410" w:type="dxa"/>
          </w:tcPr>
          <w:p w14:paraId="000000A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196.790 € </w:t>
            </w:r>
          </w:p>
        </w:tc>
        <w:tc>
          <w:tcPr>
            <w:tcW w:w="2693" w:type="dxa"/>
          </w:tcPr>
          <w:p w14:paraId="000000A1"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 xml:space="preserve"> 211.526 € </w:t>
            </w:r>
          </w:p>
        </w:tc>
        <w:tc>
          <w:tcPr>
            <w:tcW w:w="1984" w:type="dxa"/>
          </w:tcPr>
          <w:p w14:paraId="000000A2"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7,5%</w:t>
            </w:r>
          </w:p>
        </w:tc>
      </w:tr>
    </w:tbl>
    <w:p w14:paraId="000000A3"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b/>
          <w:sz w:val="22"/>
          <w:szCs w:val="22"/>
        </w:rPr>
      </w:pPr>
    </w:p>
    <w:p w14:paraId="000000A4"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A5" w14:textId="77777777" w:rsidR="005D4D4B" w:rsidRDefault="00000000">
      <w:pPr>
        <w:spacing w:line="276" w:lineRule="auto"/>
        <w:ind w:right="-574"/>
        <w:jc w:val="both"/>
        <w:rPr>
          <w:rFonts w:ascii="Open Sans" w:eastAsia="Open Sans" w:hAnsi="Open Sans" w:cs="Open Sans"/>
          <w:b/>
          <w:color w:val="303AB2"/>
        </w:rPr>
      </w:pPr>
      <w:r>
        <w:rPr>
          <w:rFonts w:ascii="Open Sans" w:eastAsia="Open Sans" w:hAnsi="Open Sans" w:cs="Open Sans"/>
          <w:b/>
          <w:color w:val="303AB2"/>
        </w:rPr>
        <w:t>Jaén, Almería, Ourense y Córdoba, los municipios donde más se incrementa el valor de la vivienda con garaje</w:t>
      </w:r>
    </w:p>
    <w:p w14:paraId="000000A6" w14:textId="77777777" w:rsidR="005D4D4B" w:rsidRDefault="005D4D4B">
      <w:pPr>
        <w:spacing w:line="276" w:lineRule="auto"/>
        <w:ind w:right="-574"/>
        <w:jc w:val="both"/>
        <w:rPr>
          <w:rFonts w:ascii="Open Sans" w:eastAsia="Open Sans" w:hAnsi="Open Sans" w:cs="Open Sans"/>
          <w:b/>
          <w:color w:val="303AB2"/>
        </w:rPr>
      </w:pPr>
    </w:p>
    <w:p w14:paraId="000000A7" w14:textId="60859828" w:rsidR="005D4D4B" w:rsidRDefault="00000000">
      <w:pPr>
        <w:spacing w:line="276" w:lineRule="auto"/>
        <w:ind w:right="-574"/>
        <w:jc w:val="both"/>
        <w:rPr>
          <w:rFonts w:ascii="Open Sans" w:eastAsia="Open Sans" w:hAnsi="Open Sans" w:cs="Open Sans"/>
        </w:rPr>
      </w:pPr>
      <w:r>
        <w:rPr>
          <w:rFonts w:ascii="Open Sans" w:eastAsia="Open Sans" w:hAnsi="Open Sans" w:cs="Open Sans"/>
        </w:rPr>
        <w:t>Si se hace el análisis por capitales de provincia se observa que Jaén es el municipio en el que más se incrementa el valor de una vivienda con garaje, en concreto un 16,9%. También en Andalucía, le sigue Almería con un incremento del valor del 15,9% respecto a una vivienda que no tiene garaje. En tercer lugar, en</w:t>
      </w:r>
      <w:r w:rsidR="004F1E05">
        <w:rPr>
          <w:rFonts w:ascii="Open Sans" w:eastAsia="Open Sans" w:hAnsi="Open Sans" w:cs="Open Sans"/>
        </w:rPr>
        <w:t xml:space="preserve"> Ourense </w:t>
      </w:r>
      <w:r>
        <w:rPr>
          <w:rFonts w:ascii="Open Sans" w:eastAsia="Open Sans" w:hAnsi="Open Sans" w:cs="Open Sans"/>
        </w:rPr>
        <w:t>se incrementa el precio de una vivienda con garaje en un 15,2%.</w:t>
      </w:r>
    </w:p>
    <w:p w14:paraId="000000A8" w14:textId="77777777" w:rsidR="005D4D4B" w:rsidRDefault="005D4D4B">
      <w:pPr>
        <w:spacing w:line="276" w:lineRule="auto"/>
        <w:ind w:right="-574"/>
        <w:jc w:val="both"/>
        <w:rPr>
          <w:rFonts w:ascii="Open Sans" w:eastAsia="Open Sans" w:hAnsi="Open Sans" w:cs="Open Sans"/>
        </w:rPr>
      </w:pPr>
    </w:p>
    <w:p w14:paraId="000000A9" w14:textId="77777777" w:rsidR="005D4D4B" w:rsidRDefault="00000000">
      <w:pPr>
        <w:spacing w:line="276" w:lineRule="auto"/>
        <w:ind w:right="-574"/>
        <w:jc w:val="both"/>
        <w:rPr>
          <w:rFonts w:ascii="Open Sans" w:eastAsia="Open Sans" w:hAnsi="Open Sans" w:cs="Open Sans"/>
        </w:rPr>
      </w:pPr>
      <w:r>
        <w:rPr>
          <w:rFonts w:ascii="Open Sans" w:eastAsia="Open Sans" w:hAnsi="Open Sans" w:cs="Open Sans"/>
        </w:rPr>
        <w:t xml:space="preserve">De hecho, de las 43 capitales de provincia analizadas, el precio de una vivienda con garaje se incrementa en más de un 10% en 21 capitales de provincia. Y en el extremo contrario, la ciudad de Madrid es la que menos incrementa el precio de la vivienda el tener un garaje, en concreto lo hace un 4,1%, seguido de Barcelona (4,5%), Guadalajara (4,7%) y San Sebastián (4,8%) cierra la lista de capitales de provincia por debajo del 5%. </w:t>
      </w:r>
    </w:p>
    <w:p w14:paraId="05D30B37" w14:textId="77777777" w:rsidR="001D3326" w:rsidRDefault="001D3326">
      <w:pPr>
        <w:spacing w:line="276" w:lineRule="auto"/>
        <w:ind w:right="-574"/>
        <w:jc w:val="both"/>
        <w:rPr>
          <w:rFonts w:ascii="Open Sans" w:eastAsia="Open Sans" w:hAnsi="Open Sans" w:cs="Open Sans"/>
        </w:rPr>
      </w:pPr>
    </w:p>
    <w:p w14:paraId="2527409C" w14:textId="77777777" w:rsidR="001D3326" w:rsidRDefault="001D3326">
      <w:pPr>
        <w:spacing w:line="276" w:lineRule="auto"/>
        <w:ind w:right="-574"/>
        <w:jc w:val="both"/>
        <w:rPr>
          <w:rFonts w:ascii="Open Sans" w:eastAsia="Open Sans" w:hAnsi="Open Sans" w:cs="Open Sans"/>
        </w:rPr>
      </w:pPr>
    </w:p>
    <w:p w14:paraId="387084E4" w14:textId="77777777" w:rsidR="001D3326" w:rsidRDefault="001D3326">
      <w:pPr>
        <w:spacing w:line="276" w:lineRule="auto"/>
        <w:ind w:right="-574"/>
        <w:jc w:val="both"/>
        <w:rPr>
          <w:rFonts w:ascii="Open Sans" w:eastAsia="Open Sans" w:hAnsi="Open Sans" w:cs="Open Sans"/>
        </w:rPr>
      </w:pPr>
    </w:p>
    <w:p w14:paraId="000000AA" w14:textId="77777777" w:rsidR="005D4D4B" w:rsidRDefault="005D4D4B">
      <w:pPr>
        <w:spacing w:line="276" w:lineRule="auto"/>
        <w:ind w:right="-574"/>
        <w:jc w:val="both"/>
        <w:rPr>
          <w:rFonts w:ascii="Open Sans" w:eastAsia="Open Sans" w:hAnsi="Open Sans" w:cs="Open Sans"/>
        </w:rPr>
      </w:pPr>
    </w:p>
    <w:p w14:paraId="000000AB" w14:textId="77777777" w:rsidR="005D4D4B" w:rsidRDefault="00000000">
      <w:pPr>
        <w:pBdr>
          <w:top w:val="nil"/>
          <w:left w:val="nil"/>
          <w:bottom w:val="nil"/>
          <w:right w:val="nil"/>
          <w:between w:val="nil"/>
        </w:pBdr>
        <w:spacing w:line="276" w:lineRule="auto"/>
        <w:ind w:right="-574"/>
        <w:jc w:val="center"/>
        <w:rPr>
          <w:rFonts w:ascii="Open Sans" w:eastAsia="Open Sans" w:hAnsi="Open Sans" w:cs="Open Sans"/>
          <w:b/>
          <w:color w:val="303AB2"/>
        </w:rPr>
      </w:pPr>
      <w:r>
        <w:rPr>
          <w:rFonts w:ascii="Open Sans" w:eastAsia="Open Sans" w:hAnsi="Open Sans" w:cs="Open Sans"/>
          <w:b/>
          <w:color w:val="303AB2"/>
        </w:rPr>
        <w:lastRenderedPageBreak/>
        <w:t xml:space="preserve">Incremento del precio de la vivienda con garaje por capitales </w:t>
      </w:r>
    </w:p>
    <w:p w14:paraId="000000AC" w14:textId="77777777" w:rsidR="005D4D4B" w:rsidRDefault="005D4D4B">
      <w:pPr>
        <w:pBdr>
          <w:top w:val="nil"/>
          <w:left w:val="nil"/>
          <w:bottom w:val="nil"/>
          <w:right w:val="nil"/>
          <w:between w:val="nil"/>
        </w:pBdr>
        <w:spacing w:line="276" w:lineRule="auto"/>
        <w:ind w:right="-574"/>
        <w:jc w:val="both"/>
        <w:rPr>
          <w:rFonts w:ascii="Open Sans" w:eastAsia="Open Sans" w:hAnsi="Open Sans" w:cs="Open Sans"/>
          <w:b/>
          <w:sz w:val="22"/>
          <w:szCs w:val="22"/>
        </w:rPr>
      </w:pPr>
    </w:p>
    <w:tbl>
      <w:tblPr>
        <w:tblStyle w:val="af2"/>
        <w:tblW w:w="907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2410"/>
        <w:gridCol w:w="2693"/>
        <w:gridCol w:w="1984"/>
      </w:tblGrid>
      <w:tr w:rsidR="005D4D4B" w14:paraId="178B3664" w14:textId="77777777" w:rsidTr="005D4D4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00000AD" w14:textId="77777777" w:rsidR="005D4D4B" w:rsidRDefault="00000000">
            <w:pPr>
              <w:jc w:val="center"/>
              <w:rPr>
                <w:rFonts w:ascii="Open Sans" w:eastAsia="Open Sans" w:hAnsi="Open Sans" w:cs="Open Sans"/>
                <w:sz w:val="22"/>
                <w:szCs w:val="22"/>
              </w:rPr>
            </w:pPr>
            <w:r>
              <w:rPr>
                <w:rFonts w:ascii="Open Sans" w:eastAsia="Open Sans" w:hAnsi="Open Sans" w:cs="Open Sans"/>
                <w:sz w:val="22"/>
                <w:szCs w:val="22"/>
              </w:rPr>
              <w:t>CC.AA.</w:t>
            </w:r>
          </w:p>
        </w:tc>
        <w:tc>
          <w:tcPr>
            <w:tcW w:w="2410" w:type="dxa"/>
            <w:vAlign w:val="center"/>
          </w:tcPr>
          <w:p w14:paraId="000000AE"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Precio medio vivienda </w:t>
            </w:r>
          </w:p>
        </w:tc>
        <w:tc>
          <w:tcPr>
            <w:tcW w:w="2693" w:type="dxa"/>
            <w:vAlign w:val="center"/>
          </w:tcPr>
          <w:p w14:paraId="000000AF"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 medio vivienda + garaje</w:t>
            </w:r>
          </w:p>
        </w:tc>
        <w:tc>
          <w:tcPr>
            <w:tcW w:w="1984" w:type="dxa"/>
            <w:vAlign w:val="center"/>
          </w:tcPr>
          <w:p w14:paraId="000000B0" w14:textId="77777777" w:rsidR="005D4D4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Incremento (%)</w:t>
            </w:r>
          </w:p>
        </w:tc>
      </w:tr>
      <w:tr w:rsidR="005D4D4B" w14:paraId="52B26A80"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B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Jaén Capital</w:t>
            </w:r>
          </w:p>
        </w:tc>
        <w:tc>
          <w:tcPr>
            <w:tcW w:w="2410" w:type="dxa"/>
            <w:vAlign w:val="bottom"/>
          </w:tcPr>
          <w:p w14:paraId="000000B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114.066 € </w:t>
            </w:r>
          </w:p>
        </w:tc>
        <w:tc>
          <w:tcPr>
            <w:tcW w:w="2693" w:type="dxa"/>
            <w:vAlign w:val="bottom"/>
          </w:tcPr>
          <w:p w14:paraId="000000B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133.399 € </w:t>
            </w:r>
          </w:p>
        </w:tc>
        <w:tc>
          <w:tcPr>
            <w:tcW w:w="1984" w:type="dxa"/>
            <w:vAlign w:val="bottom"/>
          </w:tcPr>
          <w:p w14:paraId="000000B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16,9%</w:t>
            </w:r>
          </w:p>
        </w:tc>
      </w:tr>
      <w:tr w:rsidR="005D4D4B" w14:paraId="21AC97FA"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B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Almería Capital</w:t>
            </w:r>
          </w:p>
        </w:tc>
        <w:tc>
          <w:tcPr>
            <w:tcW w:w="2410" w:type="dxa"/>
            <w:vAlign w:val="bottom"/>
          </w:tcPr>
          <w:p w14:paraId="000000B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131.483 € </w:t>
            </w:r>
          </w:p>
        </w:tc>
        <w:tc>
          <w:tcPr>
            <w:tcW w:w="2693" w:type="dxa"/>
            <w:vAlign w:val="bottom"/>
          </w:tcPr>
          <w:p w14:paraId="000000B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152.408 € </w:t>
            </w:r>
          </w:p>
        </w:tc>
        <w:tc>
          <w:tcPr>
            <w:tcW w:w="1984" w:type="dxa"/>
            <w:vAlign w:val="bottom"/>
          </w:tcPr>
          <w:p w14:paraId="000000B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15,9%</w:t>
            </w:r>
          </w:p>
        </w:tc>
      </w:tr>
      <w:tr w:rsidR="005D4D4B" w14:paraId="754F25BD"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B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Ourense Capital</w:t>
            </w:r>
          </w:p>
        </w:tc>
        <w:tc>
          <w:tcPr>
            <w:tcW w:w="2410" w:type="dxa"/>
            <w:vAlign w:val="bottom"/>
          </w:tcPr>
          <w:p w14:paraId="000000B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135.787 € </w:t>
            </w:r>
          </w:p>
        </w:tc>
        <w:tc>
          <w:tcPr>
            <w:tcW w:w="2693" w:type="dxa"/>
            <w:vAlign w:val="bottom"/>
          </w:tcPr>
          <w:p w14:paraId="000000B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156.367 € </w:t>
            </w:r>
          </w:p>
        </w:tc>
        <w:tc>
          <w:tcPr>
            <w:tcW w:w="1984" w:type="dxa"/>
            <w:vAlign w:val="bottom"/>
          </w:tcPr>
          <w:p w14:paraId="000000B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15,2%</w:t>
            </w:r>
          </w:p>
        </w:tc>
      </w:tr>
      <w:tr w:rsidR="005D4D4B" w14:paraId="7867AE48"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B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Córdoba Capital</w:t>
            </w:r>
          </w:p>
        </w:tc>
        <w:tc>
          <w:tcPr>
            <w:tcW w:w="2410" w:type="dxa"/>
            <w:vAlign w:val="bottom"/>
          </w:tcPr>
          <w:p w14:paraId="000000B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139.802 € </w:t>
            </w:r>
          </w:p>
        </w:tc>
        <w:tc>
          <w:tcPr>
            <w:tcW w:w="2693" w:type="dxa"/>
            <w:vAlign w:val="bottom"/>
          </w:tcPr>
          <w:p w14:paraId="000000B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160.747 € </w:t>
            </w:r>
          </w:p>
        </w:tc>
        <w:tc>
          <w:tcPr>
            <w:tcW w:w="1984" w:type="dxa"/>
            <w:vAlign w:val="bottom"/>
          </w:tcPr>
          <w:p w14:paraId="000000C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15,0%</w:t>
            </w:r>
          </w:p>
        </w:tc>
      </w:tr>
      <w:tr w:rsidR="005D4D4B" w14:paraId="3C95EC47"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C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Palencia Capital</w:t>
            </w:r>
          </w:p>
        </w:tc>
        <w:tc>
          <w:tcPr>
            <w:tcW w:w="2410" w:type="dxa"/>
            <w:vAlign w:val="bottom"/>
          </w:tcPr>
          <w:p w14:paraId="000000C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129.880 € </w:t>
            </w:r>
          </w:p>
        </w:tc>
        <w:tc>
          <w:tcPr>
            <w:tcW w:w="2693" w:type="dxa"/>
            <w:vAlign w:val="bottom"/>
          </w:tcPr>
          <w:p w14:paraId="000000C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149.219 € </w:t>
            </w:r>
          </w:p>
        </w:tc>
        <w:tc>
          <w:tcPr>
            <w:tcW w:w="1984" w:type="dxa"/>
            <w:vAlign w:val="bottom"/>
          </w:tcPr>
          <w:p w14:paraId="000000C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14,9%</w:t>
            </w:r>
          </w:p>
        </w:tc>
      </w:tr>
      <w:tr w:rsidR="005D4D4B" w14:paraId="5E963DD4"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C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Salamanca Capital</w:t>
            </w:r>
          </w:p>
        </w:tc>
        <w:tc>
          <w:tcPr>
            <w:tcW w:w="2410" w:type="dxa"/>
            <w:vAlign w:val="bottom"/>
          </w:tcPr>
          <w:p w14:paraId="000000C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178.186 € </w:t>
            </w:r>
          </w:p>
        </w:tc>
        <w:tc>
          <w:tcPr>
            <w:tcW w:w="2693" w:type="dxa"/>
            <w:vAlign w:val="bottom"/>
          </w:tcPr>
          <w:p w14:paraId="000000C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202.265 € </w:t>
            </w:r>
          </w:p>
        </w:tc>
        <w:tc>
          <w:tcPr>
            <w:tcW w:w="1984" w:type="dxa"/>
            <w:vAlign w:val="bottom"/>
          </w:tcPr>
          <w:p w14:paraId="000000C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13,5%</w:t>
            </w:r>
          </w:p>
        </w:tc>
      </w:tr>
      <w:tr w:rsidR="005D4D4B" w14:paraId="44CEC648"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C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Cáceres Capital</w:t>
            </w:r>
          </w:p>
        </w:tc>
        <w:tc>
          <w:tcPr>
            <w:tcW w:w="2410" w:type="dxa"/>
            <w:vAlign w:val="bottom"/>
          </w:tcPr>
          <w:p w14:paraId="000000C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121.621 € </w:t>
            </w:r>
          </w:p>
        </w:tc>
        <w:tc>
          <w:tcPr>
            <w:tcW w:w="2693" w:type="dxa"/>
            <w:vAlign w:val="bottom"/>
          </w:tcPr>
          <w:p w14:paraId="000000C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137.997 € </w:t>
            </w:r>
          </w:p>
        </w:tc>
        <w:tc>
          <w:tcPr>
            <w:tcW w:w="1984" w:type="dxa"/>
            <w:vAlign w:val="bottom"/>
          </w:tcPr>
          <w:p w14:paraId="000000C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13,5%</w:t>
            </w:r>
          </w:p>
        </w:tc>
      </w:tr>
      <w:tr w:rsidR="005D4D4B" w14:paraId="4B9990F2"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C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Badajoz Capital</w:t>
            </w:r>
          </w:p>
        </w:tc>
        <w:tc>
          <w:tcPr>
            <w:tcW w:w="2410" w:type="dxa"/>
            <w:vAlign w:val="bottom"/>
          </w:tcPr>
          <w:p w14:paraId="000000C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136.385 € </w:t>
            </w:r>
          </w:p>
        </w:tc>
        <w:tc>
          <w:tcPr>
            <w:tcW w:w="2693" w:type="dxa"/>
            <w:vAlign w:val="bottom"/>
          </w:tcPr>
          <w:p w14:paraId="000000C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154.250 € </w:t>
            </w:r>
          </w:p>
        </w:tc>
        <w:tc>
          <w:tcPr>
            <w:tcW w:w="1984" w:type="dxa"/>
            <w:vAlign w:val="bottom"/>
          </w:tcPr>
          <w:p w14:paraId="000000D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13,1%</w:t>
            </w:r>
          </w:p>
        </w:tc>
      </w:tr>
      <w:tr w:rsidR="005D4D4B" w14:paraId="5D5A771E"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D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Ciudad Real Capital</w:t>
            </w:r>
          </w:p>
        </w:tc>
        <w:tc>
          <w:tcPr>
            <w:tcW w:w="2410" w:type="dxa"/>
            <w:vAlign w:val="bottom"/>
          </w:tcPr>
          <w:p w14:paraId="000000D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114.187 € </w:t>
            </w:r>
          </w:p>
        </w:tc>
        <w:tc>
          <w:tcPr>
            <w:tcW w:w="2693" w:type="dxa"/>
            <w:vAlign w:val="bottom"/>
          </w:tcPr>
          <w:p w14:paraId="000000D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129.091 € </w:t>
            </w:r>
          </w:p>
        </w:tc>
        <w:tc>
          <w:tcPr>
            <w:tcW w:w="1984" w:type="dxa"/>
            <w:vAlign w:val="bottom"/>
          </w:tcPr>
          <w:p w14:paraId="000000D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13,1%</w:t>
            </w:r>
          </w:p>
        </w:tc>
      </w:tr>
      <w:tr w:rsidR="005D4D4B" w14:paraId="7298A69E"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D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Huelva Capital</w:t>
            </w:r>
          </w:p>
        </w:tc>
        <w:tc>
          <w:tcPr>
            <w:tcW w:w="2410" w:type="dxa"/>
            <w:vAlign w:val="bottom"/>
          </w:tcPr>
          <w:p w14:paraId="000000D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125.677 € </w:t>
            </w:r>
          </w:p>
        </w:tc>
        <w:tc>
          <w:tcPr>
            <w:tcW w:w="2693" w:type="dxa"/>
            <w:vAlign w:val="bottom"/>
          </w:tcPr>
          <w:p w14:paraId="000000D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141.935 € </w:t>
            </w:r>
          </w:p>
        </w:tc>
        <w:tc>
          <w:tcPr>
            <w:tcW w:w="1984" w:type="dxa"/>
            <w:vAlign w:val="bottom"/>
          </w:tcPr>
          <w:p w14:paraId="000000D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12,9%</w:t>
            </w:r>
          </w:p>
        </w:tc>
      </w:tr>
      <w:tr w:rsidR="005D4D4B" w14:paraId="653CEABD"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D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Tarragona Capital</w:t>
            </w:r>
          </w:p>
        </w:tc>
        <w:tc>
          <w:tcPr>
            <w:tcW w:w="2410" w:type="dxa"/>
            <w:vAlign w:val="bottom"/>
          </w:tcPr>
          <w:p w14:paraId="000000D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137.973 € </w:t>
            </w:r>
          </w:p>
        </w:tc>
        <w:tc>
          <w:tcPr>
            <w:tcW w:w="2693" w:type="dxa"/>
            <w:vAlign w:val="bottom"/>
          </w:tcPr>
          <w:p w14:paraId="000000D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155.189 € </w:t>
            </w:r>
          </w:p>
        </w:tc>
        <w:tc>
          <w:tcPr>
            <w:tcW w:w="1984" w:type="dxa"/>
            <w:vAlign w:val="bottom"/>
          </w:tcPr>
          <w:p w14:paraId="000000D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5D4D4B" w14:paraId="6D0651DD"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D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León Capital</w:t>
            </w:r>
          </w:p>
        </w:tc>
        <w:tc>
          <w:tcPr>
            <w:tcW w:w="2410" w:type="dxa"/>
            <w:vAlign w:val="bottom"/>
          </w:tcPr>
          <w:p w14:paraId="000000D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142.722 € </w:t>
            </w:r>
          </w:p>
        </w:tc>
        <w:tc>
          <w:tcPr>
            <w:tcW w:w="2693" w:type="dxa"/>
            <w:vAlign w:val="bottom"/>
          </w:tcPr>
          <w:p w14:paraId="000000D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159.247 € </w:t>
            </w:r>
          </w:p>
        </w:tc>
        <w:tc>
          <w:tcPr>
            <w:tcW w:w="1984" w:type="dxa"/>
            <w:vAlign w:val="bottom"/>
          </w:tcPr>
          <w:p w14:paraId="000000E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11,6%</w:t>
            </w:r>
          </w:p>
        </w:tc>
      </w:tr>
      <w:tr w:rsidR="005D4D4B" w14:paraId="267F7922"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E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Albacete Capital</w:t>
            </w:r>
          </w:p>
        </w:tc>
        <w:tc>
          <w:tcPr>
            <w:tcW w:w="2410" w:type="dxa"/>
            <w:vAlign w:val="bottom"/>
          </w:tcPr>
          <w:p w14:paraId="000000E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150.245 € </w:t>
            </w:r>
          </w:p>
        </w:tc>
        <w:tc>
          <w:tcPr>
            <w:tcW w:w="2693" w:type="dxa"/>
            <w:vAlign w:val="bottom"/>
          </w:tcPr>
          <w:p w14:paraId="000000E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167.441 € </w:t>
            </w:r>
          </w:p>
        </w:tc>
        <w:tc>
          <w:tcPr>
            <w:tcW w:w="1984" w:type="dxa"/>
            <w:vAlign w:val="bottom"/>
          </w:tcPr>
          <w:p w14:paraId="000000E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11,4%</w:t>
            </w:r>
          </w:p>
        </w:tc>
      </w:tr>
      <w:tr w:rsidR="005D4D4B" w14:paraId="0356CBEC"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E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Pontevedra Capital</w:t>
            </w:r>
          </w:p>
        </w:tc>
        <w:tc>
          <w:tcPr>
            <w:tcW w:w="2410" w:type="dxa"/>
            <w:vAlign w:val="bottom"/>
          </w:tcPr>
          <w:p w14:paraId="000000E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190.975 € </w:t>
            </w:r>
          </w:p>
        </w:tc>
        <w:tc>
          <w:tcPr>
            <w:tcW w:w="2693" w:type="dxa"/>
            <w:vAlign w:val="bottom"/>
          </w:tcPr>
          <w:p w14:paraId="000000E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212.805 € </w:t>
            </w:r>
          </w:p>
        </w:tc>
        <w:tc>
          <w:tcPr>
            <w:tcW w:w="1984" w:type="dxa"/>
            <w:vAlign w:val="bottom"/>
          </w:tcPr>
          <w:p w14:paraId="000000E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11,4%</w:t>
            </w:r>
          </w:p>
        </w:tc>
      </w:tr>
      <w:tr w:rsidR="005D4D4B" w14:paraId="33D9C38C"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E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Granada Capital</w:t>
            </w:r>
          </w:p>
        </w:tc>
        <w:tc>
          <w:tcPr>
            <w:tcW w:w="2410" w:type="dxa"/>
            <w:vAlign w:val="bottom"/>
          </w:tcPr>
          <w:p w14:paraId="000000E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214.845 € </w:t>
            </w:r>
          </w:p>
        </w:tc>
        <w:tc>
          <w:tcPr>
            <w:tcW w:w="2693" w:type="dxa"/>
            <w:vAlign w:val="bottom"/>
          </w:tcPr>
          <w:p w14:paraId="000000E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239.362 € </w:t>
            </w:r>
          </w:p>
        </w:tc>
        <w:tc>
          <w:tcPr>
            <w:tcW w:w="1984" w:type="dxa"/>
            <w:vAlign w:val="bottom"/>
          </w:tcPr>
          <w:p w14:paraId="000000E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11,4%</w:t>
            </w:r>
          </w:p>
        </w:tc>
      </w:tr>
      <w:tr w:rsidR="005D4D4B" w14:paraId="442FAF25"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E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Valladolid Capital</w:t>
            </w:r>
          </w:p>
        </w:tc>
        <w:tc>
          <w:tcPr>
            <w:tcW w:w="2410" w:type="dxa"/>
            <w:vAlign w:val="bottom"/>
          </w:tcPr>
          <w:p w14:paraId="000000E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170.536 € </w:t>
            </w:r>
          </w:p>
        </w:tc>
        <w:tc>
          <w:tcPr>
            <w:tcW w:w="2693" w:type="dxa"/>
            <w:vAlign w:val="bottom"/>
          </w:tcPr>
          <w:p w14:paraId="000000E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189.370 € </w:t>
            </w:r>
          </w:p>
        </w:tc>
        <w:tc>
          <w:tcPr>
            <w:tcW w:w="1984" w:type="dxa"/>
            <w:vAlign w:val="bottom"/>
          </w:tcPr>
          <w:p w14:paraId="000000F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11,0%</w:t>
            </w:r>
          </w:p>
        </w:tc>
      </w:tr>
      <w:tr w:rsidR="005D4D4B" w14:paraId="745EFDBF"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F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Segovia Capital</w:t>
            </w:r>
          </w:p>
        </w:tc>
        <w:tc>
          <w:tcPr>
            <w:tcW w:w="2410" w:type="dxa"/>
            <w:vAlign w:val="bottom"/>
          </w:tcPr>
          <w:p w14:paraId="000000F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170.135 € </w:t>
            </w:r>
          </w:p>
        </w:tc>
        <w:tc>
          <w:tcPr>
            <w:tcW w:w="2693" w:type="dxa"/>
            <w:vAlign w:val="bottom"/>
          </w:tcPr>
          <w:p w14:paraId="000000F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188.284 € </w:t>
            </w:r>
          </w:p>
        </w:tc>
        <w:tc>
          <w:tcPr>
            <w:tcW w:w="1984" w:type="dxa"/>
            <w:vAlign w:val="bottom"/>
          </w:tcPr>
          <w:p w14:paraId="000000F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10,7%</w:t>
            </w:r>
          </w:p>
        </w:tc>
      </w:tr>
      <w:tr w:rsidR="005D4D4B" w14:paraId="7B398A62"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F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Cádiz Capital</w:t>
            </w:r>
          </w:p>
        </w:tc>
        <w:tc>
          <w:tcPr>
            <w:tcW w:w="2410" w:type="dxa"/>
            <w:vAlign w:val="bottom"/>
          </w:tcPr>
          <w:p w14:paraId="000000F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254.414 € </w:t>
            </w:r>
          </w:p>
        </w:tc>
        <w:tc>
          <w:tcPr>
            <w:tcW w:w="2693" w:type="dxa"/>
            <w:vAlign w:val="bottom"/>
          </w:tcPr>
          <w:p w14:paraId="000000F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281.293 € </w:t>
            </w:r>
          </w:p>
        </w:tc>
        <w:tc>
          <w:tcPr>
            <w:tcW w:w="1984" w:type="dxa"/>
            <w:vAlign w:val="bottom"/>
          </w:tcPr>
          <w:p w14:paraId="000000F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10,6%</w:t>
            </w:r>
          </w:p>
        </w:tc>
      </w:tr>
      <w:tr w:rsidR="005D4D4B" w14:paraId="697ED77F"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F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Lugo Capital</w:t>
            </w:r>
          </w:p>
        </w:tc>
        <w:tc>
          <w:tcPr>
            <w:tcW w:w="2410" w:type="dxa"/>
            <w:vAlign w:val="bottom"/>
          </w:tcPr>
          <w:p w14:paraId="000000F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126.554 € </w:t>
            </w:r>
          </w:p>
        </w:tc>
        <w:tc>
          <w:tcPr>
            <w:tcW w:w="2693" w:type="dxa"/>
            <w:vAlign w:val="bottom"/>
          </w:tcPr>
          <w:p w14:paraId="000000F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139.749 € </w:t>
            </w:r>
          </w:p>
        </w:tc>
        <w:tc>
          <w:tcPr>
            <w:tcW w:w="1984" w:type="dxa"/>
            <w:vAlign w:val="bottom"/>
          </w:tcPr>
          <w:p w14:paraId="000000F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10,4%</w:t>
            </w:r>
          </w:p>
        </w:tc>
      </w:tr>
      <w:tr w:rsidR="005D4D4B" w14:paraId="421E13C1"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0F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Zaragoza Capital</w:t>
            </w:r>
          </w:p>
        </w:tc>
        <w:tc>
          <w:tcPr>
            <w:tcW w:w="2410" w:type="dxa"/>
            <w:vAlign w:val="bottom"/>
          </w:tcPr>
          <w:p w14:paraId="000000F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176.437 € </w:t>
            </w:r>
          </w:p>
        </w:tc>
        <w:tc>
          <w:tcPr>
            <w:tcW w:w="2693" w:type="dxa"/>
            <w:vAlign w:val="bottom"/>
          </w:tcPr>
          <w:p w14:paraId="000000F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194.183 € </w:t>
            </w:r>
          </w:p>
        </w:tc>
        <w:tc>
          <w:tcPr>
            <w:tcW w:w="1984" w:type="dxa"/>
            <w:vAlign w:val="bottom"/>
          </w:tcPr>
          <w:p w14:paraId="0000010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r>
      <w:tr w:rsidR="005D4D4B" w14:paraId="16E8AD2E"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0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Lleida Capital</w:t>
            </w:r>
          </w:p>
        </w:tc>
        <w:tc>
          <w:tcPr>
            <w:tcW w:w="2410" w:type="dxa"/>
            <w:vAlign w:val="bottom"/>
          </w:tcPr>
          <w:p w14:paraId="0000010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126.898 € </w:t>
            </w:r>
          </w:p>
        </w:tc>
        <w:tc>
          <w:tcPr>
            <w:tcW w:w="2693" w:type="dxa"/>
            <w:vAlign w:val="bottom"/>
          </w:tcPr>
          <w:p w14:paraId="0000010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139.566 € </w:t>
            </w:r>
          </w:p>
        </w:tc>
        <w:tc>
          <w:tcPr>
            <w:tcW w:w="1984" w:type="dxa"/>
            <w:vAlign w:val="bottom"/>
          </w:tcPr>
          <w:p w14:paraId="0000010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10,0%</w:t>
            </w:r>
          </w:p>
        </w:tc>
      </w:tr>
      <w:tr w:rsidR="005D4D4B" w14:paraId="77487DEC"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0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Santander</w:t>
            </w:r>
          </w:p>
        </w:tc>
        <w:tc>
          <w:tcPr>
            <w:tcW w:w="2410" w:type="dxa"/>
            <w:vAlign w:val="bottom"/>
          </w:tcPr>
          <w:p w14:paraId="0000010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214.254 € </w:t>
            </w:r>
          </w:p>
        </w:tc>
        <w:tc>
          <w:tcPr>
            <w:tcW w:w="2693" w:type="dxa"/>
            <w:vAlign w:val="bottom"/>
          </w:tcPr>
          <w:p w14:paraId="0000010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234.731 € </w:t>
            </w:r>
          </w:p>
        </w:tc>
        <w:tc>
          <w:tcPr>
            <w:tcW w:w="1984" w:type="dxa"/>
            <w:vAlign w:val="bottom"/>
          </w:tcPr>
          <w:p w14:paraId="0000010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r>
      <w:tr w:rsidR="005D4D4B" w14:paraId="3313BA20"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0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Burgos Capital</w:t>
            </w:r>
          </w:p>
        </w:tc>
        <w:tc>
          <w:tcPr>
            <w:tcW w:w="2410" w:type="dxa"/>
            <w:vAlign w:val="bottom"/>
          </w:tcPr>
          <w:p w14:paraId="0000010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168.377 € </w:t>
            </w:r>
          </w:p>
        </w:tc>
        <w:tc>
          <w:tcPr>
            <w:tcW w:w="2693" w:type="dxa"/>
            <w:vAlign w:val="bottom"/>
          </w:tcPr>
          <w:p w14:paraId="0000010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183.329 € </w:t>
            </w:r>
          </w:p>
        </w:tc>
        <w:tc>
          <w:tcPr>
            <w:tcW w:w="1984" w:type="dxa"/>
            <w:vAlign w:val="bottom"/>
          </w:tcPr>
          <w:p w14:paraId="0000010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r>
      <w:tr w:rsidR="005D4D4B" w14:paraId="16D82CFA"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0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Oviedo</w:t>
            </w:r>
          </w:p>
        </w:tc>
        <w:tc>
          <w:tcPr>
            <w:tcW w:w="2410" w:type="dxa"/>
            <w:vAlign w:val="bottom"/>
          </w:tcPr>
          <w:p w14:paraId="0000010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177.871 € </w:t>
            </w:r>
          </w:p>
        </w:tc>
        <w:tc>
          <w:tcPr>
            <w:tcW w:w="2693" w:type="dxa"/>
            <w:vAlign w:val="bottom"/>
          </w:tcPr>
          <w:p w14:paraId="0000010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193.570 € </w:t>
            </w:r>
          </w:p>
        </w:tc>
        <w:tc>
          <w:tcPr>
            <w:tcW w:w="1984" w:type="dxa"/>
            <w:vAlign w:val="bottom"/>
          </w:tcPr>
          <w:p w14:paraId="0000011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8,8%</w:t>
            </w:r>
          </w:p>
        </w:tc>
      </w:tr>
      <w:tr w:rsidR="005D4D4B" w14:paraId="7E423401"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1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Alicante / Alacant</w:t>
            </w:r>
          </w:p>
        </w:tc>
        <w:tc>
          <w:tcPr>
            <w:tcW w:w="2410" w:type="dxa"/>
            <w:vAlign w:val="bottom"/>
          </w:tcPr>
          <w:p w14:paraId="0000011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218.430 € </w:t>
            </w:r>
          </w:p>
        </w:tc>
        <w:tc>
          <w:tcPr>
            <w:tcW w:w="2693" w:type="dxa"/>
            <w:vAlign w:val="bottom"/>
          </w:tcPr>
          <w:p w14:paraId="0000011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237.231 € </w:t>
            </w:r>
          </w:p>
        </w:tc>
        <w:tc>
          <w:tcPr>
            <w:tcW w:w="1984" w:type="dxa"/>
            <w:vAlign w:val="bottom"/>
          </w:tcPr>
          <w:p w14:paraId="0000011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r>
      <w:tr w:rsidR="005D4D4B" w14:paraId="4CD20B9D"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1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lastRenderedPageBreak/>
              <w:t>Girona Capital</w:t>
            </w:r>
          </w:p>
        </w:tc>
        <w:tc>
          <w:tcPr>
            <w:tcW w:w="2410" w:type="dxa"/>
            <w:vAlign w:val="bottom"/>
          </w:tcPr>
          <w:p w14:paraId="0000011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219.166 € </w:t>
            </w:r>
          </w:p>
        </w:tc>
        <w:tc>
          <w:tcPr>
            <w:tcW w:w="2693" w:type="dxa"/>
            <w:vAlign w:val="bottom"/>
          </w:tcPr>
          <w:p w14:paraId="0000011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237.767 € </w:t>
            </w:r>
          </w:p>
        </w:tc>
        <w:tc>
          <w:tcPr>
            <w:tcW w:w="1984" w:type="dxa"/>
            <w:vAlign w:val="bottom"/>
          </w:tcPr>
          <w:p w14:paraId="0000011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8,5%</w:t>
            </w:r>
          </w:p>
        </w:tc>
      </w:tr>
      <w:tr w:rsidR="005D4D4B" w14:paraId="31146C9D"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1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Vitoria - Gasteiz</w:t>
            </w:r>
          </w:p>
        </w:tc>
        <w:tc>
          <w:tcPr>
            <w:tcW w:w="2410" w:type="dxa"/>
            <w:vAlign w:val="bottom"/>
          </w:tcPr>
          <w:p w14:paraId="0000011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234.300 € </w:t>
            </w:r>
          </w:p>
        </w:tc>
        <w:tc>
          <w:tcPr>
            <w:tcW w:w="2693" w:type="dxa"/>
            <w:vAlign w:val="bottom"/>
          </w:tcPr>
          <w:p w14:paraId="0000011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253.786 € </w:t>
            </w:r>
          </w:p>
        </w:tc>
        <w:tc>
          <w:tcPr>
            <w:tcW w:w="1984" w:type="dxa"/>
            <w:vAlign w:val="bottom"/>
          </w:tcPr>
          <w:p w14:paraId="0000011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r>
      <w:tr w:rsidR="005D4D4B" w14:paraId="7797900F"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1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410" w:type="dxa"/>
            <w:vAlign w:val="bottom"/>
          </w:tcPr>
          <w:p w14:paraId="0000011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215.475 € </w:t>
            </w:r>
          </w:p>
        </w:tc>
        <w:tc>
          <w:tcPr>
            <w:tcW w:w="2693" w:type="dxa"/>
            <w:vAlign w:val="bottom"/>
          </w:tcPr>
          <w:p w14:paraId="0000011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232.135 € </w:t>
            </w:r>
          </w:p>
        </w:tc>
        <w:tc>
          <w:tcPr>
            <w:tcW w:w="1984" w:type="dxa"/>
            <w:vAlign w:val="bottom"/>
          </w:tcPr>
          <w:p w14:paraId="0000012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r>
      <w:tr w:rsidR="005D4D4B" w14:paraId="0C7E852A"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2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Bilbao</w:t>
            </w:r>
          </w:p>
        </w:tc>
        <w:tc>
          <w:tcPr>
            <w:tcW w:w="2410" w:type="dxa"/>
            <w:vAlign w:val="bottom"/>
          </w:tcPr>
          <w:p w14:paraId="0000012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302.876 € </w:t>
            </w:r>
          </w:p>
        </w:tc>
        <w:tc>
          <w:tcPr>
            <w:tcW w:w="2693" w:type="dxa"/>
            <w:vAlign w:val="bottom"/>
          </w:tcPr>
          <w:p w14:paraId="0000012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326.290 € </w:t>
            </w:r>
          </w:p>
        </w:tc>
        <w:tc>
          <w:tcPr>
            <w:tcW w:w="1984" w:type="dxa"/>
            <w:vAlign w:val="bottom"/>
          </w:tcPr>
          <w:p w14:paraId="0000012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5D4D4B" w14:paraId="6CC75D85"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2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A Coruña Capital</w:t>
            </w:r>
          </w:p>
        </w:tc>
        <w:tc>
          <w:tcPr>
            <w:tcW w:w="2410" w:type="dxa"/>
            <w:vAlign w:val="bottom"/>
          </w:tcPr>
          <w:p w14:paraId="0000012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228.592 € </w:t>
            </w:r>
          </w:p>
        </w:tc>
        <w:tc>
          <w:tcPr>
            <w:tcW w:w="2693" w:type="dxa"/>
            <w:vAlign w:val="bottom"/>
          </w:tcPr>
          <w:p w14:paraId="0000012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245.850 € </w:t>
            </w:r>
          </w:p>
        </w:tc>
        <w:tc>
          <w:tcPr>
            <w:tcW w:w="1984" w:type="dxa"/>
            <w:vAlign w:val="bottom"/>
          </w:tcPr>
          <w:p w14:paraId="0000012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7,5%</w:t>
            </w:r>
          </w:p>
        </w:tc>
      </w:tr>
      <w:tr w:rsidR="005D4D4B" w14:paraId="375B992C"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2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Valencia Capital</w:t>
            </w:r>
          </w:p>
        </w:tc>
        <w:tc>
          <w:tcPr>
            <w:tcW w:w="2410" w:type="dxa"/>
            <w:vAlign w:val="bottom"/>
          </w:tcPr>
          <w:p w14:paraId="0000012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248.097 € </w:t>
            </w:r>
          </w:p>
        </w:tc>
        <w:tc>
          <w:tcPr>
            <w:tcW w:w="2693" w:type="dxa"/>
            <w:vAlign w:val="bottom"/>
          </w:tcPr>
          <w:p w14:paraId="0000012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266.619 € </w:t>
            </w:r>
          </w:p>
        </w:tc>
        <w:tc>
          <w:tcPr>
            <w:tcW w:w="1984" w:type="dxa"/>
            <w:vAlign w:val="bottom"/>
          </w:tcPr>
          <w:p w14:paraId="0000012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7,5%</w:t>
            </w:r>
          </w:p>
        </w:tc>
      </w:tr>
      <w:tr w:rsidR="005D4D4B" w14:paraId="50100F84"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2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Málaga Capital</w:t>
            </w:r>
          </w:p>
        </w:tc>
        <w:tc>
          <w:tcPr>
            <w:tcW w:w="2410" w:type="dxa"/>
            <w:vAlign w:val="bottom"/>
          </w:tcPr>
          <w:p w14:paraId="0000012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314.381 € </w:t>
            </w:r>
          </w:p>
        </w:tc>
        <w:tc>
          <w:tcPr>
            <w:tcW w:w="2693" w:type="dxa"/>
            <w:vAlign w:val="bottom"/>
          </w:tcPr>
          <w:p w14:paraId="0000012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337.322 € </w:t>
            </w:r>
          </w:p>
        </w:tc>
        <w:tc>
          <w:tcPr>
            <w:tcW w:w="1984" w:type="dxa"/>
            <w:vAlign w:val="bottom"/>
          </w:tcPr>
          <w:p w14:paraId="0000013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7,3%</w:t>
            </w:r>
          </w:p>
        </w:tc>
      </w:tr>
      <w:tr w:rsidR="005D4D4B" w14:paraId="13300F53"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3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Logroño</w:t>
            </w:r>
          </w:p>
        </w:tc>
        <w:tc>
          <w:tcPr>
            <w:tcW w:w="2410" w:type="dxa"/>
            <w:vAlign w:val="bottom"/>
          </w:tcPr>
          <w:p w14:paraId="0000013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166.192 € </w:t>
            </w:r>
          </w:p>
        </w:tc>
        <w:tc>
          <w:tcPr>
            <w:tcW w:w="2693" w:type="dxa"/>
            <w:vAlign w:val="bottom"/>
          </w:tcPr>
          <w:p w14:paraId="0000013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178.201 € </w:t>
            </w:r>
          </w:p>
        </w:tc>
        <w:tc>
          <w:tcPr>
            <w:tcW w:w="1984" w:type="dxa"/>
            <w:vAlign w:val="bottom"/>
          </w:tcPr>
          <w:p w14:paraId="0000013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7,2%</w:t>
            </w:r>
          </w:p>
        </w:tc>
      </w:tr>
      <w:tr w:rsidR="005D4D4B" w14:paraId="35C8AADC"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3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Palma de Mallorca</w:t>
            </w:r>
          </w:p>
        </w:tc>
        <w:tc>
          <w:tcPr>
            <w:tcW w:w="2410" w:type="dxa"/>
            <w:vAlign w:val="bottom"/>
          </w:tcPr>
          <w:p w14:paraId="0000013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391.922 € </w:t>
            </w:r>
          </w:p>
        </w:tc>
        <w:tc>
          <w:tcPr>
            <w:tcW w:w="2693" w:type="dxa"/>
            <w:vAlign w:val="bottom"/>
          </w:tcPr>
          <w:p w14:paraId="0000013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417.984 € </w:t>
            </w:r>
          </w:p>
        </w:tc>
        <w:tc>
          <w:tcPr>
            <w:tcW w:w="1984" w:type="dxa"/>
            <w:vAlign w:val="bottom"/>
          </w:tcPr>
          <w:p w14:paraId="0000013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6,6%</w:t>
            </w:r>
          </w:p>
        </w:tc>
      </w:tr>
      <w:tr w:rsidR="005D4D4B" w14:paraId="6E4F8D3D"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3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Murcia Capital</w:t>
            </w:r>
          </w:p>
        </w:tc>
        <w:tc>
          <w:tcPr>
            <w:tcW w:w="2410" w:type="dxa"/>
            <w:vAlign w:val="bottom"/>
          </w:tcPr>
          <w:p w14:paraId="0000013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136.453 € </w:t>
            </w:r>
          </w:p>
        </w:tc>
        <w:tc>
          <w:tcPr>
            <w:tcW w:w="2693" w:type="dxa"/>
            <w:vAlign w:val="bottom"/>
          </w:tcPr>
          <w:p w14:paraId="0000013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145.080 € </w:t>
            </w:r>
          </w:p>
        </w:tc>
        <w:tc>
          <w:tcPr>
            <w:tcW w:w="1984" w:type="dxa"/>
            <w:vAlign w:val="bottom"/>
          </w:tcPr>
          <w:p w14:paraId="0000013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6,3%</w:t>
            </w:r>
          </w:p>
        </w:tc>
      </w:tr>
      <w:tr w:rsidR="005D4D4B" w14:paraId="7CEA5CC2"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3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2410" w:type="dxa"/>
            <w:vAlign w:val="bottom"/>
          </w:tcPr>
          <w:p w14:paraId="0000013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135.732 € </w:t>
            </w:r>
          </w:p>
        </w:tc>
        <w:tc>
          <w:tcPr>
            <w:tcW w:w="2693" w:type="dxa"/>
            <w:vAlign w:val="bottom"/>
          </w:tcPr>
          <w:p w14:paraId="0000013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 xml:space="preserve">           144.249 € </w:t>
            </w:r>
          </w:p>
        </w:tc>
        <w:tc>
          <w:tcPr>
            <w:tcW w:w="1984" w:type="dxa"/>
            <w:vAlign w:val="bottom"/>
          </w:tcPr>
          <w:p w14:paraId="0000014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6,3%</w:t>
            </w:r>
          </w:p>
        </w:tc>
      </w:tr>
      <w:tr w:rsidR="005D4D4B" w14:paraId="45F58B91"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4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Ávila Capital</w:t>
            </w:r>
          </w:p>
        </w:tc>
        <w:tc>
          <w:tcPr>
            <w:tcW w:w="2410" w:type="dxa"/>
            <w:vAlign w:val="bottom"/>
          </w:tcPr>
          <w:p w14:paraId="0000014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113.224 € </w:t>
            </w:r>
          </w:p>
        </w:tc>
        <w:tc>
          <w:tcPr>
            <w:tcW w:w="2693" w:type="dxa"/>
            <w:vAlign w:val="bottom"/>
          </w:tcPr>
          <w:p w14:paraId="0000014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119.978 € </w:t>
            </w:r>
          </w:p>
        </w:tc>
        <w:tc>
          <w:tcPr>
            <w:tcW w:w="1984" w:type="dxa"/>
            <w:vAlign w:val="bottom"/>
          </w:tcPr>
          <w:p w14:paraId="0000014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6,0%</w:t>
            </w:r>
          </w:p>
        </w:tc>
      </w:tr>
      <w:tr w:rsidR="005D4D4B" w14:paraId="77F814B6"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4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Pamplona / Iruña</w:t>
            </w:r>
          </w:p>
        </w:tc>
        <w:tc>
          <w:tcPr>
            <w:tcW w:w="2410" w:type="dxa"/>
            <w:vAlign w:val="bottom"/>
          </w:tcPr>
          <w:p w14:paraId="0000014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240.964 € </w:t>
            </w:r>
          </w:p>
        </w:tc>
        <w:tc>
          <w:tcPr>
            <w:tcW w:w="2693" w:type="dxa"/>
            <w:vAlign w:val="bottom"/>
          </w:tcPr>
          <w:p w14:paraId="0000014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254.833 € </w:t>
            </w:r>
          </w:p>
        </w:tc>
        <w:tc>
          <w:tcPr>
            <w:tcW w:w="1984" w:type="dxa"/>
            <w:vAlign w:val="bottom"/>
          </w:tcPr>
          <w:p w14:paraId="0000014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w:t>
            </w:r>
          </w:p>
        </w:tc>
      </w:tr>
      <w:tr w:rsidR="005D4D4B" w14:paraId="033F7E8F"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4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Sevilla Capital</w:t>
            </w:r>
          </w:p>
        </w:tc>
        <w:tc>
          <w:tcPr>
            <w:tcW w:w="2410" w:type="dxa"/>
            <w:vAlign w:val="bottom"/>
          </w:tcPr>
          <w:p w14:paraId="0000014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205.942 € </w:t>
            </w:r>
          </w:p>
        </w:tc>
        <w:tc>
          <w:tcPr>
            <w:tcW w:w="2693" w:type="dxa"/>
            <w:vAlign w:val="bottom"/>
          </w:tcPr>
          <w:p w14:paraId="0000014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217.230 € </w:t>
            </w:r>
          </w:p>
        </w:tc>
        <w:tc>
          <w:tcPr>
            <w:tcW w:w="1984" w:type="dxa"/>
            <w:vAlign w:val="bottom"/>
          </w:tcPr>
          <w:p w14:paraId="0000014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r>
      <w:tr w:rsidR="005D4D4B" w14:paraId="35E6F1EA"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4D"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Donostia - San Sebastián</w:t>
            </w:r>
          </w:p>
        </w:tc>
        <w:tc>
          <w:tcPr>
            <w:tcW w:w="2410" w:type="dxa"/>
            <w:vAlign w:val="bottom"/>
          </w:tcPr>
          <w:p w14:paraId="0000014E"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530.011 € </w:t>
            </w:r>
          </w:p>
        </w:tc>
        <w:tc>
          <w:tcPr>
            <w:tcW w:w="2693" w:type="dxa"/>
            <w:vAlign w:val="bottom"/>
          </w:tcPr>
          <w:p w14:paraId="0000014F"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555.560 € </w:t>
            </w:r>
          </w:p>
        </w:tc>
        <w:tc>
          <w:tcPr>
            <w:tcW w:w="1984" w:type="dxa"/>
            <w:vAlign w:val="bottom"/>
          </w:tcPr>
          <w:p w14:paraId="00000150"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r>
      <w:tr w:rsidR="005D4D4B" w14:paraId="77DB802A"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51"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Guadalajara Capital</w:t>
            </w:r>
          </w:p>
        </w:tc>
        <w:tc>
          <w:tcPr>
            <w:tcW w:w="2410" w:type="dxa"/>
            <w:vAlign w:val="bottom"/>
          </w:tcPr>
          <w:p w14:paraId="00000152"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164.676 € </w:t>
            </w:r>
          </w:p>
        </w:tc>
        <w:tc>
          <w:tcPr>
            <w:tcW w:w="2693" w:type="dxa"/>
            <w:vAlign w:val="bottom"/>
          </w:tcPr>
          <w:p w14:paraId="00000153"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172.487 € </w:t>
            </w:r>
          </w:p>
        </w:tc>
        <w:tc>
          <w:tcPr>
            <w:tcW w:w="1984" w:type="dxa"/>
            <w:vAlign w:val="bottom"/>
          </w:tcPr>
          <w:p w14:paraId="00000154"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r>
      <w:tr w:rsidR="005D4D4B" w14:paraId="3AD0BA27" w14:textId="77777777" w:rsidTr="005D4D4B">
        <w:trPr>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55"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Barcelona Capital</w:t>
            </w:r>
          </w:p>
        </w:tc>
        <w:tc>
          <w:tcPr>
            <w:tcW w:w="2410" w:type="dxa"/>
            <w:vAlign w:val="bottom"/>
          </w:tcPr>
          <w:p w14:paraId="00000156"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397.404 € </w:t>
            </w:r>
          </w:p>
        </w:tc>
        <w:tc>
          <w:tcPr>
            <w:tcW w:w="2693" w:type="dxa"/>
            <w:vAlign w:val="bottom"/>
          </w:tcPr>
          <w:p w14:paraId="00000157" w14:textId="77777777" w:rsidR="005D4D4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415.315 € </w:t>
            </w:r>
          </w:p>
        </w:tc>
        <w:tc>
          <w:tcPr>
            <w:tcW w:w="1984" w:type="dxa"/>
            <w:vAlign w:val="bottom"/>
          </w:tcPr>
          <w:p w14:paraId="00000158" w14:textId="77777777" w:rsidR="005D4D4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r>
      <w:tr w:rsidR="005D4D4B" w14:paraId="74823D69" w14:textId="77777777" w:rsidTr="005D4D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00000159" w14:textId="77777777" w:rsidR="005D4D4B" w:rsidRDefault="00000000">
            <w:pPr>
              <w:rPr>
                <w:rFonts w:ascii="Open Sans" w:eastAsia="Open Sans" w:hAnsi="Open Sans" w:cs="Open Sans"/>
                <w:sz w:val="22"/>
                <w:szCs w:val="22"/>
              </w:rPr>
            </w:pPr>
            <w:r>
              <w:rPr>
                <w:rFonts w:ascii="Open Sans" w:eastAsia="Open Sans" w:hAnsi="Open Sans" w:cs="Open Sans"/>
                <w:sz w:val="22"/>
                <w:szCs w:val="22"/>
              </w:rPr>
              <w:t>Madrid Capital</w:t>
            </w:r>
          </w:p>
        </w:tc>
        <w:tc>
          <w:tcPr>
            <w:tcW w:w="2410" w:type="dxa"/>
            <w:vAlign w:val="bottom"/>
          </w:tcPr>
          <w:p w14:paraId="0000015A"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467.907 € </w:t>
            </w:r>
          </w:p>
        </w:tc>
        <w:tc>
          <w:tcPr>
            <w:tcW w:w="2693" w:type="dxa"/>
            <w:vAlign w:val="bottom"/>
          </w:tcPr>
          <w:p w14:paraId="0000015B" w14:textId="77777777" w:rsidR="005D4D4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486.896 € </w:t>
            </w:r>
          </w:p>
        </w:tc>
        <w:tc>
          <w:tcPr>
            <w:tcW w:w="1984" w:type="dxa"/>
            <w:vAlign w:val="bottom"/>
          </w:tcPr>
          <w:p w14:paraId="0000015C" w14:textId="77777777" w:rsidR="005D4D4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r>
    </w:tbl>
    <w:p w14:paraId="0000015D" w14:textId="77777777" w:rsidR="005D4D4B" w:rsidRDefault="005D4D4B">
      <w:pPr>
        <w:spacing w:line="276" w:lineRule="auto"/>
        <w:ind w:right="-433"/>
        <w:jc w:val="right"/>
        <w:rPr>
          <w:rFonts w:ascii="Open Sans" w:eastAsia="Open Sans" w:hAnsi="Open Sans" w:cs="Open Sans"/>
          <w:b/>
          <w:color w:val="303AB2"/>
        </w:rPr>
      </w:pPr>
    </w:p>
    <w:p w14:paraId="00000160" w14:textId="77777777" w:rsidR="005D4D4B"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161" w14:textId="77777777" w:rsidR="005D4D4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sidR="005D4D4B">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0000162" w14:textId="77777777" w:rsidR="005D4D4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sidR="005D4D4B">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0000163" w14:textId="77777777" w:rsidR="005D4D4B"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0000164" w14:textId="77777777" w:rsidR="005D4D4B"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00000165" w14:textId="77777777" w:rsidR="005D4D4B"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4">
        <w:r w:rsidR="005D4D4B">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r w:rsidR="005D4D4B">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6">
        <w:r w:rsidR="005D4D4B">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sidR="005D4D4B">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5D4D4B">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19">
        <w:r w:rsidR="005D4D4B">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0000166" w14:textId="77777777" w:rsidR="005D4D4B"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000167" w14:textId="77777777" w:rsidR="005D4D4B"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00000168" w14:textId="77777777" w:rsidR="005D4D4B" w:rsidRDefault="00000000">
      <w:pPr>
        <w:spacing w:before="143" w:after="200"/>
        <w:ind w:right="-574"/>
        <w:jc w:val="both"/>
      </w:pPr>
      <w:r>
        <w:rPr>
          <w:rFonts w:ascii="Open Sans" w:eastAsia="Open Sans" w:hAnsi="Open Sans" w:cs="Open Sans"/>
          <w:sz w:val="22"/>
          <w:szCs w:val="22"/>
        </w:rPr>
        <w:t xml:space="preserve">Más información en </w:t>
      </w:r>
      <w:hyperlink r:id="rId20">
        <w:r w:rsidR="005D4D4B">
          <w:rPr>
            <w:rFonts w:ascii="Open Sans" w:eastAsia="Open Sans" w:hAnsi="Open Sans" w:cs="Open Sans"/>
            <w:color w:val="1155CC"/>
            <w:sz w:val="22"/>
            <w:szCs w:val="22"/>
            <w:u w:val="single"/>
          </w:rPr>
          <w:t>adevinta.es</w:t>
        </w:r>
      </w:hyperlink>
    </w:p>
    <w:p w14:paraId="00000169" w14:textId="77777777" w:rsidR="005D4D4B" w:rsidRDefault="005D4D4B">
      <w:pPr>
        <w:spacing w:before="143" w:after="200"/>
        <w:ind w:right="-574"/>
        <w:jc w:val="both"/>
        <w:rPr>
          <w:rFonts w:ascii="Open Sans" w:eastAsia="Open Sans" w:hAnsi="Open Sans" w:cs="Open Sans"/>
        </w:rPr>
      </w:pPr>
    </w:p>
    <w:p w14:paraId="0000016A" w14:textId="77777777" w:rsidR="005D4D4B"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16B" w14:textId="77777777" w:rsidR="005D4D4B"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16C" w14:textId="77777777" w:rsidR="005D4D4B" w:rsidRDefault="005D4D4B">
      <w:pPr>
        <w:shd w:val="clear" w:color="auto" w:fill="FFFFFF"/>
        <w:spacing w:line="276" w:lineRule="auto"/>
        <w:ind w:right="-574"/>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0000016D" w14:textId="77777777" w:rsidR="005D4D4B"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16E" w14:textId="77777777" w:rsidR="005D4D4B" w:rsidRDefault="005D4D4B">
      <w:pPr>
        <w:spacing w:line="276" w:lineRule="auto"/>
        <w:ind w:right="-574"/>
        <w:jc w:val="right"/>
        <w:rPr>
          <w:rFonts w:ascii="Open Sans" w:eastAsia="Open Sans" w:hAnsi="Open Sans" w:cs="Open Sans"/>
          <w:sz w:val="22"/>
          <w:szCs w:val="22"/>
        </w:rPr>
      </w:pPr>
    </w:p>
    <w:sectPr w:rsidR="005D4D4B">
      <w:headerReference w:type="default" r:id="rId22"/>
      <w:footerReference w:type="default" r:id="rId23"/>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37E14" w14:textId="77777777" w:rsidR="00CA5698" w:rsidRDefault="00CA5698">
      <w:r>
        <w:separator/>
      </w:r>
    </w:p>
  </w:endnote>
  <w:endnote w:type="continuationSeparator" w:id="0">
    <w:p w14:paraId="3788EF1D" w14:textId="77777777" w:rsidR="00CA5698" w:rsidRDefault="00CA5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AF57450-47FC-4818-91B7-43FFBBE7539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CEE47B7-9628-435F-9FBC-5F378B9CC01F}"/>
    <w:embedBold r:id="rId3" w:fontKey="{ED4E6866-2EC8-492D-8621-24C3E61793C5}"/>
    <w:embedItalic r:id="rId4" w:fontKey="{993C2795-F947-4C91-90D1-CCE6E711EAA9}"/>
  </w:font>
  <w:font w:name="Calibri Light">
    <w:panose1 w:val="020F0302020204030204"/>
    <w:charset w:val="00"/>
    <w:family w:val="swiss"/>
    <w:pitch w:val="variable"/>
    <w:sig w:usb0="E4002EFF" w:usb1="C000247B" w:usb2="00000009" w:usb3="00000000" w:csb0="000001FF" w:csb1="00000000"/>
    <w:embedRegular r:id="rId5" w:fontKey="{4B7C94FE-0704-4D3A-94B2-8DE8D6A5807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DE95697-971B-4289-9AD1-64046FD35BDD}"/>
  </w:font>
  <w:font w:name="Georgia">
    <w:panose1 w:val="02040502050405020303"/>
    <w:charset w:val="00"/>
    <w:family w:val="roman"/>
    <w:pitch w:val="variable"/>
    <w:sig w:usb0="00000287" w:usb1="00000000" w:usb2="00000000" w:usb3="00000000" w:csb0="0000009F" w:csb1="00000000"/>
    <w:embedRegular r:id="rId7" w:fontKey="{B301C009-C305-4249-AFAD-376AAF9BE4F2}"/>
    <w:embedItalic r:id="rId8" w:fontKey="{634800F3-4A02-4C3E-AEFC-D8E7D5F22DB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9" w:fontKey="{085E6655-EF49-459F-B179-E6C95D2021E7}"/>
    <w:embedBold r:id="rId10" w:fontKey="{E22FCD51-78D8-442B-AD52-2A0A4AF23955}"/>
  </w:font>
  <w:font w:name="Open Sans Light">
    <w:charset w:val="00"/>
    <w:family w:val="swiss"/>
    <w:pitch w:val="variable"/>
    <w:sig w:usb0="E00002EF" w:usb1="4000205B" w:usb2="00000028" w:usb3="00000000" w:csb0="0000019F" w:csb1="00000000"/>
    <w:embedRegular r:id="rId11" w:fontKey="{B389328E-098F-41F3-A8D1-E9AE952AF2E1}"/>
    <w:embedBold r:id="rId12" w:fontKey="{E23E4234-F6EF-4D64-9F02-CC5C7E0C5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8" w14:textId="77777777" w:rsidR="005D4D4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7E5474F9" wp14:editId="09185DF6">
          <wp:simplePos x="0" y="0"/>
          <wp:positionH relativeFrom="column">
            <wp:posOffset>-1068057</wp:posOffset>
          </wp:positionH>
          <wp:positionV relativeFrom="paragraph">
            <wp:posOffset>174608</wp:posOffset>
          </wp:positionV>
          <wp:extent cx="7670550" cy="451315"/>
          <wp:effectExtent l="0" t="0" r="0" b="0"/>
          <wp:wrapNone/>
          <wp:docPr id="20793668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DF435" w14:textId="77777777" w:rsidR="00CA5698" w:rsidRDefault="00CA5698">
      <w:r>
        <w:separator/>
      </w:r>
    </w:p>
  </w:footnote>
  <w:footnote w:type="continuationSeparator" w:id="0">
    <w:p w14:paraId="5F73846E" w14:textId="77777777" w:rsidR="00CA5698" w:rsidRDefault="00CA5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5D4D4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D82E3EF" wp14:editId="616F1A65">
          <wp:simplePos x="0" y="0"/>
          <wp:positionH relativeFrom="column">
            <wp:posOffset>-1121121</wp:posOffset>
          </wp:positionH>
          <wp:positionV relativeFrom="paragraph">
            <wp:posOffset>225176</wp:posOffset>
          </wp:positionV>
          <wp:extent cx="7581265" cy="1019175"/>
          <wp:effectExtent l="0" t="0" r="0" b="0"/>
          <wp:wrapNone/>
          <wp:docPr id="20793668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0000170" w14:textId="77777777" w:rsidR="005D4D4B" w:rsidRDefault="005D4D4B">
    <w:pPr>
      <w:pBdr>
        <w:top w:val="nil"/>
        <w:left w:val="nil"/>
        <w:bottom w:val="nil"/>
        <w:right w:val="nil"/>
        <w:between w:val="nil"/>
      </w:pBdr>
      <w:tabs>
        <w:tab w:val="center" w:pos="4252"/>
        <w:tab w:val="right" w:pos="8504"/>
      </w:tabs>
      <w:rPr>
        <w:color w:val="000000"/>
      </w:rPr>
    </w:pPr>
  </w:p>
  <w:p w14:paraId="00000171" w14:textId="77777777" w:rsidR="005D4D4B" w:rsidRDefault="005D4D4B">
    <w:pPr>
      <w:pBdr>
        <w:top w:val="nil"/>
        <w:left w:val="nil"/>
        <w:bottom w:val="nil"/>
        <w:right w:val="nil"/>
        <w:between w:val="nil"/>
      </w:pBdr>
      <w:tabs>
        <w:tab w:val="center" w:pos="4252"/>
        <w:tab w:val="right" w:pos="8504"/>
      </w:tabs>
      <w:rPr>
        <w:color w:val="000000"/>
      </w:rPr>
    </w:pPr>
  </w:p>
  <w:p w14:paraId="00000172" w14:textId="77777777" w:rsidR="005D4D4B" w:rsidRDefault="005D4D4B">
    <w:pPr>
      <w:pBdr>
        <w:top w:val="nil"/>
        <w:left w:val="nil"/>
        <w:bottom w:val="nil"/>
        <w:right w:val="nil"/>
        <w:between w:val="nil"/>
      </w:pBdr>
      <w:tabs>
        <w:tab w:val="center" w:pos="4252"/>
        <w:tab w:val="right" w:pos="8504"/>
      </w:tabs>
      <w:rPr>
        <w:color w:val="000000"/>
      </w:rPr>
    </w:pPr>
  </w:p>
  <w:p w14:paraId="00000173" w14:textId="77777777" w:rsidR="005D4D4B" w:rsidRDefault="005D4D4B">
    <w:pPr>
      <w:pBdr>
        <w:top w:val="nil"/>
        <w:left w:val="nil"/>
        <w:bottom w:val="nil"/>
        <w:right w:val="nil"/>
        <w:between w:val="nil"/>
      </w:pBdr>
      <w:tabs>
        <w:tab w:val="center" w:pos="4252"/>
        <w:tab w:val="right" w:pos="8504"/>
      </w:tabs>
      <w:rPr>
        <w:color w:val="000000"/>
      </w:rPr>
    </w:pPr>
  </w:p>
  <w:p w14:paraId="00000174" w14:textId="77777777" w:rsidR="005D4D4B" w:rsidRDefault="005D4D4B">
    <w:pPr>
      <w:pBdr>
        <w:top w:val="nil"/>
        <w:left w:val="nil"/>
        <w:bottom w:val="nil"/>
        <w:right w:val="nil"/>
        <w:between w:val="nil"/>
      </w:pBdr>
      <w:tabs>
        <w:tab w:val="center" w:pos="4252"/>
        <w:tab w:val="right" w:pos="8504"/>
      </w:tabs>
      <w:rPr>
        <w:color w:val="000000"/>
      </w:rPr>
    </w:pPr>
  </w:p>
  <w:p w14:paraId="00000175" w14:textId="77777777" w:rsidR="005D4D4B" w:rsidRDefault="005D4D4B">
    <w:pPr>
      <w:pBdr>
        <w:top w:val="nil"/>
        <w:left w:val="nil"/>
        <w:bottom w:val="nil"/>
        <w:right w:val="nil"/>
        <w:between w:val="nil"/>
      </w:pBdr>
      <w:tabs>
        <w:tab w:val="center" w:pos="4252"/>
        <w:tab w:val="right" w:pos="8504"/>
      </w:tabs>
      <w:rPr>
        <w:color w:val="000000"/>
      </w:rPr>
    </w:pPr>
  </w:p>
  <w:p w14:paraId="00000176" w14:textId="77777777" w:rsidR="005D4D4B" w:rsidRDefault="005D4D4B">
    <w:pPr>
      <w:pBdr>
        <w:top w:val="nil"/>
        <w:left w:val="nil"/>
        <w:bottom w:val="nil"/>
        <w:right w:val="nil"/>
        <w:between w:val="nil"/>
      </w:pBdr>
      <w:tabs>
        <w:tab w:val="center" w:pos="4252"/>
        <w:tab w:val="right" w:pos="8504"/>
      </w:tabs>
      <w:rPr>
        <w:color w:val="000000"/>
      </w:rPr>
    </w:pPr>
  </w:p>
  <w:p w14:paraId="00000177" w14:textId="77777777" w:rsidR="005D4D4B" w:rsidRDefault="005D4D4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844D4"/>
    <w:multiLevelType w:val="multilevel"/>
    <w:tmpl w:val="83F6D608"/>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272009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D4B"/>
    <w:rsid w:val="001D3326"/>
    <w:rsid w:val="003050C1"/>
    <w:rsid w:val="004F1E05"/>
    <w:rsid w:val="005B36F8"/>
    <w:rsid w:val="005D4D4B"/>
    <w:rsid w:val="00862CF8"/>
    <w:rsid w:val="00CA5698"/>
    <w:rsid w:val="00D30D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0D68E"/>
  <w15:docId w15:val="{F6A7FC88-6621-4128-A165-89AA5761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162"/>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rPr>
  </w:style>
  <w:style w:type="table" w:styleId="Tablaconcuadrcula">
    <w:name w:val="Table Grid"/>
    <w:basedOn w:val="Tablanormal"/>
    <w:uiPriority w:val="39"/>
    <w:rsid w:val="00471E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69714C"/>
  </w:style>
  <w:style w:type="character" w:customStyle="1" w:styleId="il">
    <w:name w:val="il"/>
    <w:basedOn w:val="Fuentedeprrafopredeter"/>
    <w:rsid w:val="0069714C"/>
  </w:style>
  <w:style w:type="character" w:styleId="CitaHTML">
    <w:name w:val="HTML Cite"/>
    <w:basedOn w:val="Fuentedeprrafopredeter"/>
    <w:uiPriority w:val="99"/>
    <w:semiHidden/>
    <w:unhideWhenUsed/>
    <w:rsid w:val="00D72640"/>
    <w:rPr>
      <w:i/>
      <w:iCs/>
    </w:rPr>
  </w:style>
  <w:style w:type="character" w:customStyle="1" w:styleId="dyjrff">
    <w:name w:val="dyjrff"/>
    <w:basedOn w:val="Fuentedeprrafopredeter"/>
    <w:rsid w:val="00D72640"/>
  </w:style>
  <w:style w:type="table" w:customStyle="1" w:styleId="a">
    <w:basedOn w:val="TableNormal8"/>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8"/>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7"/>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7"/>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6"/>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6"/>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5"/>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5"/>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4"/>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8">
    <w:basedOn w:val="TableNormal4"/>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e">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
    <w:basedOn w:val="TableNormal1"/>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0">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1">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2">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www.milanuncio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otocasa.es/e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qG9D2g1AzI/5u8nbVOsV17TYQ==">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1712</Words>
  <Characters>9420</Characters>
  <Application>Microsoft Office Word</Application>
  <DocSecurity>0</DocSecurity>
  <Lines>78</Lines>
  <Paragraphs>22</Paragraphs>
  <ScaleCrop>false</ScaleCrop>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dcterms:created xsi:type="dcterms:W3CDTF">2023-01-31T09:46:00Z</dcterms:created>
  <dcterms:modified xsi:type="dcterms:W3CDTF">2025-03-31T10:29:00Z</dcterms:modified>
</cp:coreProperties>
</file>