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4DB39" w14:textId="77777777" w:rsidR="007833E1" w:rsidRDefault="00000000">
      <w:r>
        <w:rPr>
          <w:noProof/>
        </w:rPr>
        <w:drawing>
          <wp:anchor distT="0" distB="0" distL="114300" distR="114300" simplePos="0" relativeHeight="251658240" behindDoc="0" locked="0" layoutInCell="1" hidden="0" allowOverlap="1" wp14:anchorId="190E1A16" wp14:editId="4D0B6E3F">
            <wp:simplePos x="0" y="0"/>
            <wp:positionH relativeFrom="column">
              <wp:posOffset>-1080117</wp:posOffset>
            </wp:positionH>
            <wp:positionV relativeFrom="paragraph">
              <wp:posOffset>-654666</wp:posOffset>
            </wp:positionV>
            <wp:extent cx="7581265" cy="1019175"/>
            <wp:effectExtent l="0" t="0" r="0" b="0"/>
            <wp:wrapNone/>
            <wp:docPr id="21409503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FDB096E" w14:textId="77777777" w:rsidR="007833E1" w:rsidRDefault="007833E1">
      <w:pPr>
        <w:jc w:val="right"/>
        <w:rPr>
          <w:rFonts w:ascii="National" w:eastAsia="National" w:hAnsi="National" w:cs="National"/>
          <w:color w:val="303AB2"/>
          <w:sz w:val="36"/>
          <w:szCs w:val="36"/>
        </w:rPr>
      </w:pPr>
    </w:p>
    <w:p w14:paraId="310584C6" w14:textId="77777777" w:rsidR="007833E1" w:rsidRDefault="007833E1">
      <w:pPr>
        <w:jc w:val="center"/>
        <w:rPr>
          <w:rFonts w:ascii="National" w:eastAsia="National" w:hAnsi="National" w:cs="National"/>
          <w:b/>
          <w:color w:val="1DBDC5"/>
          <w:sz w:val="34"/>
          <w:szCs w:val="34"/>
        </w:rPr>
      </w:pPr>
    </w:p>
    <w:p w14:paraId="3BC3622B" w14:textId="211DD29B" w:rsidR="007833E1"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ANÁLISIS DEL MERCADO INMOBILIARIO </w:t>
      </w:r>
      <w:r w:rsidR="006C02DF">
        <w:rPr>
          <w:rFonts w:ascii="National" w:eastAsia="National" w:hAnsi="National" w:cs="National"/>
          <w:b/>
          <w:color w:val="1DBDC5"/>
          <w:sz w:val="34"/>
          <w:szCs w:val="34"/>
        </w:rPr>
        <w:t>DE ALQUILER EN JEREZ</w:t>
      </w:r>
    </w:p>
    <w:p w14:paraId="5199D4FA" w14:textId="77777777" w:rsidR="007833E1"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del alquiler en Jerez de la Frontera alcanza en 2025 el máximo histórico de las últimas dos décadas</w:t>
      </w:r>
    </w:p>
    <w:p w14:paraId="158C4DFE" w14:textId="77777777" w:rsidR="007833E1" w:rsidRDefault="007833E1">
      <w:pPr>
        <w:jc w:val="center"/>
        <w:rPr>
          <w:rFonts w:ascii="Open Sans" w:eastAsia="Open Sans" w:hAnsi="Open Sans" w:cs="Open Sans"/>
          <w:color w:val="303AB2"/>
        </w:rPr>
      </w:pPr>
    </w:p>
    <w:p w14:paraId="4298D494" w14:textId="77777777" w:rsidR="007833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rentas en la ciudad andaluza llevan cuatro años de subidas prácticamente ininterrumpidas</w:t>
      </w:r>
    </w:p>
    <w:p w14:paraId="7C1FFA4B" w14:textId="77777777" w:rsidR="007833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precios para alquilar un inmueble se han duplicado en la última década en Jerez de la Frontera</w:t>
      </w:r>
    </w:p>
    <w:p w14:paraId="71D208DA" w14:textId="77777777" w:rsidR="007833E1" w:rsidRDefault="00000000">
      <w:pPr>
        <w:numPr>
          <w:ilvl w:val="0"/>
          <w:numId w:val="1"/>
        </w:numPr>
        <w:pBdr>
          <w:top w:val="nil"/>
          <w:left w:val="nil"/>
          <w:bottom w:val="nil"/>
          <w:right w:val="nil"/>
          <w:between w:val="nil"/>
        </w:pBdr>
        <w:rPr>
          <w:rFonts w:ascii="Open Sans Light" w:eastAsia="Open Sans Light" w:hAnsi="Open Sans Light" w:cs="Open Sans Light"/>
          <w:b/>
          <w:color w:val="303AB2"/>
        </w:rPr>
      </w:pPr>
      <w:r>
        <w:rPr>
          <w:rFonts w:ascii="Open Sans Light" w:eastAsia="Open Sans Light" w:hAnsi="Open Sans Light" w:cs="Open Sans Light"/>
          <w:b/>
          <w:color w:val="303AB2"/>
        </w:rPr>
        <w:t>Alquilar un piso de 80 metros cuadrados en Jerez de la Frontera costaba 402 euros de media hace once años y ahora cuesta 819 euros</w:t>
      </w:r>
    </w:p>
    <w:p w14:paraId="21AA8BE8" w14:textId="77777777" w:rsidR="007833E1" w:rsidRDefault="00000000">
      <w:pPr>
        <w:numPr>
          <w:ilvl w:val="0"/>
          <w:numId w:val="1"/>
        </w:numPr>
        <w:pBdr>
          <w:top w:val="nil"/>
          <w:left w:val="nil"/>
          <w:bottom w:val="nil"/>
          <w:right w:val="nil"/>
          <w:between w:val="nil"/>
        </w:pBdr>
        <w:rPr>
          <w:rFonts w:ascii="Open Sans Light" w:eastAsia="Open Sans Light" w:hAnsi="Open Sans Light" w:cs="Open Sans Light"/>
          <w:b/>
          <w:color w:val="303AB2"/>
        </w:rPr>
      </w:pPr>
      <w:r>
        <w:rPr>
          <w:rFonts w:ascii="Open Sans Light" w:eastAsia="Open Sans Light" w:hAnsi="Open Sans Light" w:cs="Open Sans Light"/>
          <w:b/>
          <w:color w:val="303AB2"/>
        </w:rPr>
        <w:t>Otros municipios de la provincia como Cádiz capital, San Fernando, El Puerto de Santa María o Tarifa superan los 10 euros por metro cuadrado de media en el mercado del alquiler</w:t>
      </w:r>
    </w:p>
    <w:p w14:paraId="26C60EBC" w14:textId="20FA1E62" w:rsidR="007833E1" w:rsidRPr="006C02DF" w:rsidRDefault="006C02DF" w:rsidP="006C02DF">
      <w:pPr>
        <w:numPr>
          <w:ilvl w:val="0"/>
          <w:numId w:val="1"/>
        </w:numPr>
        <w:pBdr>
          <w:top w:val="nil"/>
          <w:left w:val="nil"/>
          <w:bottom w:val="nil"/>
          <w:right w:val="nil"/>
          <w:between w:val="nil"/>
        </w:pBdr>
        <w:rPr>
          <w:rFonts w:ascii="Open Sans Light" w:eastAsia="Open Sans Light" w:hAnsi="Open Sans Light" w:cs="Open Sans Light"/>
          <w:b/>
          <w:color w:val="303AB2"/>
          <w:sz w:val="26"/>
          <w:szCs w:val="26"/>
        </w:rPr>
      </w:pPr>
      <w:hyperlink r:id="rId9" w:history="1">
        <w:r w:rsidR="00000000" w:rsidRPr="006C02DF">
          <w:rPr>
            <w:rStyle w:val="Hipervnculo"/>
            <w:rFonts w:ascii="Open Sans Light" w:eastAsia="Open Sans Light" w:hAnsi="Open Sans Light" w:cs="Open Sans Light"/>
            <w:b/>
            <w:sz w:val="26"/>
            <w:szCs w:val="26"/>
          </w:rPr>
          <w:t>Aquí se puede ver un vídeo con el análisis de la directora de Estudios</w:t>
        </w:r>
      </w:hyperlink>
    </w:p>
    <w:p w14:paraId="173018C4" w14:textId="77777777" w:rsidR="007833E1" w:rsidRDefault="007833E1">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2B32E235" w14:textId="77777777" w:rsidR="007833E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28 de mayo de 2025</w:t>
      </w:r>
    </w:p>
    <w:p w14:paraId="5A1CDE46"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20880729"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precio del alquiler de una vivienda en Jerez de la Frontera ha alcanzado este año 2025 su máximo histórico de las últimas dos décadas. Concretamente, en enero de 2025, </w:t>
      </w:r>
      <w:r>
        <w:rPr>
          <w:rFonts w:ascii="Open Sans" w:eastAsia="Open Sans" w:hAnsi="Open Sans" w:cs="Open Sans"/>
          <w:b/>
        </w:rPr>
        <w:t xml:space="preserve">el valor de mercado del alquiler en esta ciudad andaluza ha llegado a los 10,24 euros por metro cuadrado de media, lo que representa un incremento interanual del 20%, según datos del portal inmobiliario </w:t>
      </w:r>
      <w:hyperlink r:id="rId10">
        <w:r>
          <w:rPr>
            <w:rFonts w:ascii="Open Sans" w:eastAsia="Open Sans" w:hAnsi="Open Sans" w:cs="Open Sans"/>
            <w:b/>
            <w:color w:val="0000FF"/>
            <w:u w:val="single"/>
          </w:rPr>
          <w:t>Fotocasa</w:t>
        </w:r>
      </w:hyperlink>
      <w:r>
        <w:rPr>
          <w:rFonts w:ascii="Open Sans" w:eastAsia="Open Sans" w:hAnsi="Open Sans" w:cs="Open Sans"/>
        </w:rPr>
        <w:t xml:space="preserve">. Se trata de un récord en el precio del alquiler en Jerez de la Frontera con relación a la serie histórica de </w:t>
      </w:r>
      <w:hyperlink r:id="rId11">
        <w:r>
          <w:rPr>
            <w:rFonts w:ascii="Open Sans" w:eastAsia="Open Sans" w:hAnsi="Open Sans" w:cs="Open Sans"/>
            <w:b/>
            <w:color w:val="0000FF"/>
            <w:u w:val="single"/>
          </w:rPr>
          <w:t>Fotocasa</w:t>
        </w:r>
      </w:hyperlink>
      <w:r>
        <w:rPr>
          <w:rFonts w:ascii="Open Sans" w:eastAsia="Open Sans" w:hAnsi="Open Sans" w:cs="Open Sans"/>
        </w:rPr>
        <w:t>, que se remonta al año 2007. En aquel ejercicio, el valor medio de las rentas se situaba en torno a 6,5 euros por metro cuadrado, lo que significa que los precios en este mercado han crecido un 58% en las últimas dos décadas.</w:t>
      </w:r>
    </w:p>
    <w:p w14:paraId="1D8780AB"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725FF29D"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partir de 2008, con el estallido de la burbuja inmobiliaria en España, los precios del alquiler empezaron a bajar hasta llegar a su mínimo de la serie histórica, en noviembre de 2015, cuando se registró un valor medio de 5,02 euros por metro cuadrado. Por consiguiente, </w:t>
      </w:r>
      <w:r>
        <w:rPr>
          <w:rFonts w:ascii="Open Sans" w:eastAsia="Open Sans" w:hAnsi="Open Sans" w:cs="Open Sans"/>
          <w:b/>
        </w:rPr>
        <w:t xml:space="preserve">los precios en la actualidad se han más que </w:t>
      </w:r>
      <w:r>
        <w:rPr>
          <w:rFonts w:ascii="Open Sans" w:eastAsia="Open Sans" w:hAnsi="Open Sans" w:cs="Open Sans"/>
          <w:b/>
        </w:rPr>
        <w:lastRenderedPageBreak/>
        <w:t>duplicado con relación al punto más bajo de la serie histórica</w:t>
      </w:r>
      <w:r>
        <w:rPr>
          <w:rFonts w:ascii="Open Sans" w:eastAsia="Open Sans" w:hAnsi="Open Sans" w:cs="Open Sans"/>
        </w:rPr>
        <w:t>. Concretamente, han crecido un 104% entre noviembre de 2015 y enero de 2025.</w:t>
      </w:r>
    </w:p>
    <w:p w14:paraId="65EB70B6"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406EA3FC" w14:textId="44C1D7DB" w:rsidR="00704F84" w:rsidRDefault="00704F84" w:rsidP="00704F8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evolución del alquiler en Jerez refleja un profundo equilibrio del mercado. Que las rentas se hayan duplicado en sólo diez años —con una subida del 104% indica una gran tensión provocada por una demanda creciente y una oferta completamente insuficiente para absorberla. La ciudad no solo arrastra un déficit histórico en vivienda en alquiler, sino que además está experimentando un renovado interés por parte de demandantes desplazados desde municipios con precios más altos, como Cádiz capital o El Puerto de Santa María, generando subidas de precios muy acusadas. Además</w:t>
      </w:r>
      <w:r>
        <w:rPr>
          <w:rFonts w:ascii="Open Sans" w:eastAsia="Open Sans" w:hAnsi="Open Sans" w:cs="Open Sans"/>
        </w:rPr>
        <w:t>,</w:t>
      </w:r>
      <w:r>
        <w:rPr>
          <w:rFonts w:ascii="Open Sans" w:eastAsia="Open Sans" w:hAnsi="Open Sans" w:cs="Open Sans"/>
        </w:rPr>
        <w:t xml:space="preserve"> el crecimiento del 20% interanual es el mayor incremento de todas las ciudades andaluzas analizadas y pone en evidencia una aceleración del precio del alquiler preocupante”, explica </w:t>
      </w:r>
      <w:r>
        <w:rPr>
          <w:rFonts w:ascii="Open Sans" w:eastAsia="Open Sans" w:hAnsi="Open Sans" w:cs="Open Sans"/>
          <w:b/>
        </w:rPr>
        <w:t xml:space="preserve">María Matos, directora de Estudios y portavoz de </w:t>
      </w:r>
      <w:hyperlink r:id="rId12" w:history="1">
        <w:r w:rsidRPr="00704F84">
          <w:rPr>
            <w:rStyle w:val="Hipervnculo"/>
            <w:rFonts w:ascii="Open Sans" w:eastAsia="Open Sans" w:hAnsi="Open Sans" w:cs="Open Sans"/>
            <w:b/>
          </w:rPr>
          <w:t>Fotocasa</w:t>
        </w:r>
      </w:hyperlink>
      <w:r>
        <w:rPr>
          <w:rFonts w:ascii="Open Sans" w:eastAsia="Open Sans" w:hAnsi="Open Sans" w:cs="Open Sans"/>
        </w:rPr>
        <w:t>.</w:t>
      </w:r>
    </w:p>
    <w:p w14:paraId="51E48EAA" w14:textId="77777777" w:rsidR="00704F84" w:rsidRDefault="00704F84" w:rsidP="00704F84">
      <w:pPr>
        <w:pBdr>
          <w:top w:val="nil"/>
          <w:left w:val="nil"/>
          <w:bottom w:val="nil"/>
          <w:right w:val="nil"/>
          <w:between w:val="nil"/>
        </w:pBdr>
        <w:spacing w:line="276" w:lineRule="auto"/>
        <w:jc w:val="both"/>
        <w:rPr>
          <w:rFonts w:ascii="Open Sans" w:eastAsia="Open Sans" w:hAnsi="Open Sans" w:cs="Open Sans"/>
        </w:rPr>
      </w:pPr>
    </w:p>
    <w:p w14:paraId="23102B3D" w14:textId="22557132" w:rsidR="00704F84" w:rsidRPr="00704F84" w:rsidRDefault="00704F84" w:rsidP="00704F84">
      <w:pPr>
        <w:pBdr>
          <w:top w:val="nil"/>
          <w:left w:val="nil"/>
          <w:bottom w:val="nil"/>
          <w:right w:val="nil"/>
          <w:between w:val="nil"/>
        </w:pBdr>
        <w:spacing w:line="276" w:lineRule="auto"/>
        <w:jc w:val="center"/>
        <w:rPr>
          <w:rFonts w:ascii="Open Sans" w:eastAsia="Open Sans" w:hAnsi="Open Sans" w:cs="Open Sans"/>
          <w:b/>
          <w:bCs/>
          <w:sz w:val="26"/>
          <w:szCs w:val="26"/>
        </w:rPr>
      </w:pPr>
      <w:hyperlink r:id="rId13" w:history="1">
        <w:r w:rsidRPr="00704F84">
          <w:rPr>
            <w:rStyle w:val="Hipervnculo"/>
            <w:rFonts w:ascii="Open Sans" w:eastAsia="Open Sans" w:hAnsi="Open Sans" w:cs="Open Sans"/>
            <w:b/>
            <w:bCs/>
            <w:sz w:val="26"/>
            <w:szCs w:val="26"/>
          </w:rPr>
          <w:t>Declaraciones de María Matos, directora de Estudios de Fotocasa</w:t>
        </w:r>
      </w:hyperlink>
    </w:p>
    <w:p w14:paraId="198E1742" w14:textId="77777777" w:rsidR="00704F84" w:rsidRDefault="00704F84" w:rsidP="00704F84">
      <w:pPr>
        <w:pBdr>
          <w:top w:val="nil"/>
          <w:left w:val="nil"/>
          <w:bottom w:val="nil"/>
          <w:right w:val="nil"/>
          <w:between w:val="nil"/>
        </w:pBdr>
        <w:spacing w:line="276" w:lineRule="auto"/>
        <w:jc w:val="both"/>
        <w:rPr>
          <w:rFonts w:ascii="Open Sans" w:eastAsia="Open Sans" w:hAnsi="Open Sans" w:cs="Open Sans"/>
        </w:rPr>
      </w:pPr>
    </w:p>
    <w:p w14:paraId="3234DBA8" w14:textId="5BB21DA1" w:rsidR="00704F84" w:rsidRPr="00704F84" w:rsidRDefault="00704F84" w:rsidP="00704F84">
      <w:pPr>
        <w:pBdr>
          <w:top w:val="nil"/>
          <w:left w:val="nil"/>
          <w:bottom w:val="nil"/>
          <w:right w:val="nil"/>
          <w:between w:val="nil"/>
        </w:pBdr>
        <w:spacing w:line="276" w:lineRule="auto"/>
        <w:jc w:val="both"/>
        <w:rPr>
          <w:rFonts w:ascii="Open Sans" w:eastAsia="Open Sans" w:hAnsi="Open Sans" w:cs="Open Sans"/>
          <w:lang w:val="es-ES"/>
        </w:rPr>
      </w:pPr>
      <w:r w:rsidRPr="00704F84">
        <w:rPr>
          <w:rFonts w:ascii="Open Sans" w:eastAsia="Open Sans" w:hAnsi="Open Sans" w:cs="Open Sans"/>
          <w:lang w:val="es-ES"/>
        </w:rPr>
        <w:drawing>
          <wp:inline distT="0" distB="0" distL="0" distR="0" wp14:anchorId="7ABFFC09" wp14:editId="79C621E5">
            <wp:extent cx="5760720" cy="3042920"/>
            <wp:effectExtent l="0" t="0" r="0" b="5080"/>
            <wp:docPr id="249949082" name="Imagen 2" descr="Interfaz de usuario gráfica, Aplicación&#10;&#10;El contenido generado por IA puede ser incorrec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49082" name="Imagen 2" descr="Interfaz de usuario gráfica, Aplicación&#10;&#10;El contenido generado por IA puede ser incorrecto.">
                      <a:hlinkClick r:id="rId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42920"/>
                    </a:xfrm>
                    <a:prstGeom prst="rect">
                      <a:avLst/>
                    </a:prstGeom>
                    <a:noFill/>
                    <a:ln>
                      <a:noFill/>
                    </a:ln>
                  </pic:spPr>
                </pic:pic>
              </a:graphicData>
            </a:graphic>
          </wp:inline>
        </w:drawing>
      </w:r>
    </w:p>
    <w:p w14:paraId="6F5BE5E2" w14:textId="77777777" w:rsidR="00704F84" w:rsidRDefault="00704F84" w:rsidP="00704F84">
      <w:pPr>
        <w:pBdr>
          <w:top w:val="nil"/>
          <w:left w:val="nil"/>
          <w:bottom w:val="nil"/>
          <w:right w:val="nil"/>
          <w:between w:val="nil"/>
        </w:pBdr>
        <w:spacing w:line="276" w:lineRule="auto"/>
        <w:jc w:val="both"/>
        <w:rPr>
          <w:rFonts w:ascii="Open Sans" w:eastAsia="Open Sans" w:hAnsi="Open Sans" w:cs="Open Sans"/>
        </w:rPr>
      </w:pPr>
    </w:p>
    <w:p w14:paraId="6FB1242F" w14:textId="77777777" w:rsidR="00704F84" w:rsidRDefault="00704F84" w:rsidP="00704F8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si se exceptúa un leve retroceso en junio de 2024, </w:t>
      </w:r>
      <w:r>
        <w:rPr>
          <w:rFonts w:ascii="Open Sans" w:eastAsia="Open Sans" w:hAnsi="Open Sans" w:cs="Open Sans"/>
          <w:b/>
        </w:rPr>
        <w:t>los precios del alquiler han subido de forma ininterrumpida en Jerez de la Frontera desde noviembre de 2021</w:t>
      </w:r>
      <w:r>
        <w:rPr>
          <w:rFonts w:ascii="Open Sans" w:eastAsia="Open Sans" w:hAnsi="Open Sans" w:cs="Open Sans"/>
        </w:rPr>
        <w:t xml:space="preserve"> (cuando empezaron a superarse los efectos de la pandemia en el mercado inmobiliario), hasta marzo de 2025 (último dato de la serie histórica). De hecho, en la actualidad se están registrando crecimientos muy notables en las valoraciones del mercado del alquiler. A pesar de haberse </w:t>
      </w:r>
      <w:r>
        <w:rPr>
          <w:rFonts w:ascii="Open Sans" w:eastAsia="Open Sans" w:hAnsi="Open Sans" w:cs="Open Sans"/>
        </w:rPr>
        <w:lastRenderedPageBreak/>
        <w:t>moderado en comparación con el pico de enero de 2025, las rentas en Jerez de la Frontera alcanzaron los 9,72 euros por metro cuadrado de media en el pasado mes de marzo, lo que equivale a una subida interanual del 11%.</w:t>
      </w:r>
    </w:p>
    <w:p w14:paraId="57E09988"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22B02002" w14:textId="77777777" w:rsidR="007833E1" w:rsidRPr="009345ED" w:rsidRDefault="00000000">
      <w:pPr>
        <w:spacing w:line="276" w:lineRule="auto"/>
        <w:jc w:val="center"/>
        <w:rPr>
          <w:rFonts w:ascii="National" w:eastAsia="National" w:hAnsi="National" w:cs="National"/>
          <w:b/>
          <w:color w:val="303AB2"/>
          <w:sz w:val="30"/>
          <w:szCs w:val="30"/>
        </w:rPr>
      </w:pPr>
      <w:r w:rsidRPr="009345ED">
        <w:rPr>
          <w:rFonts w:ascii="National" w:eastAsia="National" w:hAnsi="National" w:cs="National"/>
          <w:b/>
          <w:color w:val="303AB2"/>
          <w:sz w:val="30"/>
          <w:szCs w:val="30"/>
        </w:rPr>
        <w:t>Variación interanual del precio de alquiler en Jerez de la Frontera (%)</w:t>
      </w:r>
    </w:p>
    <w:p w14:paraId="59C89EB4"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007D3F27"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4A913FD4" wp14:editId="414A72CB">
            <wp:extent cx="5760720" cy="3282950"/>
            <wp:effectExtent l="0" t="0" r="0" b="0"/>
            <wp:docPr id="2140950356" name="Gráfico 2140950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EC73E3"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0D26B891" w14:textId="77777777" w:rsidR="007833E1"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Evolución al alza en otros municipios de la provincia de Cádiz</w:t>
      </w:r>
    </w:p>
    <w:p w14:paraId="21833D3D"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42D1073B"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el resto de los municipios más poblados o turísticos de la provincia de Cádiz están experimentando una evolución parecida a Jerez de la Frontera. </w:t>
      </w:r>
      <w:r>
        <w:rPr>
          <w:rFonts w:ascii="Open Sans" w:eastAsia="Open Sans" w:hAnsi="Open Sans" w:cs="Open Sans"/>
          <w:b/>
        </w:rPr>
        <w:t>En el caso de Cádiz capital, por ejemplo, los precios de los alquileres alcanzaron un pico de 12,35 euros por metro cuadrado de media en abril de 2024</w:t>
      </w:r>
      <w:r>
        <w:rPr>
          <w:rFonts w:ascii="Open Sans" w:eastAsia="Open Sans" w:hAnsi="Open Sans" w:cs="Open Sans"/>
        </w:rPr>
        <w:t>, y tras moderarse levemente durante los últimos meses, han vuelto a superar los 12 euros de media este 2025 (concretamente, han llegado a los 12,25 euros en enero de este año, tras un incremento interanual del 4,1%). En este sentido, los precios en la ciudad de Cádiz están ya por encima de los registrados durante la burbuja inmobiliaria, cuando llegaron a cotizar a 11,39 euros en junio de 2007.</w:t>
      </w:r>
    </w:p>
    <w:p w14:paraId="680F3381"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2A37CA3C"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otras localidades gaditanas el proceso es similar. </w:t>
      </w:r>
      <w:r>
        <w:rPr>
          <w:rFonts w:ascii="Open Sans" w:eastAsia="Open Sans" w:hAnsi="Open Sans" w:cs="Open Sans"/>
          <w:b/>
        </w:rPr>
        <w:t>El municipio de Algeciras ha registrado en enero de 2025 un máximo histórico en los precios de los alquileres, llegando a los 8,90 euros por metro cuadrado</w:t>
      </w:r>
      <w:r>
        <w:rPr>
          <w:rFonts w:ascii="Open Sans" w:eastAsia="Open Sans" w:hAnsi="Open Sans" w:cs="Open Sans"/>
        </w:rPr>
        <w:t xml:space="preserve">, y experimentando un crecimiento anual del 12% (por encima de los 6,91 euros estimados en agosto </w:t>
      </w:r>
      <w:r>
        <w:rPr>
          <w:rFonts w:ascii="Open Sans" w:eastAsia="Open Sans" w:hAnsi="Open Sans" w:cs="Open Sans"/>
        </w:rPr>
        <w:lastRenderedPageBreak/>
        <w:t xml:space="preserve">de 2008, su precio máximo antes de la crisis derivada de la burbuja inmobiliaria en España). </w:t>
      </w:r>
    </w:p>
    <w:p w14:paraId="395628A1"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3961713F"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Lo mismo sucede en El Puerto de Santa María, que ha superado ya los 11 euros de media por metro cuadrado</w:t>
      </w:r>
      <w:r>
        <w:rPr>
          <w:rFonts w:ascii="Open Sans" w:eastAsia="Open Sans" w:hAnsi="Open Sans" w:cs="Open Sans"/>
        </w:rPr>
        <w:t xml:space="preserve"> (fijando un máximo en los alquileres en 11,62 euros en julio de 2024), con incrementos interanuales que han llegado a superar el 15% en los últimos meses. Tras una leve moderación, los precios en marzo de 2025 han quedado en los 11,13 euros en este municipio.</w:t>
      </w:r>
    </w:p>
    <w:p w14:paraId="6A423FAC"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0A9195C2" w14:textId="77777777"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la población de San Fernando, las rentas también se han situado por encima de los 10 euros por metro cuadrado</w:t>
      </w:r>
      <w:r>
        <w:rPr>
          <w:rFonts w:ascii="Open Sans" w:eastAsia="Open Sans" w:hAnsi="Open Sans" w:cs="Open Sans"/>
        </w:rPr>
        <w:t>: concretamente, han alcanzado un máximo de 10,41 euros en junio de 2024, moderándose levemente hasta los 10,07 euros en marzo de 2025. Por su lado, otros municipios turísticos de la provincia de Cádiz, como Sanlúcar de Barrameda (14,24€), Tarifa (11,91€) o Zahara de los Atunes (11,54€), registran también precios por encima de los 11 euros de media en la actualidad.</w:t>
      </w:r>
    </w:p>
    <w:p w14:paraId="0E2AF903"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219FB126" w14:textId="77777777" w:rsidR="007833E1" w:rsidRDefault="007833E1">
      <w:pPr>
        <w:pBdr>
          <w:top w:val="nil"/>
          <w:left w:val="nil"/>
          <w:bottom w:val="nil"/>
          <w:right w:val="nil"/>
          <w:between w:val="nil"/>
        </w:pBdr>
        <w:spacing w:line="276" w:lineRule="auto"/>
        <w:jc w:val="both"/>
        <w:rPr>
          <w:rFonts w:ascii="Open Sans" w:eastAsia="Open Sans" w:hAnsi="Open Sans" w:cs="Open Sans"/>
        </w:rPr>
      </w:pPr>
    </w:p>
    <w:p w14:paraId="020613B9" w14:textId="77777777" w:rsidR="009345ED" w:rsidRDefault="009345ED">
      <w:pPr>
        <w:pBdr>
          <w:top w:val="nil"/>
          <w:left w:val="nil"/>
          <w:bottom w:val="nil"/>
          <w:right w:val="nil"/>
          <w:between w:val="nil"/>
        </w:pBdr>
        <w:spacing w:line="276" w:lineRule="auto"/>
        <w:jc w:val="both"/>
        <w:rPr>
          <w:rFonts w:ascii="Open Sans" w:eastAsia="Open Sans" w:hAnsi="Open Sans" w:cs="Open Sans"/>
        </w:rPr>
      </w:pPr>
    </w:p>
    <w:p w14:paraId="6A31C7D4" w14:textId="61E3FA4C" w:rsidR="007833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 </w:t>
      </w:r>
    </w:p>
    <w:p w14:paraId="12CBF15A" w14:textId="77777777" w:rsidR="007833E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4F6BB4D" w14:textId="77777777" w:rsidR="007833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87C35E3" w14:textId="77777777" w:rsidR="007833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02C3927" w14:textId="77777777" w:rsidR="007833E1"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B997864" w14:textId="77777777" w:rsidR="007833E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9AC6B65" w14:textId="77777777" w:rsidR="007833E1"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6A0DE14" w14:textId="77777777" w:rsidR="007833E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4747DAF" w14:textId="77777777" w:rsidR="007833E1"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40662F1" w14:textId="77777777" w:rsidR="007833E1"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240E6C27" w14:textId="77777777" w:rsidR="007833E1" w:rsidRDefault="007833E1">
      <w:pPr>
        <w:spacing w:before="143" w:after="200"/>
        <w:jc w:val="both"/>
        <w:rPr>
          <w:rFonts w:ascii="Open Sans" w:eastAsia="Open Sans" w:hAnsi="Open Sans" w:cs="Open Sans"/>
        </w:rPr>
      </w:pPr>
    </w:p>
    <w:p w14:paraId="5857DB46" w14:textId="77777777" w:rsidR="007833E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D83F4BB" w14:textId="77777777" w:rsidR="007833E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A507DC8" w14:textId="77777777" w:rsidR="007833E1"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CF61EF2" w14:textId="77777777" w:rsidR="007833E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7833E1">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7460C" w14:textId="77777777" w:rsidR="00595F7B" w:rsidRDefault="00595F7B">
      <w:r>
        <w:separator/>
      </w:r>
    </w:p>
  </w:endnote>
  <w:endnote w:type="continuationSeparator" w:id="0">
    <w:p w14:paraId="60E97CFC" w14:textId="77777777" w:rsidR="00595F7B" w:rsidRDefault="00595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F7721D-1932-4560-86A1-9F9E57C1DBE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C80534-572C-456A-8E16-1E0BBD7396F4}"/>
    <w:embedBold r:id="rId3" w:fontKey="{8B76B06C-BF48-4084-8A74-73A8E8F472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15BEF13-7C15-4C1C-97AA-B7D546D2C5B1}"/>
    <w:embedItalic r:id="rId5" w:fontKey="{A7F96F36-F70E-4BBF-9B40-34B09BB0E06A}"/>
  </w:font>
  <w:font w:name="Cambria">
    <w:panose1 w:val="02040503050406030204"/>
    <w:charset w:val="00"/>
    <w:family w:val="roman"/>
    <w:pitch w:val="variable"/>
    <w:sig w:usb0="E00006FF" w:usb1="420024FF" w:usb2="02000000" w:usb3="00000000" w:csb0="0000019F" w:csb1="00000000"/>
    <w:embedRegular r:id="rId6" w:fontKey="{2CA94173-76B5-4E89-9337-8ED5AB52659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FF19D09-D5DB-4BD7-9E01-74B02E1BCF19}"/>
    <w:embedBold r:id="rId8" w:fontKey="{72508075-E66C-4D1B-9CE2-CBF4C0C73040}"/>
  </w:font>
  <w:font w:name="Open Sans Light">
    <w:charset w:val="00"/>
    <w:family w:val="swiss"/>
    <w:pitch w:val="variable"/>
    <w:sig w:usb0="E00002EF" w:usb1="4000205B" w:usb2="00000028" w:usb3="00000000" w:csb0="0000019F" w:csb1="00000000"/>
    <w:embedRegular r:id="rId9" w:fontKey="{565CF88A-ED72-4AD0-B999-B58E3D5BAA0E}"/>
    <w:embedBold r:id="rId10" w:fontKey="{F0B331A7-0975-4157-9A61-772F1BEA0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F652" w14:textId="77777777" w:rsidR="007833E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D93F3CB" wp14:editId="2FFCA1CB">
          <wp:simplePos x="0" y="0"/>
          <wp:positionH relativeFrom="column">
            <wp:posOffset>-1068041</wp:posOffset>
          </wp:positionH>
          <wp:positionV relativeFrom="paragraph">
            <wp:posOffset>174608</wp:posOffset>
          </wp:positionV>
          <wp:extent cx="7670550" cy="451315"/>
          <wp:effectExtent l="0" t="0" r="0" b="0"/>
          <wp:wrapNone/>
          <wp:docPr id="2140950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4F5B7" w14:textId="77777777" w:rsidR="00595F7B" w:rsidRDefault="00595F7B">
      <w:r>
        <w:separator/>
      </w:r>
    </w:p>
  </w:footnote>
  <w:footnote w:type="continuationSeparator" w:id="0">
    <w:p w14:paraId="4C511725" w14:textId="77777777" w:rsidR="00595F7B" w:rsidRDefault="00595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DD27FF"/>
    <w:multiLevelType w:val="multilevel"/>
    <w:tmpl w:val="2AE64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7126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3E1"/>
    <w:rsid w:val="00595F7B"/>
    <w:rsid w:val="006C02DF"/>
    <w:rsid w:val="00704F84"/>
    <w:rsid w:val="007833E1"/>
    <w:rsid w:val="008E4FB7"/>
    <w:rsid w:val="009345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07B73"/>
  <w15:docId w15:val="{5851619A-8653-43DB-84ED-B3FECCA5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43951">
      <w:bodyDiv w:val="1"/>
      <w:marLeft w:val="0"/>
      <w:marRight w:val="0"/>
      <w:marTop w:val="0"/>
      <w:marBottom w:val="0"/>
      <w:divBdr>
        <w:top w:val="none" w:sz="0" w:space="0" w:color="auto"/>
        <w:left w:val="none" w:sz="0" w:space="0" w:color="auto"/>
        <w:bottom w:val="none" w:sz="0" w:space="0" w:color="auto"/>
        <w:right w:val="none" w:sz="0" w:space="0" w:color="auto"/>
      </w:divBdr>
    </w:div>
    <w:div w:id="958993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cXxA4aHZYEY" TargetMode="External"/><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adevinta.es" TargetMode="External"/><Relationship Id="rId10" Type="http://schemas.openxmlformats.org/officeDocument/2006/relationships/hyperlink" Target="http://www.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youtu.be/cXxA4aHZYEY" TargetMode="External"/><Relationship Id="rId14" Type="http://schemas.openxmlformats.org/officeDocument/2006/relationships/image" Target="media/image2.jpe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torn\OneDrive\Documents\Projectes\2025\250505_Pitch%20Andalusia\fotocasa.es-Hist&#243;rico%20alquiler%20y%20venta%20Andaluc&#237;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28575" cap="rnd">
              <a:solidFill>
                <a:schemeClr val="accent1"/>
              </a:solidFill>
              <a:round/>
            </a:ln>
            <a:effectLst/>
          </c:spPr>
          <c:marker>
            <c:symbol val="none"/>
          </c:marker>
          <c:cat>
            <c:strRef>
              <c:f>'A-Municipios'!$A$27:$A$223</c:f>
              <c:strCache>
                <c:ptCount val="194"/>
                <c:pt idx="1">
                  <c:v>2008</c:v>
                </c:pt>
                <c:pt idx="13">
                  <c:v>2009</c:v>
                </c:pt>
                <c:pt idx="25">
                  <c:v>2010</c:v>
                </c:pt>
                <c:pt idx="37">
                  <c:v>2011</c:v>
                </c:pt>
                <c:pt idx="49">
                  <c:v>2012</c:v>
                </c:pt>
                <c:pt idx="61">
                  <c:v>2013</c:v>
                </c:pt>
                <c:pt idx="73">
                  <c:v>2014</c:v>
                </c:pt>
                <c:pt idx="85">
                  <c:v>2015</c:v>
                </c:pt>
                <c:pt idx="97">
                  <c:v>2016</c:v>
                </c:pt>
                <c:pt idx="109">
                  <c:v>2017</c:v>
                </c:pt>
                <c:pt idx="121">
                  <c:v>2018</c:v>
                </c:pt>
                <c:pt idx="133">
                  <c:v>2019</c:v>
                </c:pt>
                <c:pt idx="145">
                  <c:v>2020</c:v>
                </c:pt>
                <c:pt idx="157">
                  <c:v>2021</c:v>
                </c:pt>
                <c:pt idx="169">
                  <c:v>2022</c:v>
                </c:pt>
                <c:pt idx="181">
                  <c:v>2023</c:v>
                </c:pt>
                <c:pt idx="193">
                  <c:v>2024</c:v>
                </c:pt>
              </c:strCache>
            </c:strRef>
          </c:cat>
          <c:val>
            <c:numRef>
              <c:f>'A-Municipios'!$AV$26:$AV$223</c:f>
              <c:numCache>
                <c:formatCode>0.0%</c:formatCode>
                <c:ptCount val="198"/>
                <c:pt idx="0">
                  <c:v>6.4421048248166995E-2</c:v>
                </c:pt>
                <c:pt idx="1">
                  <c:v>1.4482355571986747E-2</c:v>
                </c:pt>
                <c:pt idx="2">
                  <c:v>-4.0119233651478056E-2</c:v>
                </c:pt>
                <c:pt idx="3">
                  <c:v>-5.5344087786046686E-2</c:v>
                </c:pt>
                <c:pt idx="4">
                  <c:v>-7.5050299174018911E-2</c:v>
                </c:pt>
                <c:pt idx="5">
                  <c:v>-0.11674973405261523</c:v>
                </c:pt>
                <c:pt idx="6">
                  <c:v>-8.7985728551978504E-2</c:v>
                </c:pt>
                <c:pt idx="7">
                  <c:v>-9.0263356334647188E-2</c:v>
                </c:pt>
                <c:pt idx="8">
                  <c:v>-8.206540323533594E-2</c:v>
                </c:pt>
                <c:pt idx="9">
                  <c:v>-7.8470226499537804E-2</c:v>
                </c:pt>
                <c:pt idx="10">
                  <c:v>-6.9370299185218323E-2</c:v>
                </c:pt>
                <c:pt idx="11">
                  <c:v>-7.6049619659416395E-2</c:v>
                </c:pt>
                <c:pt idx="12">
                  <c:v>-7.9221883274932764E-2</c:v>
                </c:pt>
                <c:pt idx="13">
                  <c:v>-7.526873119654158E-2</c:v>
                </c:pt>
                <c:pt idx="14">
                  <c:v>-6.4191216426317366E-2</c:v>
                </c:pt>
                <c:pt idx="15">
                  <c:v>-6.7598975674571626E-2</c:v>
                </c:pt>
                <c:pt idx="16">
                  <c:v>-6.988201374542595E-2</c:v>
                </c:pt>
                <c:pt idx="17">
                  <c:v>-3.534128525197669E-2</c:v>
                </c:pt>
                <c:pt idx="18">
                  <c:v>-5.7533465710473949E-2</c:v>
                </c:pt>
                <c:pt idx="19">
                  <c:v>-4.1625818234693281E-2</c:v>
                </c:pt>
                <c:pt idx="20">
                  <c:v>-4.1811370839073894E-2</c:v>
                </c:pt>
                <c:pt idx="21">
                  <c:v>-3.7704775404184467E-2</c:v>
                </c:pt>
                <c:pt idx="22">
                  <c:v>-2.9270152478496732E-2</c:v>
                </c:pt>
                <c:pt idx="23">
                  <c:v>-3.4134801437050888E-2</c:v>
                </c:pt>
                <c:pt idx="24">
                  <c:v>-2.9539077989952103E-2</c:v>
                </c:pt>
                <c:pt idx="25">
                  <c:v>-6.0328003895281932E-3</c:v>
                </c:pt>
                <c:pt idx="26">
                  <c:v>-1.8549363866240998E-2</c:v>
                </c:pt>
                <c:pt idx="27">
                  <c:v>-1.4041764228796152E-2</c:v>
                </c:pt>
                <c:pt idx="28">
                  <c:v>-1.3693033386025961E-2</c:v>
                </c:pt>
                <c:pt idx="29">
                  <c:v>-2.7771289101128135E-2</c:v>
                </c:pt>
                <c:pt idx="30">
                  <c:v>-3.0378269901679508E-2</c:v>
                </c:pt>
                <c:pt idx="31">
                  <c:v>-4.280321637975576E-2</c:v>
                </c:pt>
                <c:pt idx="32">
                  <c:v>-3.3987030111285135E-2</c:v>
                </c:pt>
                <c:pt idx="33">
                  <c:v>-2.9217331424239396E-2</c:v>
                </c:pt>
                <c:pt idx="34">
                  <c:v>-4.2827443232363448E-2</c:v>
                </c:pt>
                <c:pt idx="35">
                  <c:v>-2.6636657943608189E-2</c:v>
                </c:pt>
                <c:pt idx="36">
                  <c:v>-1.9078891197896387E-2</c:v>
                </c:pt>
                <c:pt idx="37">
                  <c:v>-4.32007856266328E-2</c:v>
                </c:pt>
                <c:pt idx="38">
                  <c:v>-4.6131416050583553E-2</c:v>
                </c:pt>
                <c:pt idx="39">
                  <c:v>-3.401656763954615E-2</c:v>
                </c:pt>
                <c:pt idx="40">
                  <c:v>-4.1743104445110937E-2</c:v>
                </c:pt>
                <c:pt idx="41">
                  <c:v>-3.7588987225073096E-2</c:v>
                </c:pt>
                <c:pt idx="42">
                  <c:v>-3.7628493831714405E-2</c:v>
                </c:pt>
                <c:pt idx="43">
                  <c:v>-2.9648701929956067E-2</c:v>
                </c:pt>
                <c:pt idx="44">
                  <c:v>-3.0595080626046538E-2</c:v>
                </c:pt>
                <c:pt idx="45">
                  <c:v>-2.6912290945489387E-2</c:v>
                </c:pt>
                <c:pt idx="46">
                  <c:v>-1.8742335532741634E-2</c:v>
                </c:pt>
                <c:pt idx="47">
                  <c:v>-2.6596638137671578E-2</c:v>
                </c:pt>
                <c:pt idx="48">
                  <c:v>-5.1366859312575924E-2</c:v>
                </c:pt>
                <c:pt idx="49">
                  <c:v>-5.7728213964087713E-2</c:v>
                </c:pt>
                <c:pt idx="50">
                  <c:v>-5.300560018916433E-2</c:v>
                </c:pt>
                <c:pt idx="51">
                  <c:v>-6.0473091950914999E-2</c:v>
                </c:pt>
                <c:pt idx="52">
                  <c:v>-5.2058887365688464E-2</c:v>
                </c:pt>
                <c:pt idx="53">
                  <c:v>-5.136330594916879E-2</c:v>
                </c:pt>
                <c:pt idx="54">
                  <c:v>-5.1322329089306201E-2</c:v>
                </c:pt>
                <c:pt idx="55">
                  <c:v>-6.0341518559774127E-2</c:v>
                </c:pt>
                <c:pt idx="56">
                  <c:v>-7.2899622356819238E-2</c:v>
                </c:pt>
                <c:pt idx="57">
                  <c:v>-7.2302758253097843E-2</c:v>
                </c:pt>
                <c:pt idx="58">
                  <c:v>-6.9921722039104781E-2</c:v>
                </c:pt>
                <c:pt idx="59">
                  <c:v>-6.8220787907870978E-2</c:v>
                </c:pt>
                <c:pt idx="60">
                  <c:v>-6.2114259883582976E-2</c:v>
                </c:pt>
                <c:pt idx="61">
                  <c:v>-4.9695363547816562E-2</c:v>
                </c:pt>
                <c:pt idx="62">
                  <c:v>-4.5885059213521665E-2</c:v>
                </c:pt>
                <c:pt idx="63">
                  <c:v>-5.4891719877147256E-2</c:v>
                </c:pt>
                <c:pt idx="64">
                  <c:v>-6.0579874151638943E-2</c:v>
                </c:pt>
                <c:pt idx="65">
                  <c:v>-5.3345103891743163E-2</c:v>
                </c:pt>
                <c:pt idx="66">
                  <c:v>-4.4893936771643606E-2</c:v>
                </c:pt>
                <c:pt idx="67">
                  <c:v>-3.8025423382478392E-2</c:v>
                </c:pt>
                <c:pt idx="68">
                  <c:v>-4.4141347509283321E-2</c:v>
                </c:pt>
                <c:pt idx="69">
                  <c:v>-4.9393874337161116E-2</c:v>
                </c:pt>
                <c:pt idx="70">
                  <c:v>-3.6342884632463622E-2</c:v>
                </c:pt>
                <c:pt idx="71">
                  <c:v>-3.4915905410644502E-2</c:v>
                </c:pt>
                <c:pt idx="72">
                  <c:v>-2.7682954695892072E-2</c:v>
                </c:pt>
                <c:pt idx="73">
                  <c:v>-3.2301271121594907E-2</c:v>
                </c:pt>
                <c:pt idx="74">
                  <c:v>-1.6713029470105289E-2</c:v>
                </c:pt>
                <c:pt idx="75">
                  <c:v>-6.0788849507001043E-3</c:v>
                </c:pt>
                <c:pt idx="76">
                  <c:v>-8.7257145684921378E-3</c:v>
                </c:pt>
                <c:pt idx="77">
                  <c:v>-1.7463421278689405E-2</c:v>
                </c:pt>
                <c:pt idx="78">
                  <c:v>-7.2224760127138337E-3</c:v>
                </c:pt>
                <c:pt idx="79">
                  <c:v>-4.7713869588456217E-3</c:v>
                </c:pt>
                <c:pt idx="80">
                  <c:v>1.1921876553769388E-2</c:v>
                </c:pt>
                <c:pt idx="81">
                  <c:v>3.4231876903730689E-2</c:v>
                </c:pt>
                <c:pt idx="82">
                  <c:v>-1.2697543536208794E-3</c:v>
                </c:pt>
                <c:pt idx="83">
                  <c:v>-9.9633935452556727E-4</c:v>
                </c:pt>
                <c:pt idx="84">
                  <c:v>-1.3163872722326893E-2</c:v>
                </c:pt>
                <c:pt idx="85">
                  <c:v>-2.6830024813895924E-2</c:v>
                </c:pt>
                <c:pt idx="86">
                  <c:v>-2.4893885511070381E-2</c:v>
                </c:pt>
                <c:pt idx="87">
                  <c:v>-2.7663914891994476E-2</c:v>
                </c:pt>
                <c:pt idx="88">
                  <c:v>3.8387715930902999E-3</c:v>
                </c:pt>
                <c:pt idx="89">
                  <c:v>1.162790697674411E-2</c:v>
                </c:pt>
                <c:pt idx="90">
                  <c:v>3.2629558541266784E-2</c:v>
                </c:pt>
                <c:pt idx="91">
                  <c:v>2.6871401151631415E-2</c:v>
                </c:pt>
                <c:pt idx="92">
                  <c:v>1.1472275334607955E-2</c:v>
                </c:pt>
                <c:pt idx="93">
                  <c:v>-1.8796992481204275E-3</c:v>
                </c:pt>
                <c:pt idx="94">
                  <c:v>3.0888030888030917E-2</c:v>
                </c:pt>
                <c:pt idx="95">
                  <c:v>2.702702702702714E-2</c:v>
                </c:pt>
                <c:pt idx="96">
                  <c:v>8.6105675146770935E-2</c:v>
                </c:pt>
                <c:pt idx="97">
                  <c:v>7.9681274900398488E-2</c:v>
                </c:pt>
                <c:pt idx="98">
                  <c:v>9.4117647058823625E-2</c:v>
                </c:pt>
                <c:pt idx="99">
                  <c:v>8.4313725490196209E-2</c:v>
                </c:pt>
                <c:pt idx="100">
                  <c:v>6.309751434034401E-2</c:v>
                </c:pt>
                <c:pt idx="101">
                  <c:v>7.4712643678161036E-2</c:v>
                </c:pt>
                <c:pt idx="102">
                  <c:v>2.0446096654275152E-2</c:v>
                </c:pt>
                <c:pt idx="103">
                  <c:v>2.4299065420560897E-2</c:v>
                </c:pt>
                <c:pt idx="104">
                  <c:v>4.9149338374291078E-2</c:v>
                </c:pt>
                <c:pt idx="105">
                  <c:v>4.331450094161967E-2</c:v>
                </c:pt>
                <c:pt idx="106">
                  <c:v>5.4307116104868922E-2</c:v>
                </c:pt>
                <c:pt idx="107">
                  <c:v>3.1954887218045097E-2</c:v>
                </c:pt>
                <c:pt idx="108">
                  <c:v>2.5225225225225328E-2</c:v>
                </c:pt>
                <c:pt idx="109">
                  <c:v>2.9520295202952056E-2</c:v>
                </c:pt>
                <c:pt idx="110">
                  <c:v>-3.2258064516128983E-2</c:v>
                </c:pt>
                <c:pt idx="111">
                  <c:v>-1.4466546112115744E-2</c:v>
                </c:pt>
                <c:pt idx="112">
                  <c:v>7.1942446043165541E-3</c:v>
                </c:pt>
                <c:pt idx="113">
                  <c:v>-1.2477718360071352E-2</c:v>
                </c:pt>
                <c:pt idx="114">
                  <c:v>3.2786885245901586E-2</c:v>
                </c:pt>
                <c:pt idx="115">
                  <c:v>3.8321167883211667E-2</c:v>
                </c:pt>
                <c:pt idx="116">
                  <c:v>4.324324324324328E-2</c:v>
                </c:pt>
                <c:pt idx="117">
                  <c:v>9.2057761732851948E-2</c:v>
                </c:pt>
                <c:pt idx="118">
                  <c:v>5.8614564831261116E-2</c:v>
                </c:pt>
                <c:pt idx="119">
                  <c:v>0.12386156648451725</c:v>
                </c:pt>
                <c:pt idx="120">
                  <c:v>0.10017574692442871</c:v>
                </c:pt>
                <c:pt idx="121">
                  <c:v>9.1397849462365552E-2</c:v>
                </c:pt>
                <c:pt idx="122">
                  <c:v>0.15740740740740733</c:v>
                </c:pt>
                <c:pt idx="123">
                  <c:v>0.1284403669724771</c:v>
                </c:pt>
                <c:pt idx="124">
                  <c:v>0.10892857142857149</c:v>
                </c:pt>
                <c:pt idx="125">
                  <c:v>8.4837545126353747E-2</c:v>
                </c:pt>
                <c:pt idx="126">
                  <c:v>5.8201058201058212E-2</c:v>
                </c:pt>
                <c:pt idx="127">
                  <c:v>9.6660808435852341E-2</c:v>
                </c:pt>
                <c:pt idx="128">
                  <c:v>0.1208981001727116</c:v>
                </c:pt>
                <c:pt idx="129">
                  <c:v>8.0991735537190121E-2</c:v>
                </c:pt>
                <c:pt idx="130">
                  <c:v>8.5570469798657678E-2</c:v>
                </c:pt>
                <c:pt idx="131">
                  <c:v>3.7277147487844477E-2</c:v>
                </c:pt>
                <c:pt idx="132">
                  <c:v>4.1533546325878565E-2</c:v>
                </c:pt>
                <c:pt idx="133">
                  <c:v>0.11001642036124794</c:v>
                </c:pt>
                <c:pt idx="134">
                  <c:v>0.10719999999999999</c:v>
                </c:pt>
                <c:pt idx="135">
                  <c:v>0.10081300813008116</c:v>
                </c:pt>
                <c:pt idx="136">
                  <c:v>0.1143317230273752</c:v>
                </c:pt>
                <c:pt idx="137">
                  <c:v>0.12978369384359406</c:v>
                </c:pt>
                <c:pt idx="138">
                  <c:v>8.1666666666666707E-2</c:v>
                </c:pt>
                <c:pt idx="139">
                  <c:v>0.16506410256410245</c:v>
                </c:pt>
                <c:pt idx="140">
                  <c:v>9.0909090909090884E-2</c:v>
                </c:pt>
                <c:pt idx="141">
                  <c:v>3.0581039755351709E-2</c:v>
                </c:pt>
                <c:pt idx="142">
                  <c:v>5.2550231839258096E-2</c:v>
                </c:pt>
                <c:pt idx="143">
                  <c:v>7.8125E-2</c:v>
                </c:pt>
                <c:pt idx="144">
                  <c:v>3.834355828220859E-2</c:v>
                </c:pt>
                <c:pt idx="145">
                  <c:v>2.218934911242609E-2</c:v>
                </c:pt>
                <c:pt idx="146">
                  <c:v>-3.3236994219653114E-2</c:v>
                </c:pt>
                <c:pt idx="147">
                  <c:v>-1.329394387001475E-2</c:v>
                </c:pt>
                <c:pt idx="148">
                  <c:v>-3.3236994219653114E-2</c:v>
                </c:pt>
                <c:pt idx="149">
                  <c:v>-1.6200294550810061E-2</c:v>
                </c:pt>
                <c:pt idx="150">
                  <c:v>2.31124807395993E-2</c:v>
                </c:pt>
                <c:pt idx="151">
                  <c:v>-0.11554332874828059</c:v>
                </c:pt>
                <c:pt idx="152">
                  <c:v>-6.6384180790960423E-2</c:v>
                </c:pt>
                <c:pt idx="153">
                  <c:v>2.0771513353115677E-2</c:v>
                </c:pt>
                <c:pt idx="154">
                  <c:v>1.0279001468428823E-2</c:v>
                </c:pt>
                <c:pt idx="155">
                  <c:v>-4.3478260869565574E-3</c:v>
                </c:pt>
                <c:pt idx="156">
                  <c:v>-5.9084194977842173E-3</c:v>
                </c:pt>
                <c:pt idx="157">
                  <c:v>1.1577424023154858E-2</c:v>
                </c:pt>
                <c:pt idx="158">
                  <c:v>4.6337817638266006E-2</c:v>
                </c:pt>
                <c:pt idx="159">
                  <c:v>3.2934131736527046E-2</c:v>
                </c:pt>
                <c:pt idx="160">
                  <c:v>6.2780269058295951E-2</c:v>
                </c:pt>
                <c:pt idx="161">
                  <c:v>0.10179640718562884</c:v>
                </c:pt>
                <c:pt idx="162">
                  <c:v>0.10179640718562884</c:v>
                </c:pt>
                <c:pt idx="163">
                  <c:v>0.10179640718562884</c:v>
                </c:pt>
                <c:pt idx="164">
                  <c:v>0.19640732783488016</c:v>
                </c:pt>
                <c:pt idx="165">
                  <c:v>0.13372093023255813</c:v>
                </c:pt>
                <c:pt idx="166">
                  <c:v>7.4127906976744151E-2</c:v>
                </c:pt>
                <c:pt idx="167">
                  <c:v>9.6069868995633204E-2</c:v>
                </c:pt>
                <c:pt idx="168">
                  <c:v>0.15898959881129263</c:v>
                </c:pt>
                <c:pt idx="169">
                  <c:v>0.22746781115879824</c:v>
                </c:pt>
                <c:pt idx="170">
                  <c:v>0.19714285714285726</c:v>
                </c:pt>
                <c:pt idx="171">
                  <c:v>0.21739130434782608</c:v>
                </c:pt>
                <c:pt idx="172">
                  <c:v>0.20393811533052042</c:v>
                </c:pt>
                <c:pt idx="173">
                  <c:v>0.14809782608695637</c:v>
                </c:pt>
                <c:pt idx="174">
                  <c:v>0.14809782608695637</c:v>
                </c:pt>
                <c:pt idx="175">
                  <c:v>0.14809782608695637</c:v>
                </c:pt>
                <c:pt idx="176">
                  <c:v>0.15069670227487778</c:v>
                </c:pt>
                <c:pt idx="177">
                  <c:v>0.12051282051282057</c:v>
                </c:pt>
                <c:pt idx="178">
                  <c:v>0.14073071718538566</c:v>
                </c:pt>
                <c:pt idx="179">
                  <c:v>0.15537848605577675</c:v>
                </c:pt>
                <c:pt idx="180">
                  <c:v>0.11025641025641029</c:v>
                </c:pt>
                <c:pt idx="181">
                  <c:v>6.75990675990676E-2</c:v>
                </c:pt>
                <c:pt idx="182">
                  <c:v>6.0859188544152711E-2</c:v>
                </c:pt>
                <c:pt idx="183">
                  <c:v>2.0238095238095229E-2</c:v>
                </c:pt>
                <c:pt idx="184">
                  <c:v>1.5186915887850351E-2</c:v>
                </c:pt>
                <c:pt idx="185">
                  <c:v>4.0236686390532531E-2</c:v>
                </c:pt>
                <c:pt idx="186">
                  <c:v>1.4067995310668347E-2</c:v>
                </c:pt>
                <c:pt idx="187">
                  <c:v>6.8209500609013235E-2</c:v>
                </c:pt>
                <c:pt idx="188">
                  <c:v>-3.2967032967032264E-3</c:v>
                </c:pt>
                <c:pt idx="189">
                  <c:v>3.4324942791761283E-3</c:v>
                </c:pt>
                <c:pt idx="190">
                  <c:v>5.9311981020166077E-2</c:v>
                </c:pt>
                <c:pt idx="191">
                  <c:v>5.86206896551726E-2</c:v>
                </c:pt>
                <c:pt idx="192">
                  <c:v>1.9630484988452646E-2</c:v>
                </c:pt>
                <c:pt idx="193">
                  <c:v>2.5109170305676901E-2</c:v>
                </c:pt>
                <c:pt idx="194">
                  <c:v>6.4116985376827931E-2</c:v>
                </c:pt>
                <c:pt idx="195">
                  <c:v>0.19486581096849473</c:v>
                </c:pt>
                <c:pt idx="196">
                  <c:v>0.12082853855005762</c:v>
                </c:pt>
                <c:pt idx="197">
                  <c:v>0.10580204778157</c:v>
                </c:pt>
              </c:numCache>
            </c:numRef>
          </c:val>
          <c:smooth val="0"/>
          <c:extLst>
            <c:ext xmlns:c16="http://schemas.microsoft.com/office/drawing/2014/chart" uri="{C3380CC4-5D6E-409C-BE32-E72D297353CC}">
              <c16:uniqueId val="{00000000-89B5-4442-ACAA-EC51F7F25949}"/>
            </c:ext>
          </c:extLst>
        </c:ser>
        <c:dLbls>
          <c:showLegendKey val="0"/>
          <c:showVal val="0"/>
          <c:showCatName val="0"/>
          <c:showSerName val="0"/>
          <c:showPercent val="0"/>
          <c:showBubbleSize val="0"/>
        </c:dLbls>
        <c:smooth val="0"/>
        <c:axId val="1231869263"/>
        <c:axId val="1231868783"/>
      </c:lineChart>
      <c:dateAx>
        <c:axId val="12318692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31868783"/>
        <c:crosses val="autoZero"/>
        <c:auto val="0"/>
        <c:lblOffset val="100"/>
        <c:baseTimeUnit val="days"/>
      </c:dateAx>
      <c:valAx>
        <c:axId val="12318687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3186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TEn8v8uscCbTKEdCSlM2puoWg==">CgMxLjAyCWguMnM4ZXlvMTgAciExaU9Gak1IaFd6Vmwxd3pfZEFuZjFNVjJJaENha0dHRzE=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1218</Words>
  <Characters>6704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3</cp:revision>
  <dcterms:created xsi:type="dcterms:W3CDTF">2024-02-06T13:46:00Z</dcterms:created>
  <dcterms:modified xsi:type="dcterms:W3CDTF">2025-05-26T18:29:00Z</dcterms:modified>
</cp:coreProperties>
</file>