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B536F" w14:textId="77777777" w:rsidR="00A61464" w:rsidRDefault="00000000">
      <w:pPr>
        <w:ind w:right="-574"/>
      </w:pPr>
      <w:r>
        <w:rPr>
          <w:noProof/>
        </w:rPr>
        <w:drawing>
          <wp:anchor distT="0" distB="0" distL="114300" distR="114300" simplePos="0" relativeHeight="251658240" behindDoc="0" locked="0" layoutInCell="1" hidden="0" allowOverlap="1" wp14:anchorId="6CA29CBF" wp14:editId="35644958">
            <wp:simplePos x="0" y="0"/>
            <wp:positionH relativeFrom="column">
              <wp:posOffset>-641980</wp:posOffset>
            </wp:positionH>
            <wp:positionV relativeFrom="paragraph">
              <wp:posOffset>-512436</wp:posOffset>
            </wp:positionV>
            <wp:extent cx="1761966" cy="403103"/>
            <wp:effectExtent l="0" t="0" r="0" b="0"/>
            <wp:wrapNone/>
            <wp:docPr id="2122072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35E757B" wp14:editId="39CDD895">
            <wp:simplePos x="0" y="0"/>
            <wp:positionH relativeFrom="column">
              <wp:posOffset>-597530</wp:posOffset>
            </wp:positionH>
            <wp:positionV relativeFrom="paragraph">
              <wp:posOffset>109854</wp:posOffset>
            </wp:positionV>
            <wp:extent cx="1651000" cy="387350"/>
            <wp:effectExtent l="0" t="0" r="0" b="0"/>
            <wp:wrapNone/>
            <wp:docPr id="21220720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51000" cy="387350"/>
                    </a:xfrm>
                    <a:prstGeom prst="rect">
                      <a:avLst/>
                    </a:prstGeom>
                    <a:ln/>
                  </pic:spPr>
                </pic:pic>
              </a:graphicData>
            </a:graphic>
          </wp:anchor>
        </w:drawing>
      </w:r>
    </w:p>
    <w:p w14:paraId="7CFC7A79" w14:textId="77777777" w:rsidR="00A61464" w:rsidRDefault="00A61464">
      <w:pPr>
        <w:ind w:right="-574"/>
        <w:jc w:val="right"/>
        <w:rPr>
          <w:rFonts w:ascii="National" w:eastAsia="National" w:hAnsi="National" w:cs="National"/>
          <w:color w:val="303AB2"/>
          <w:sz w:val="36"/>
          <w:szCs w:val="36"/>
        </w:rPr>
      </w:pPr>
      <w:bookmarkStart w:id="0" w:name="_heading=h.gjdgxs" w:colFirst="0" w:colLast="0"/>
      <w:bookmarkEnd w:id="0"/>
    </w:p>
    <w:p w14:paraId="7CF37A26" w14:textId="77777777" w:rsidR="00A61464" w:rsidRDefault="00A61464">
      <w:pPr>
        <w:spacing w:line="276" w:lineRule="auto"/>
        <w:ind w:right="-574"/>
        <w:jc w:val="center"/>
        <w:rPr>
          <w:rFonts w:ascii="National" w:eastAsia="National" w:hAnsi="National" w:cs="National"/>
          <w:b/>
          <w:color w:val="1DBDC5"/>
          <w:sz w:val="30"/>
          <w:szCs w:val="30"/>
        </w:rPr>
      </w:pPr>
    </w:p>
    <w:p w14:paraId="23A2104C" w14:textId="77777777" w:rsidR="00A61464"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2024: ANÁLISIS RELACIÓN ENTRE SALARIOS Y VIVIENDA EN ESPAÑA</w:t>
      </w:r>
    </w:p>
    <w:p w14:paraId="1B57FD44" w14:textId="77777777" w:rsidR="00A61464" w:rsidRDefault="00000000">
      <w:pPr>
        <w:pBdr>
          <w:top w:val="nil"/>
          <w:left w:val="nil"/>
          <w:bottom w:val="nil"/>
          <w:right w:val="nil"/>
          <w:between w:val="nil"/>
        </w:pBdr>
        <w:spacing w:line="276" w:lineRule="auto"/>
        <w:ind w:right="-574"/>
        <w:jc w:val="center"/>
        <w:rPr>
          <w:rFonts w:ascii="National" w:eastAsia="National" w:hAnsi="National" w:cs="National"/>
          <w:b/>
          <w:color w:val="303AB2"/>
          <w:sz w:val="48"/>
          <w:szCs w:val="48"/>
        </w:rPr>
      </w:pPr>
      <w:r>
        <w:rPr>
          <w:rFonts w:ascii="National" w:eastAsia="National" w:hAnsi="National" w:cs="National"/>
          <w:b/>
          <w:color w:val="303AB2"/>
          <w:sz w:val="48"/>
          <w:szCs w:val="48"/>
        </w:rPr>
        <w:t>En 3 años los salarios han crecido un 7,4% mientras que el alquiler ha subido un 29,4%, según InfoJobs y Fotocasa</w:t>
      </w:r>
    </w:p>
    <w:p w14:paraId="199BE263" w14:textId="77777777" w:rsidR="00A61464" w:rsidRDefault="00A61464">
      <w:p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p>
    <w:p w14:paraId="0C48AAC9" w14:textId="77777777" w:rsidR="00A61464"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sz w:val="22"/>
          <w:szCs w:val="22"/>
        </w:rPr>
      </w:pPr>
      <w:r>
        <w:rPr>
          <w:rFonts w:ascii="Open Sans" w:eastAsia="Open Sans" w:hAnsi="Open Sans" w:cs="Open Sans"/>
          <w:color w:val="000000"/>
          <w:sz w:val="22"/>
          <w:szCs w:val="22"/>
        </w:rPr>
        <w:t>En 2024 los salarios ofertados subieron en España un 3,1%, mientras que el precio de la vivienda en alquiler lo hizo un 14%</w:t>
      </w:r>
    </w:p>
    <w:p w14:paraId="5ACCAB0C" w14:textId="77777777" w:rsidR="00A61464"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españoles tienen un salario medio de 27.060 euros/año y paga</w:t>
      </w:r>
      <w:r>
        <w:rPr>
          <w:rFonts w:ascii="Open Sans" w:eastAsia="Open Sans" w:hAnsi="Open Sans" w:cs="Open Sans"/>
          <w:sz w:val="22"/>
          <w:szCs w:val="22"/>
        </w:rPr>
        <w:t>ron</w:t>
      </w:r>
      <w:r>
        <w:rPr>
          <w:rFonts w:ascii="Open Sans" w:eastAsia="Open Sans" w:hAnsi="Open Sans" w:cs="Open Sans"/>
          <w:color w:val="000000"/>
          <w:sz w:val="22"/>
          <w:szCs w:val="22"/>
        </w:rPr>
        <w:t xml:space="preserve"> por el alquiler anual de una vivienda estándar de 80 metros 12.758 euros en 2024 (13,29 €/m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 xml:space="preserve">al mes) </w:t>
      </w:r>
    </w:p>
    <w:p w14:paraId="78CAD6E1" w14:textId="77777777" w:rsidR="00A61464"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En el último año </w:t>
      </w:r>
      <w:r>
        <w:rPr>
          <w:rFonts w:ascii="Open Sans" w:eastAsia="Open Sans" w:hAnsi="Open Sans" w:cs="Open Sans"/>
          <w:sz w:val="22"/>
          <w:szCs w:val="22"/>
        </w:rPr>
        <w:t>el salario medio ofertado ha</w:t>
      </w:r>
      <w:r>
        <w:rPr>
          <w:rFonts w:ascii="Open Sans" w:eastAsia="Open Sans" w:hAnsi="Open Sans" w:cs="Open Sans"/>
          <w:color w:val="000000"/>
          <w:sz w:val="22"/>
          <w:szCs w:val="22"/>
        </w:rPr>
        <w:t xml:space="preserve"> subido en 12 comunidades y el precio </w:t>
      </w:r>
      <w:r>
        <w:rPr>
          <w:rFonts w:ascii="Open Sans" w:eastAsia="Open Sans" w:hAnsi="Open Sans" w:cs="Open Sans"/>
          <w:sz w:val="22"/>
          <w:szCs w:val="22"/>
        </w:rPr>
        <w:t>de la vivienda en alquiler se ha incrementado en 16 regiones de España</w:t>
      </w:r>
    </w:p>
    <w:p w14:paraId="18A268AE" w14:textId="77777777" w:rsidR="00A61464"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salarios ofertados cayeron sobre todo en Extremadura</w:t>
      </w:r>
      <w:r>
        <w:rPr>
          <w:rFonts w:ascii="Open Sans" w:eastAsia="Open Sans" w:hAnsi="Open Sans" w:cs="Open Sans"/>
          <w:sz w:val="22"/>
          <w:szCs w:val="22"/>
        </w:rPr>
        <w:t xml:space="preserve">, cuyos </w:t>
      </w:r>
      <w:r>
        <w:rPr>
          <w:rFonts w:ascii="Open Sans" w:eastAsia="Open Sans" w:hAnsi="Open Sans" w:cs="Open Sans"/>
          <w:color w:val="000000"/>
          <w:sz w:val="22"/>
          <w:szCs w:val="22"/>
        </w:rPr>
        <w:t>residentes son los que pagaron los alquileres más bajos por una vivienda en 2024</w:t>
      </w:r>
    </w:p>
    <w:p w14:paraId="2996A744" w14:textId="77777777" w:rsidR="00A61464"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Solo en la provincia de Cantabria ha descendido el precio medio del alquiler (-</w:t>
      </w:r>
      <w:r>
        <w:rPr>
          <w:rFonts w:ascii="Open Sans" w:eastAsia="Open Sans" w:hAnsi="Open Sans" w:cs="Open Sans"/>
          <w:sz w:val="22"/>
          <w:szCs w:val="22"/>
        </w:rPr>
        <w:t>3,1</w:t>
      </w:r>
      <w:r>
        <w:rPr>
          <w:rFonts w:ascii="Open Sans" w:eastAsia="Open Sans" w:hAnsi="Open Sans" w:cs="Open Sans"/>
          <w:color w:val="000000"/>
          <w:sz w:val="22"/>
          <w:szCs w:val="22"/>
        </w:rPr>
        <w:t>%) y también el salario medio anual ofertado (-</w:t>
      </w:r>
      <w:r>
        <w:rPr>
          <w:rFonts w:ascii="Open Sans" w:eastAsia="Open Sans" w:hAnsi="Open Sans" w:cs="Open Sans"/>
          <w:sz w:val="22"/>
          <w:szCs w:val="22"/>
        </w:rPr>
        <w:t>1,5</w:t>
      </w:r>
      <w:r>
        <w:rPr>
          <w:rFonts w:ascii="Open Sans" w:eastAsia="Open Sans" w:hAnsi="Open Sans" w:cs="Open Sans"/>
          <w:color w:val="000000"/>
          <w:sz w:val="22"/>
          <w:szCs w:val="22"/>
        </w:rPr>
        <w:t xml:space="preserve">%) </w:t>
      </w:r>
    </w:p>
    <w:p w14:paraId="139B9D32" w14:textId="77777777" w:rsidR="00A61464" w:rsidRDefault="00A61464">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53EA3133" w14:textId="77777777" w:rsidR="00A61464"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26 de mayo de 2025</w:t>
      </w:r>
    </w:p>
    <w:p w14:paraId="5A6E478B"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brecha entre los salarios y los precios de la vivienda en alquiler cada vez se está haciendo mayor. Y es que en 2024 el precio por metro cuadrado de una vivienda en alquiler se </w:t>
      </w:r>
      <w:r>
        <w:rPr>
          <w:rFonts w:ascii="Open Sans" w:eastAsia="Open Sans" w:hAnsi="Open Sans" w:cs="Open Sans"/>
          <w:sz w:val="22"/>
          <w:szCs w:val="22"/>
        </w:rPr>
        <w:t xml:space="preserve">encareció </w:t>
      </w:r>
      <w:r>
        <w:rPr>
          <w:rFonts w:ascii="Open Sans" w:eastAsia="Open Sans" w:hAnsi="Open Sans" w:cs="Open Sans"/>
          <w:color w:val="000000"/>
          <w:sz w:val="22"/>
          <w:szCs w:val="22"/>
        </w:rPr>
        <w:t xml:space="preserve">un 14% y los salarios ofertados subieron un 3,1%, según el estudio </w:t>
      </w:r>
      <w:r>
        <w:rPr>
          <w:rFonts w:ascii="Open Sans" w:eastAsia="Open Sans" w:hAnsi="Open Sans" w:cs="Open Sans"/>
          <w:b/>
          <w:sz w:val="22"/>
          <w:szCs w:val="22"/>
        </w:rPr>
        <w:t>“</w:t>
      </w:r>
      <w:r>
        <w:rPr>
          <w:rFonts w:ascii="Open Sans" w:eastAsia="Open Sans" w:hAnsi="Open Sans" w:cs="Open Sans"/>
          <w:b/>
          <w:i/>
          <w:sz w:val="22"/>
          <w:szCs w:val="22"/>
        </w:rPr>
        <w:t>Relación de salarios y vivienda en alquiler en 2024</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precios medios de la vivienda en alquiler del Índice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y los datos de los sueldos medios de las ofertas de empleo de la plataforma </w:t>
      </w:r>
      <w:hyperlink r:id="rId11">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w:t>
      </w:r>
    </w:p>
    <w:p w14:paraId="53BB8D6A"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Así, </w:t>
      </w:r>
      <w:r>
        <w:rPr>
          <w:rFonts w:ascii="Open Sans" w:eastAsia="Open Sans" w:hAnsi="Open Sans" w:cs="Open Sans"/>
          <w:b/>
          <w:color w:val="000000"/>
          <w:sz w:val="22"/>
          <w:szCs w:val="22"/>
        </w:rPr>
        <w:t>los trabajadores españoles han pasado de un salario medio de 26.245 euros/año en 2023 a 27.060 euros/año en 2024 (es decir, 3,1% más).</w:t>
      </w:r>
      <w:r>
        <w:rPr>
          <w:rFonts w:ascii="Open Sans" w:eastAsia="Open Sans" w:hAnsi="Open Sans" w:cs="Open Sans"/>
          <w:color w:val="000000"/>
          <w:sz w:val="22"/>
          <w:szCs w:val="22"/>
        </w:rPr>
        <w:t xml:space="preserve"> A esto se añade que en España el precio de la vivienda en alquiler se encareció un 14% respecto al año anterior: </w:t>
      </w:r>
      <w:r>
        <w:rPr>
          <w:rFonts w:ascii="Open Sans" w:eastAsia="Open Sans" w:hAnsi="Open Sans" w:cs="Open Sans"/>
          <w:b/>
          <w:color w:val="000000"/>
          <w:sz w:val="22"/>
          <w:szCs w:val="22"/>
        </w:rPr>
        <w:t>se ha pasado de pagar 11,66 euros/m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mes en 2023 a pagar 13,29 euros/m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w:t>
      </w:r>
      <w:r>
        <w:rPr>
          <w:rFonts w:ascii="Open Sans" w:eastAsia="Open Sans" w:hAnsi="Open Sans" w:cs="Open Sans"/>
          <w:b/>
          <w:sz w:val="22"/>
          <w:szCs w:val="22"/>
        </w:rPr>
        <w:t>mes en 2024.</w:t>
      </w:r>
      <w:r>
        <w:rPr>
          <w:rFonts w:ascii="Open Sans" w:eastAsia="Open Sans" w:hAnsi="Open Sans" w:cs="Open Sans"/>
          <w:sz w:val="22"/>
          <w:szCs w:val="22"/>
        </w:rPr>
        <w:t xml:space="preserve">  Es decir, que por una vivienda de 80 metros</w:t>
      </w:r>
      <w:r>
        <w:rPr>
          <w:rFonts w:ascii="Open Sans" w:eastAsia="Open Sans" w:hAnsi="Open Sans" w:cs="Open Sans"/>
          <w:sz w:val="22"/>
          <w:szCs w:val="22"/>
          <w:vertAlign w:val="superscript"/>
        </w:rPr>
        <w:t xml:space="preserve"> </w:t>
      </w:r>
      <w:r>
        <w:rPr>
          <w:rFonts w:ascii="Open Sans" w:eastAsia="Open Sans" w:hAnsi="Open Sans" w:cs="Open Sans"/>
          <w:sz w:val="22"/>
          <w:szCs w:val="22"/>
        </w:rPr>
        <w:t>el alquiler supuso un desembolso de 12.758 euros en 2024.</w:t>
      </w:r>
    </w:p>
    <w:p w14:paraId="5D2D0741"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lastRenderedPageBreak/>
        <w:t>Observ</w:t>
      </w:r>
      <w:r>
        <w:rPr>
          <w:rFonts w:ascii="Open Sans" w:eastAsia="Open Sans" w:hAnsi="Open Sans" w:cs="Open Sans"/>
          <w:color w:val="000000"/>
          <w:sz w:val="22"/>
          <w:szCs w:val="22"/>
        </w:rPr>
        <w:t xml:space="preserve">ando la evolución de los salarios y del precio de la vivienda desde 2021 vemos que en estos </w:t>
      </w:r>
      <w:r>
        <w:rPr>
          <w:rFonts w:ascii="Open Sans" w:eastAsia="Open Sans" w:hAnsi="Open Sans" w:cs="Open Sans"/>
          <w:sz w:val="22"/>
          <w:szCs w:val="22"/>
        </w:rPr>
        <w:t xml:space="preserve">3 años </w:t>
      </w:r>
      <w:r>
        <w:rPr>
          <w:rFonts w:ascii="Open Sans" w:eastAsia="Open Sans" w:hAnsi="Open Sans" w:cs="Open Sans"/>
          <w:color w:val="000000"/>
          <w:sz w:val="22"/>
          <w:szCs w:val="22"/>
        </w:rPr>
        <w:t xml:space="preserve">los sueldos ofertados </w:t>
      </w:r>
      <w:r>
        <w:rPr>
          <w:rFonts w:ascii="Open Sans" w:eastAsia="Open Sans" w:hAnsi="Open Sans" w:cs="Open Sans"/>
          <w:sz w:val="22"/>
          <w:szCs w:val="22"/>
        </w:rPr>
        <w:t>se han incrementado un</w:t>
      </w:r>
      <w:r>
        <w:rPr>
          <w:rFonts w:ascii="Open Sans" w:eastAsia="Open Sans" w:hAnsi="Open Sans" w:cs="Open Sans"/>
          <w:color w:val="000000"/>
          <w:sz w:val="22"/>
          <w:szCs w:val="22"/>
        </w:rPr>
        <w:t xml:space="preserve"> 7,4% (6,5% en los últimos 5 años) mientras</w:t>
      </w:r>
      <w:r>
        <w:rPr>
          <w:rFonts w:ascii="Open Sans" w:eastAsia="Open Sans" w:hAnsi="Open Sans" w:cs="Open Sans"/>
          <w:sz w:val="22"/>
          <w:szCs w:val="22"/>
        </w:rPr>
        <w:t xml:space="preserve"> que</w:t>
      </w:r>
      <w:r>
        <w:rPr>
          <w:rFonts w:ascii="Open Sans" w:eastAsia="Open Sans" w:hAnsi="Open Sans" w:cs="Open Sans"/>
          <w:color w:val="000000"/>
          <w:sz w:val="22"/>
          <w:szCs w:val="22"/>
        </w:rPr>
        <w:t xml:space="preserve"> el precio de la vivienda en alquiler ha subido un 29,4% (30,6% en los últimos 5 años).  </w:t>
      </w:r>
    </w:p>
    <w:p w14:paraId="237C2A19" w14:textId="77777777" w:rsidR="00A61464" w:rsidRDefault="00000000">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 xml:space="preserve">Variación anual de los salarios y del precio de la vivienda en alquiler </w:t>
      </w:r>
    </w:p>
    <w:p w14:paraId="6D67C09E" w14:textId="77777777" w:rsidR="00A61464" w:rsidRDefault="00000000">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28"/>
          <w:szCs w:val="28"/>
        </w:rPr>
      </w:pPr>
      <w:r>
        <w:rPr>
          <w:noProof/>
        </w:rPr>
        <w:drawing>
          <wp:inline distT="0" distB="0" distL="0" distR="0" wp14:anchorId="28FAB15C" wp14:editId="3472D91C">
            <wp:extent cx="5356860" cy="2533650"/>
            <wp:effectExtent l="0" t="0" r="0" b="0"/>
            <wp:docPr id="2122072042" name="Gráfico 2122072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556ECD"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sz w:val="22"/>
          <w:szCs w:val="22"/>
        </w:rPr>
      </w:pPr>
      <w:r>
        <w:rPr>
          <w:rFonts w:ascii="Open Sans" w:eastAsia="Open Sans" w:hAnsi="Open Sans" w:cs="Open Sans"/>
          <w:sz w:val="22"/>
          <w:szCs w:val="22"/>
        </w:rPr>
        <w:t xml:space="preserve">“El alquiler ha subido casi cuatro veces más que los salarios en los últimos tres años. Esta evolución tan descompensada perjudica la capacidad económica de los hogares. De hecho, los inquilinos ya destinan el 47% de sus ingresos al pago del arrendamiento, muy por encima del umbral de esfuerzo recomendado. La fuerte y rápida escalada del precio del alquiler responde a causas estructurales: una demanda en máximos frente a una oferta en mínimos históricos, que crean un mercado cada vez más tensionado. A este desequilibrio se suma un contexto laboral marcado por la precariedad, la temporalidad y la inestabilidad, que agrava aún más las dificultades de acceso y consolida un modelo de vivienda profundamente </w:t>
      </w:r>
      <w:proofErr w:type="gramStart"/>
      <w:r>
        <w:rPr>
          <w:rFonts w:ascii="Open Sans" w:eastAsia="Open Sans" w:hAnsi="Open Sans" w:cs="Open Sans"/>
          <w:sz w:val="22"/>
          <w:szCs w:val="22"/>
        </w:rPr>
        <w:t>desigual“</w:t>
      </w:r>
      <w:proofErr w:type="gramEnd"/>
      <w:r>
        <w:rPr>
          <w:rFonts w:ascii="Open Sans" w:eastAsia="Open Sans" w:hAnsi="Open Sans" w:cs="Open Sans"/>
          <w:sz w:val="22"/>
          <w:szCs w:val="22"/>
        </w:rPr>
        <w:t xml:space="preserve">, </w:t>
      </w:r>
      <w:r>
        <w:rPr>
          <w:rFonts w:ascii="Open Sans" w:eastAsia="Open Sans" w:hAnsi="Open Sans" w:cs="Open Sans"/>
          <w:b/>
          <w:sz w:val="22"/>
          <w:szCs w:val="22"/>
        </w:rPr>
        <w:t xml:space="preserve">explica María Matos, directora de Estudios y Portavoz de </w:t>
      </w:r>
      <w:hyperlink r:id="rId13">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p>
    <w:p w14:paraId="28887CA0"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sz w:val="22"/>
          <w:szCs w:val="22"/>
          <w:highlight w:val="white"/>
        </w:rPr>
      </w:pPr>
      <w:r>
        <w:rPr>
          <w:rFonts w:ascii="Open Sans" w:eastAsia="Open Sans" w:hAnsi="Open Sans" w:cs="Open Sans"/>
          <w:sz w:val="22"/>
          <w:szCs w:val="22"/>
          <w:highlight w:val="white"/>
        </w:rPr>
        <w:t>“</w:t>
      </w:r>
      <w:r>
        <w:rPr>
          <w:rFonts w:ascii="Open Sans" w:eastAsia="Open Sans" w:hAnsi="Open Sans" w:cs="Open Sans"/>
          <w:color w:val="1D1C1D"/>
          <w:sz w:val="22"/>
          <w:szCs w:val="22"/>
          <w:highlight w:val="white"/>
        </w:rPr>
        <w:t xml:space="preserve">En estos últimos años, sobre todo tras la pandemia, los salarios promedio ofertados en InfoJobs han tenido una progresión positiva. En 2022 aumentaron un 2,6%, en 2023 un 1,6%, y en 2024 lo han hecho en un 3,1% (un 6,5% respecto a 2019 y un 7,4% en comparación con 2021). Sin embargo, en este tiempo, la inflación y la disminución del poder adquisitivo han marcado las condiciones de vida de los ciudadanos —aunque al cierre de 2024 se observan signos de recuperación—, lo que se traduce en una mayor dificultad para acceder a la vivienda en alquiler, un mercado donde los precios no dejan de crecer. Si bien es cierto que en estos años la reforma laboral ha limitado la temporalidad de la contratación, la estacionalidad sigue teniendo una presencia </w:t>
      </w:r>
      <w:r>
        <w:rPr>
          <w:rFonts w:ascii="Open Sans" w:eastAsia="Open Sans" w:hAnsi="Open Sans" w:cs="Open Sans"/>
          <w:color w:val="1D1C1D"/>
          <w:sz w:val="22"/>
          <w:szCs w:val="22"/>
          <w:highlight w:val="white"/>
        </w:rPr>
        <w:lastRenderedPageBreak/>
        <w:t xml:space="preserve">destacada en el mercado laboral e impacta en la estabilidad de los </w:t>
      </w:r>
      <w:proofErr w:type="gramStart"/>
      <w:r>
        <w:rPr>
          <w:rFonts w:ascii="Open Sans" w:eastAsia="Open Sans" w:hAnsi="Open Sans" w:cs="Open Sans"/>
          <w:color w:val="1D1C1D"/>
          <w:sz w:val="22"/>
          <w:szCs w:val="22"/>
          <w:highlight w:val="white"/>
        </w:rPr>
        <w:t>trabajadores</w:t>
      </w:r>
      <w:r>
        <w:rPr>
          <w:rFonts w:ascii="Open Sans" w:eastAsia="Open Sans" w:hAnsi="Open Sans" w:cs="Open Sans"/>
          <w:sz w:val="22"/>
          <w:szCs w:val="22"/>
          <w:highlight w:val="white"/>
        </w:rPr>
        <w:t>“</w:t>
      </w:r>
      <w:proofErr w:type="gramEnd"/>
      <w:r>
        <w:rPr>
          <w:rFonts w:ascii="Open Sans" w:eastAsia="Open Sans" w:hAnsi="Open Sans" w:cs="Open Sans"/>
          <w:sz w:val="22"/>
          <w:szCs w:val="22"/>
          <w:highlight w:val="white"/>
        </w:rPr>
        <w:t xml:space="preserve">, </w:t>
      </w:r>
      <w:r>
        <w:rPr>
          <w:rFonts w:ascii="Open Sans" w:eastAsia="Open Sans" w:hAnsi="Open Sans" w:cs="Open Sans"/>
          <w:b/>
          <w:sz w:val="22"/>
          <w:szCs w:val="22"/>
          <w:highlight w:val="white"/>
        </w:rPr>
        <w:t xml:space="preserve">señala Mónica Pérez, directora de Comunicación y Estudios de </w:t>
      </w:r>
      <w:hyperlink r:id="rId14">
        <w:r>
          <w:rPr>
            <w:rFonts w:ascii="Open Sans" w:eastAsia="Open Sans" w:hAnsi="Open Sans" w:cs="Open Sans"/>
            <w:b/>
            <w:color w:val="0000FF"/>
            <w:sz w:val="22"/>
            <w:szCs w:val="22"/>
            <w:highlight w:val="white"/>
            <w:u w:val="single"/>
          </w:rPr>
          <w:t>InfoJobs</w:t>
        </w:r>
      </w:hyperlink>
      <w:r>
        <w:rPr>
          <w:rFonts w:ascii="Open Sans" w:eastAsia="Open Sans" w:hAnsi="Open Sans" w:cs="Open Sans"/>
          <w:b/>
          <w:sz w:val="22"/>
          <w:szCs w:val="22"/>
          <w:highlight w:val="white"/>
        </w:rPr>
        <w:t>.</w:t>
      </w:r>
    </w:p>
    <w:p w14:paraId="1721CAE9"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FF0000"/>
          <w:sz w:val="22"/>
          <w:szCs w:val="22"/>
        </w:rPr>
      </w:pPr>
      <w:r>
        <w:rPr>
          <w:rFonts w:ascii="Open Sans" w:eastAsia="Open Sans" w:hAnsi="Open Sans" w:cs="Open Sans"/>
          <w:sz w:val="22"/>
          <w:szCs w:val="22"/>
        </w:rPr>
        <w:t xml:space="preserve">En cuanto a las comunidades autónomas, si </w:t>
      </w:r>
      <w:r>
        <w:rPr>
          <w:rFonts w:ascii="Open Sans" w:eastAsia="Open Sans" w:hAnsi="Open Sans" w:cs="Open Sans"/>
          <w:color w:val="000000"/>
          <w:sz w:val="22"/>
          <w:szCs w:val="22"/>
        </w:rPr>
        <w:t xml:space="preserve">analizamos el último año respecto al anterior, en 2024 el salario medio descendió en cinco </w:t>
      </w:r>
      <w:r>
        <w:rPr>
          <w:rFonts w:ascii="Open Sans" w:eastAsia="Open Sans" w:hAnsi="Open Sans" w:cs="Open Sans"/>
          <w:sz w:val="22"/>
          <w:szCs w:val="22"/>
        </w:rPr>
        <w:t>de ellas</w:t>
      </w:r>
      <w:r>
        <w:rPr>
          <w:rFonts w:ascii="Open Sans" w:eastAsia="Open Sans" w:hAnsi="Open Sans" w:cs="Open Sans"/>
          <w:color w:val="000000"/>
          <w:sz w:val="22"/>
          <w:szCs w:val="22"/>
        </w:rPr>
        <w:t xml:space="preserve">, mientras que el precio de la vivienda en alquiler subió en 16 regiones </w:t>
      </w:r>
      <w:r>
        <w:rPr>
          <w:rFonts w:ascii="Open Sans" w:eastAsia="Open Sans" w:hAnsi="Open Sans" w:cs="Open Sans"/>
          <w:sz w:val="22"/>
          <w:szCs w:val="22"/>
        </w:rPr>
        <w:t>españolas. Incluso en ocho comunidades la subida del precio de la vivienda en alquiler ha superado el 10%, mientras que los aumentos de salarios ofertados han superado el 5% solo en dos comunidades.</w:t>
      </w:r>
    </w:p>
    <w:p w14:paraId="06721CBF"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28"/>
          <w:szCs w:val="28"/>
        </w:rPr>
      </w:pPr>
      <w:r>
        <w:rPr>
          <w:rFonts w:ascii="National" w:eastAsia="National" w:hAnsi="National" w:cs="National"/>
          <w:b/>
          <w:color w:val="303AB2"/>
          <w:sz w:val="28"/>
          <w:szCs w:val="28"/>
        </w:rPr>
        <w:t>Baja el salario en Extremadura y es donde menos se paga por un alquiler</w:t>
      </w:r>
    </w:p>
    <w:p w14:paraId="62C58587"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FF0000"/>
          <w:sz w:val="22"/>
          <w:szCs w:val="22"/>
        </w:rPr>
      </w:pPr>
      <w:r>
        <w:rPr>
          <w:rFonts w:ascii="Open Sans" w:eastAsia="Open Sans" w:hAnsi="Open Sans" w:cs="Open Sans"/>
          <w:sz w:val="22"/>
          <w:szCs w:val="22"/>
        </w:rPr>
        <w:t>La</w:t>
      </w:r>
      <w:r>
        <w:rPr>
          <w:rFonts w:ascii="Open Sans" w:eastAsia="Open Sans" w:hAnsi="Open Sans" w:cs="Open Sans"/>
          <w:color w:val="000000"/>
          <w:sz w:val="22"/>
          <w:szCs w:val="22"/>
        </w:rPr>
        <w:t xml:space="preserve"> comunidad más afectada por el descenso de los salarios ofertados en 2024 </w:t>
      </w:r>
      <w:r>
        <w:rPr>
          <w:rFonts w:ascii="Open Sans" w:eastAsia="Open Sans" w:hAnsi="Open Sans" w:cs="Open Sans"/>
          <w:sz w:val="22"/>
          <w:szCs w:val="22"/>
        </w:rPr>
        <w:t>ha sido Extremadura</w:t>
      </w:r>
      <w:r>
        <w:rPr>
          <w:rFonts w:ascii="Open Sans" w:eastAsia="Open Sans" w:hAnsi="Open Sans" w:cs="Open Sans"/>
          <w:color w:val="000000"/>
          <w:sz w:val="22"/>
          <w:szCs w:val="22"/>
        </w:rPr>
        <w:t xml:space="preserve">. Así, </w:t>
      </w:r>
      <w:r>
        <w:rPr>
          <w:rFonts w:ascii="Open Sans" w:eastAsia="Open Sans" w:hAnsi="Open Sans" w:cs="Open Sans"/>
          <w:b/>
          <w:color w:val="000000"/>
          <w:sz w:val="22"/>
          <w:szCs w:val="22"/>
        </w:rPr>
        <w:t>los trabajadores extremeños han pasado de un salario medio de 26.844 euros/año en 2023 a 24.001 euros/año en 2024 (es decir, 10,6% menos).</w:t>
      </w:r>
      <w:r>
        <w:rPr>
          <w:rFonts w:ascii="Open Sans" w:eastAsia="Open Sans" w:hAnsi="Open Sans" w:cs="Open Sans"/>
          <w:color w:val="000000"/>
          <w:sz w:val="22"/>
          <w:szCs w:val="22"/>
        </w:rPr>
        <w:t xml:space="preserve"> A esto se añade que en Extremadura el precio de la vivienda en alquiler se encareció un 8,3% respecto al año anterior: se ha pasado de pagar 6,30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2023 a pagar 6,82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w:t>
      </w:r>
      <w:r>
        <w:rPr>
          <w:rFonts w:ascii="Open Sans" w:eastAsia="Open Sans" w:hAnsi="Open Sans" w:cs="Open Sans"/>
          <w:sz w:val="22"/>
          <w:szCs w:val="22"/>
        </w:rPr>
        <w:t>mes en 2024, aunque sigue siendo la comunidad con los alquileres más bajos de España.</w:t>
      </w:r>
    </w:p>
    <w:p w14:paraId="4EA08A72" w14:textId="77777777" w:rsidR="00A61464"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t xml:space="preserve">Variación acumulativa del salario de los últimos 5 años </w:t>
      </w:r>
    </w:p>
    <w:p w14:paraId="7FEC21A9"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tbl>
      <w:tblPr>
        <w:tblStyle w:val="af1"/>
        <w:tblW w:w="9498" w:type="dxa"/>
        <w:tblInd w:w="-436" w:type="dxa"/>
        <w:tblLayout w:type="fixed"/>
        <w:tblLook w:val="0400" w:firstRow="0" w:lastRow="0" w:firstColumn="0" w:lastColumn="0" w:noHBand="0" w:noVBand="1"/>
      </w:tblPr>
      <w:tblGrid>
        <w:gridCol w:w="1277"/>
        <w:gridCol w:w="1276"/>
        <w:gridCol w:w="1275"/>
        <w:gridCol w:w="1276"/>
        <w:gridCol w:w="1276"/>
        <w:gridCol w:w="1134"/>
        <w:gridCol w:w="992"/>
        <w:gridCol w:w="992"/>
      </w:tblGrid>
      <w:tr w:rsidR="00A61464" w14:paraId="3FB91BA4" w14:textId="77777777">
        <w:trPr>
          <w:trHeight w:val="988"/>
        </w:trPr>
        <w:tc>
          <w:tcPr>
            <w:tcW w:w="1277"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20D43FF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CC. AA.</w:t>
            </w:r>
          </w:p>
        </w:tc>
        <w:tc>
          <w:tcPr>
            <w:tcW w:w="1276" w:type="dxa"/>
            <w:tcBorders>
              <w:top w:val="single" w:sz="8" w:space="0" w:color="2E74B5"/>
              <w:left w:val="nil"/>
              <w:bottom w:val="single" w:sz="8" w:space="0" w:color="2E74B5"/>
              <w:right w:val="single" w:sz="8" w:space="0" w:color="2E74B5"/>
            </w:tcBorders>
            <w:shd w:val="clear" w:color="auto" w:fill="9CC2E5"/>
            <w:vAlign w:val="center"/>
          </w:tcPr>
          <w:p w14:paraId="09A6AC0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Salario medio InfoJobs (€/año) 2019</w:t>
            </w:r>
          </w:p>
        </w:tc>
        <w:tc>
          <w:tcPr>
            <w:tcW w:w="1275" w:type="dxa"/>
            <w:tcBorders>
              <w:top w:val="single" w:sz="8" w:space="0" w:color="2E74B5"/>
              <w:left w:val="nil"/>
              <w:bottom w:val="single" w:sz="8" w:space="0" w:color="2E74B5"/>
              <w:right w:val="single" w:sz="8" w:space="0" w:color="2E74B5"/>
            </w:tcBorders>
            <w:shd w:val="clear" w:color="auto" w:fill="9CC2E5"/>
            <w:vAlign w:val="center"/>
          </w:tcPr>
          <w:p w14:paraId="5A22D62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Salario medio InfoJobs (€/año) 2021</w:t>
            </w:r>
          </w:p>
        </w:tc>
        <w:tc>
          <w:tcPr>
            <w:tcW w:w="1276" w:type="dxa"/>
            <w:tcBorders>
              <w:top w:val="single" w:sz="8" w:space="0" w:color="2E74B5"/>
              <w:left w:val="nil"/>
              <w:bottom w:val="single" w:sz="8" w:space="0" w:color="2E74B5"/>
              <w:right w:val="single" w:sz="8" w:space="0" w:color="2E74B5"/>
            </w:tcBorders>
            <w:shd w:val="clear" w:color="auto" w:fill="9CC2E5"/>
            <w:vAlign w:val="center"/>
          </w:tcPr>
          <w:p w14:paraId="057E337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Salario medio InfoJobs (€/año) 2023</w:t>
            </w:r>
          </w:p>
        </w:tc>
        <w:tc>
          <w:tcPr>
            <w:tcW w:w="1276" w:type="dxa"/>
            <w:tcBorders>
              <w:top w:val="single" w:sz="8" w:space="0" w:color="2E74B5"/>
              <w:left w:val="nil"/>
              <w:bottom w:val="single" w:sz="8" w:space="0" w:color="2E74B5"/>
              <w:right w:val="single" w:sz="8" w:space="0" w:color="2E74B5"/>
            </w:tcBorders>
            <w:shd w:val="clear" w:color="auto" w:fill="9CC2E5"/>
            <w:vAlign w:val="center"/>
          </w:tcPr>
          <w:p w14:paraId="558936E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 xml:space="preserve">Salario </w:t>
            </w:r>
          </w:p>
          <w:p w14:paraId="0C0BC0CB"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color w:val="000000"/>
                <w:sz w:val="18"/>
                <w:szCs w:val="18"/>
              </w:rPr>
              <w:t>medio InfoJobs (€/año) 2024</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39EFD7C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w:t>
            </w:r>
            <w:r>
              <w:rPr>
                <w:rFonts w:ascii="Open Sans Light" w:eastAsia="Open Sans Light" w:hAnsi="Open Sans Light" w:cs="Open Sans Light"/>
                <w:color w:val="000000"/>
                <w:sz w:val="18"/>
                <w:szCs w:val="18"/>
              </w:rPr>
              <w:t xml:space="preserve"> 5 años (2024 vs. 2019)</w:t>
            </w:r>
          </w:p>
        </w:tc>
        <w:tc>
          <w:tcPr>
            <w:tcW w:w="992" w:type="dxa"/>
            <w:tcBorders>
              <w:top w:val="single" w:sz="8" w:space="0" w:color="2E74B5"/>
              <w:left w:val="nil"/>
              <w:bottom w:val="single" w:sz="8" w:space="0" w:color="2E74B5"/>
              <w:right w:val="single" w:sz="8" w:space="0" w:color="2E74B5"/>
            </w:tcBorders>
            <w:shd w:val="clear" w:color="auto" w:fill="9CC2E5"/>
            <w:vAlign w:val="center"/>
          </w:tcPr>
          <w:p w14:paraId="4136CC2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sz w:val="18"/>
                <w:szCs w:val="18"/>
              </w:rPr>
              <w:t xml:space="preserve">% </w:t>
            </w:r>
            <w:r>
              <w:rPr>
                <w:rFonts w:ascii="Open Sans Light" w:eastAsia="Open Sans Light" w:hAnsi="Open Sans Light" w:cs="Open Sans Light"/>
                <w:color w:val="000000"/>
                <w:sz w:val="18"/>
                <w:szCs w:val="18"/>
              </w:rPr>
              <w:t>3 años (2024 vs</w:t>
            </w:r>
            <w:r>
              <w:rPr>
                <w:rFonts w:ascii="Open Sans Light" w:eastAsia="Open Sans Light" w:hAnsi="Open Sans Light" w:cs="Open Sans Light"/>
                <w:sz w:val="18"/>
                <w:szCs w:val="18"/>
              </w:rPr>
              <w:t>.</w:t>
            </w:r>
            <w:r>
              <w:rPr>
                <w:rFonts w:ascii="Open Sans Light" w:eastAsia="Open Sans Light" w:hAnsi="Open Sans Light" w:cs="Open Sans Light"/>
                <w:color w:val="000000"/>
                <w:sz w:val="18"/>
                <w:szCs w:val="18"/>
              </w:rPr>
              <w:t xml:space="preserve"> 2021)</w:t>
            </w:r>
          </w:p>
        </w:tc>
        <w:tc>
          <w:tcPr>
            <w:tcW w:w="992" w:type="dxa"/>
            <w:tcBorders>
              <w:top w:val="single" w:sz="8" w:space="0" w:color="2E74B5"/>
              <w:left w:val="nil"/>
              <w:bottom w:val="single" w:sz="8" w:space="0" w:color="2E74B5"/>
              <w:right w:val="single" w:sz="8" w:space="0" w:color="2E74B5"/>
            </w:tcBorders>
            <w:shd w:val="clear" w:color="auto" w:fill="9CC2E5"/>
            <w:vAlign w:val="center"/>
          </w:tcPr>
          <w:p w14:paraId="6E43F27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sz w:val="18"/>
                <w:szCs w:val="18"/>
              </w:rPr>
              <w:t>%</w:t>
            </w:r>
            <w:r>
              <w:rPr>
                <w:rFonts w:ascii="Open Sans Light" w:eastAsia="Open Sans Light" w:hAnsi="Open Sans Light" w:cs="Open Sans Light"/>
                <w:b/>
                <w:color w:val="000000"/>
                <w:sz w:val="18"/>
                <w:szCs w:val="18"/>
              </w:rPr>
              <w:t>1 año (2024 vs</w:t>
            </w:r>
            <w:r>
              <w:rPr>
                <w:rFonts w:ascii="Open Sans Light" w:eastAsia="Open Sans Light" w:hAnsi="Open Sans Light" w:cs="Open Sans Light"/>
                <w:b/>
                <w:sz w:val="18"/>
                <w:szCs w:val="18"/>
              </w:rPr>
              <w:t>.</w:t>
            </w:r>
            <w:r>
              <w:rPr>
                <w:rFonts w:ascii="Open Sans Light" w:eastAsia="Open Sans Light" w:hAnsi="Open Sans Light" w:cs="Open Sans Light"/>
                <w:b/>
                <w:color w:val="000000"/>
                <w:sz w:val="18"/>
                <w:szCs w:val="18"/>
              </w:rPr>
              <w:t xml:space="preserve"> 2023)</w:t>
            </w:r>
          </w:p>
        </w:tc>
      </w:tr>
      <w:tr w:rsidR="00A61464" w14:paraId="0C3E5A2C"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3B6631C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Andalucía</w:t>
            </w:r>
          </w:p>
        </w:tc>
        <w:tc>
          <w:tcPr>
            <w:tcW w:w="1276" w:type="dxa"/>
            <w:tcBorders>
              <w:top w:val="nil"/>
              <w:left w:val="nil"/>
              <w:bottom w:val="single" w:sz="8" w:space="0" w:color="2E74B5"/>
              <w:right w:val="single" w:sz="8" w:space="0" w:color="2E74B5"/>
            </w:tcBorders>
            <w:shd w:val="clear" w:color="auto" w:fill="auto"/>
            <w:vAlign w:val="bottom"/>
          </w:tcPr>
          <w:p w14:paraId="5A9078E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27.297 €</w:t>
            </w:r>
          </w:p>
        </w:tc>
        <w:tc>
          <w:tcPr>
            <w:tcW w:w="1275" w:type="dxa"/>
            <w:tcBorders>
              <w:top w:val="nil"/>
              <w:left w:val="nil"/>
              <w:bottom w:val="single" w:sz="8" w:space="0" w:color="2E74B5"/>
              <w:right w:val="single" w:sz="8" w:space="0" w:color="2E74B5"/>
            </w:tcBorders>
            <w:shd w:val="clear" w:color="auto" w:fill="auto"/>
            <w:vAlign w:val="bottom"/>
          </w:tcPr>
          <w:p w14:paraId="737B3F6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25.771 €</w:t>
            </w:r>
          </w:p>
        </w:tc>
        <w:tc>
          <w:tcPr>
            <w:tcW w:w="1276" w:type="dxa"/>
            <w:tcBorders>
              <w:top w:val="nil"/>
              <w:left w:val="nil"/>
              <w:bottom w:val="single" w:sz="8" w:space="0" w:color="2E74B5"/>
              <w:right w:val="single" w:sz="8" w:space="0" w:color="2E74B5"/>
            </w:tcBorders>
            <w:shd w:val="clear" w:color="auto" w:fill="auto"/>
            <w:vAlign w:val="bottom"/>
          </w:tcPr>
          <w:p w14:paraId="5A3C84E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27.221 €</w:t>
            </w:r>
          </w:p>
        </w:tc>
        <w:tc>
          <w:tcPr>
            <w:tcW w:w="1276" w:type="dxa"/>
            <w:tcBorders>
              <w:top w:val="nil"/>
              <w:left w:val="nil"/>
              <w:bottom w:val="single" w:sz="8" w:space="0" w:color="2E74B5"/>
              <w:right w:val="single" w:sz="8" w:space="0" w:color="2E74B5"/>
            </w:tcBorders>
            <w:shd w:val="clear" w:color="auto" w:fill="auto"/>
            <w:vAlign w:val="bottom"/>
          </w:tcPr>
          <w:p w14:paraId="5EC338CE"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28.048 €</w:t>
            </w:r>
          </w:p>
        </w:tc>
        <w:tc>
          <w:tcPr>
            <w:tcW w:w="1134" w:type="dxa"/>
            <w:tcBorders>
              <w:top w:val="nil"/>
              <w:left w:val="nil"/>
              <w:bottom w:val="single" w:sz="8" w:space="0" w:color="2E74B5"/>
              <w:right w:val="single" w:sz="8" w:space="0" w:color="2E74B5"/>
            </w:tcBorders>
            <w:shd w:val="clear" w:color="auto" w:fill="auto"/>
            <w:vAlign w:val="bottom"/>
          </w:tcPr>
          <w:p w14:paraId="02671B1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w:t>
            </w:r>
          </w:p>
        </w:tc>
        <w:tc>
          <w:tcPr>
            <w:tcW w:w="992" w:type="dxa"/>
            <w:tcBorders>
              <w:top w:val="nil"/>
              <w:left w:val="nil"/>
              <w:bottom w:val="single" w:sz="8" w:space="0" w:color="2E74B5"/>
              <w:right w:val="single" w:sz="8" w:space="0" w:color="2E74B5"/>
            </w:tcBorders>
            <w:vAlign w:val="bottom"/>
          </w:tcPr>
          <w:p w14:paraId="48871C8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8,8%</w:t>
            </w:r>
          </w:p>
        </w:tc>
        <w:tc>
          <w:tcPr>
            <w:tcW w:w="992" w:type="dxa"/>
            <w:tcBorders>
              <w:top w:val="nil"/>
              <w:left w:val="nil"/>
              <w:bottom w:val="single" w:sz="8" w:space="0" w:color="2E74B5"/>
              <w:right w:val="single" w:sz="8" w:space="0" w:color="2E74B5"/>
            </w:tcBorders>
            <w:vAlign w:val="bottom"/>
          </w:tcPr>
          <w:p w14:paraId="025EDC84"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3,0%</w:t>
            </w:r>
          </w:p>
        </w:tc>
      </w:tr>
      <w:tr w:rsidR="00A61464" w14:paraId="10281E34"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4F15EF8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Aragón</w:t>
            </w:r>
          </w:p>
        </w:tc>
        <w:tc>
          <w:tcPr>
            <w:tcW w:w="1276" w:type="dxa"/>
            <w:tcBorders>
              <w:top w:val="nil"/>
              <w:left w:val="nil"/>
              <w:bottom w:val="single" w:sz="8" w:space="0" w:color="2E74B5"/>
              <w:right w:val="single" w:sz="8" w:space="0" w:color="2E74B5"/>
            </w:tcBorders>
            <w:shd w:val="clear" w:color="auto" w:fill="auto"/>
            <w:vAlign w:val="bottom"/>
          </w:tcPr>
          <w:p w14:paraId="1792D89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24.259 €</w:t>
            </w:r>
          </w:p>
        </w:tc>
        <w:tc>
          <w:tcPr>
            <w:tcW w:w="1275" w:type="dxa"/>
            <w:tcBorders>
              <w:top w:val="nil"/>
              <w:left w:val="nil"/>
              <w:bottom w:val="single" w:sz="8" w:space="0" w:color="2E74B5"/>
              <w:right w:val="single" w:sz="8" w:space="0" w:color="2E74B5"/>
            </w:tcBorders>
            <w:shd w:val="clear" w:color="auto" w:fill="auto"/>
            <w:vAlign w:val="bottom"/>
          </w:tcPr>
          <w:p w14:paraId="778BD92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24.000 €</w:t>
            </w:r>
          </w:p>
        </w:tc>
        <w:tc>
          <w:tcPr>
            <w:tcW w:w="1276" w:type="dxa"/>
            <w:tcBorders>
              <w:top w:val="nil"/>
              <w:left w:val="nil"/>
              <w:bottom w:val="single" w:sz="8" w:space="0" w:color="2E74B5"/>
              <w:right w:val="single" w:sz="8" w:space="0" w:color="2E74B5"/>
            </w:tcBorders>
            <w:shd w:val="clear" w:color="auto" w:fill="auto"/>
            <w:vAlign w:val="bottom"/>
          </w:tcPr>
          <w:p w14:paraId="4B16347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25.309 €</w:t>
            </w:r>
          </w:p>
        </w:tc>
        <w:tc>
          <w:tcPr>
            <w:tcW w:w="1276" w:type="dxa"/>
            <w:tcBorders>
              <w:top w:val="nil"/>
              <w:left w:val="nil"/>
              <w:bottom w:val="single" w:sz="8" w:space="0" w:color="2E74B5"/>
              <w:right w:val="single" w:sz="8" w:space="0" w:color="2E74B5"/>
            </w:tcBorders>
            <w:shd w:val="clear" w:color="auto" w:fill="auto"/>
            <w:vAlign w:val="bottom"/>
          </w:tcPr>
          <w:p w14:paraId="2DE677FE"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26.171 €</w:t>
            </w:r>
          </w:p>
        </w:tc>
        <w:tc>
          <w:tcPr>
            <w:tcW w:w="1134" w:type="dxa"/>
            <w:tcBorders>
              <w:top w:val="nil"/>
              <w:left w:val="nil"/>
              <w:bottom w:val="single" w:sz="8" w:space="0" w:color="2E74B5"/>
              <w:right w:val="single" w:sz="8" w:space="0" w:color="2E74B5"/>
            </w:tcBorders>
            <w:shd w:val="clear" w:color="auto" w:fill="auto"/>
            <w:vAlign w:val="bottom"/>
          </w:tcPr>
          <w:p w14:paraId="7D9613C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7,9%</w:t>
            </w:r>
          </w:p>
        </w:tc>
        <w:tc>
          <w:tcPr>
            <w:tcW w:w="992" w:type="dxa"/>
            <w:tcBorders>
              <w:top w:val="nil"/>
              <w:left w:val="nil"/>
              <w:bottom w:val="single" w:sz="8" w:space="0" w:color="2E74B5"/>
              <w:right w:val="single" w:sz="8" w:space="0" w:color="2E74B5"/>
            </w:tcBorders>
            <w:vAlign w:val="bottom"/>
          </w:tcPr>
          <w:p w14:paraId="0182991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9,0%</w:t>
            </w:r>
          </w:p>
        </w:tc>
        <w:tc>
          <w:tcPr>
            <w:tcW w:w="992" w:type="dxa"/>
            <w:tcBorders>
              <w:top w:val="nil"/>
              <w:left w:val="nil"/>
              <w:bottom w:val="single" w:sz="8" w:space="0" w:color="2E74B5"/>
              <w:right w:val="single" w:sz="8" w:space="0" w:color="2E74B5"/>
            </w:tcBorders>
            <w:vAlign w:val="bottom"/>
          </w:tcPr>
          <w:p w14:paraId="0A378CF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3,4%</w:t>
            </w:r>
          </w:p>
        </w:tc>
      </w:tr>
      <w:tr w:rsidR="00A61464" w14:paraId="4B18CDB0"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6E1B658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Asturias</w:t>
            </w:r>
          </w:p>
        </w:tc>
        <w:tc>
          <w:tcPr>
            <w:tcW w:w="1276" w:type="dxa"/>
            <w:tcBorders>
              <w:top w:val="nil"/>
              <w:left w:val="nil"/>
              <w:bottom w:val="single" w:sz="8" w:space="0" w:color="2E74B5"/>
              <w:right w:val="single" w:sz="8" w:space="0" w:color="2E74B5"/>
            </w:tcBorders>
            <w:shd w:val="clear" w:color="auto" w:fill="auto"/>
            <w:vAlign w:val="bottom"/>
          </w:tcPr>
          <w:p w14:paraId="2C12C9D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26.269 €</w:t>
            </w:r>
          </w:p>
        </w:tc>
        <w:tc>
          <w:tcPr>
            <w:tcW w:w="1275" w:type="dxa"/>
            <w:tcBorders>
              <w:top w:val="nil"/>
              <w:left w:val="nil"/>
              <w:bottom w:val="single" w:sz="8" w:space="0" w:color="2E74B5"/>
              <w:right w:val="single" w:sz="8" w:space="0" w:color="2E74B5"/>
            </w:tcBorders>
            <w:shd w:val="clear" w:color="auto" w:fill="auto"/>
            <w:vAlign w:val="bottom"/>
          </w:tcPr>
          <w:p w14:paraId="67D52A0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24.289 €</w:t>
            </w:r>
          </w:p>
        </w:tc>
        <w:tc>
          <w:tcPr>
            <w:tcW w:w="1276" w:type="dxa"/>
            <w:tcBorders>
              <w:top w:val="nil"/>
              <w:left w:val="nil"/>
              <w:bottom w:val="single" w:sz="8" w:space="0" w:color="2E74B5"/>
              <w:right w:val="single" w:sz="8" w:space="0" w:color="2E74B5"/>
            </w:tcBorders>
            <w:shd w:val="clear" w:color="auto" w:fill="auto"/>
            <w:vAlign w:val="bottom"/>
          </w:tcPr>
          <w:p w14:paraId="77B9EC8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27.857 €</w:t>
            </w:r>
          </w:p>
        </w:tc>
        <w:tc>
          <w:tcPr>
            <w:tcW w:w="1276" w:type="dxa"/>
            <w:tcBorders>
              <w:top w:val="nil"/>
              <w:left w:val="nil"/>
              <w:bottom w:val="single" w:sz="8" w:space="0" w:color="2E74B5"/>
              <w:right w:val="single" w:sz="8" w:space="0" w:color="2E74B5"/>
            </w:tcBorders>
            <w:shd w:val="clear" w:color="auto" w:fill="auto"/>
            <w:vAlign w:val="bottom"/>
          </w:tcPr>
          <w:p w14:paraId="32B3509B"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27.675 €</w:t>
            </w:r>
          </w:p>
        </w:tc>
        <w:tc>
          <w:tcPr>
            <w:tcW w:w="1134" w:type="dxa"/>
            <w:tcBorders>
              <w:top w:val="nil"/>
              <w:left w:val="nil"/>
              <w:bottom w:val="single" w:sz="8" w:space="0" w:color="2E74B5"/>
              <w:right w:val="single" w:sz="8" w:space="0" w:color="2E74B5"/>
            </w:tcBorders>
            <w:shd w:val="clear" w:color="auto" w:fill="auto"/>
            <w:vAlign w:val="bottom"/>
          </w:tcPr>
          <w:p w14:paraId="24281D4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5,4%</w:t>
            </w:r>
          </w:p>
        </w:tc>
        <w:tc>
          <w:tcPr>
            <w:tcW w:w="992" w:type="dxa"/>
            <w:tcBorders>
              <w:top w:val="nil"/>
              <w:left w:val="nil"/>
              <w:bottom w:val="single" w:sz="8" w:space="0" w:color="2E74B5"/>
              <w:right w:val="single" w:sz="8" w:space="0" w:color="2E74B5"/>
            </w:tcBorders>
            <w:vAlign w:val="bottom"/>
          </w:tcPr>
          <w:p w14:paraId="31F7236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13,9%</w:t>
            </w:r>
          </w:p>
        </w:tc>
        <w:tc>
          <w:tcPr>
            <w:tcW w:w="992" w:type="dxa"/>
            <w:tcBorders>
              <w:top w:val="nil"/>
              <w:left w:val="nil"/>
              <w:bottom w:val="single" w:sz="8" w:space="0" w:color="2E74B5"/>
              <w:right w:val="single" w:sz="8" w:space="0" w:color="2E74B5"/>
            </w:tcBorders>
            <w:vAlign w:val="bottom"/>
          </w:tcPr>
          <w:p w14:paraId="7114EEC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-0,7%</w:t>
            </w:r>
          </w:p>
        </w:tc>
      </w:tr>
      <w:tr w:rsidR="00A61464" w14:paraId="6889D745"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1197B5C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Baleares</w:t>
            </w:r>
          </w:p>
        </w:tc>
        <w:tc>
          <w:tcPr>
            <w:tcW w:w="1276" w:type="dxa"/>
            <w:tcBorders>
              <w:top w:val="nil"/>
              <w:left w:val="nil"/>
              <w:bottom w:val="single" w:sz="8" w:space="0" w:color="2E74B5"/>
              <w:right w:val="single" w:sz="8" w:space="0" w:color="2E74B5"/>
            </w:tcBorders>
            <w:shd w:val="clear" w:color="auto" w:fill="auto"/>
            <w:vAlign w:val="bottom"/>
          </w:tcPr>
          <w:p w14:paraId="042548C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27.220 €</w:t>
            </w:r>
          </w:p>
        </w:tc>
        <w:tc>
          <w:tcPr>
            <w:tcW w:w="1275" w:type="dxa"/>
            <w:tcBorders>
              <w:top w:val="nil"/>
              <w:left w:val="nil"/>
              <w:bottom w:val="single" w:sz="8" w:space="0" w:color="2E74B5"/>
              <w:right w:val="single" w:sz="8" w:space="0" w:color="2E74B5"/>
            </w:tcBorders>
            <w:shd w:val="clear" w:color="auto" w:fill="auto"/>
            <w:vAlign w:val="bottom"/>
          </w:tcPr>
          <w:p w14:paraId="256661C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25.542 €</w:t>
            </w:r>
          </w:p>
        </w:tc>
        <w:tc>
          <w:tcPr>
            <w:tcW w:w="1276" w:type="dxa"/>
            <w:tcBorders>
              <w:top w:val="nil"/>
              <w:left w:val="nil"/>
              <w:bottom w:val="single" w:sz="8" w:space="0" w:color="2E74B5"/>
              <w:right w:val="single" w:sz="8" w:space="0" w:color="2E74B5"/>
            </w:tcBorders>
            <w:shd w:val="clear" w:color="auto" w:fill="auto"/>
            <w:vAlign w:val="bottom"/>
          </w:tcPr>
          <w:p w14:paraId="63C0B99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25.727 €</w:t>
            </w:r>
          </w:p>
        </w:tc>
        <w:tc>
          <w:tcPr>
            <w:tcW w:w="1276" w:type="dxa"/>
            <w:tcBorders>
              <w:top w:val="nil"/>
              <w:left w:val="nil"/>
              <w:bottom w:val="single" w:sz="8" w:space="0" w:color="2E74B5"/>
              <w:right w:val="single" w:sz="8" w:space="0" w:color="2E74B5"/>
            </w:tcBorders>
            <w:shd w:val="clear" w:color="auto" w:fill="auto"/>
            <w:vAlign w:val="bottom"/>
          </w:tcPr>
          <w:p w14:paraId="739CFAEB"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27.327 €</w:t>
            </w:r>
          </w:p>
        </w:tc>
        <w:tc>
          <w:tcPr>
            <w:tcW w:w="1134" w:type="dxa"/>
            <w:tcBorders>
              <w:top w:val="nil"/>
              <w:left w:val="nil"/>
              <w:bottom w:val="single" w:sz="8" w:space="0" w:color="2E74B5"/>
              <w:right w:val="single" w:sz="8" w:space="0" w:color="2E74B5"/>
            </w:tcBorders>
            <w:shd w:val="clear" w:color="auto" w:fill="auto"/>
            <w:vAlign w:val="bottom"/>
          </w:tcPr>
          <w:p w14:paraId="68530F7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0,4%</w:t>
            </w:r>
          </w:p>
        </w:tc>
        <w:tc>
          <w:tcPr>
            <w:tcW w:w="992" w:type="dxa"/>
            <w:tcBorders>
              <w:top w:val="nil"/>
              <w:left w:val="nil"/>
              <w:bottom w:val="single" w:sz="8" w:space="0" w:color="2E74B5"/>
              <w:right w:val="single" w:sz="8" w:space="0" w:color="2E74B5"/>
            </w:tcBorders>
            <w:vAlign w:val="bottom"/>
          </w:tcPr>
          <w:p w14:paraId="5586340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7,0%</w:t>
            </w:r>
          </w:p>
        </w:tc>
        <w:tc>
          <w:tcPr>
            <w:tcW w:w="992" w:type="dxa"/>
            <w:tcBorders>
              <w:top w:val="nil"/>
              <w:left w:val="nil"/>
              <w:bottom w:val="single" w:sz="8" w:space="0" w:color="2E74B5"/>
              <w:right w:val="single" w:sz="8" w:space="0" w:color="2E74B5"/>
            </w:tcBorders>
            <w:vAlign w:val="bottom"/>
          </w:tcPr>
          <w:p w14:paraId="1886056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6,2%</w:t>
            </w:r>
          </w:p>
        </w:tc>
      </w:tr>
      <w:tr w:rsidR="00A61464" w14:paraId="0DD378F6"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0B145B45"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Canarias</w:t>
            </w:r>
          </w:p>
        </w:tc>
        <w:tc>
          <w:tcPr>
            <w:tcW w:w="1276" w:type="dxa"/>
            <w:tcBorders>
              <w:top w:val="nil"/>
              <w:left w:val="nil"/>
              <w:bottom w:val="single" w:sz="8" w:space="0" w:color="2E74B5"/>
              <w:right w:val="single" w:sz="8" w:space="0" w:color="2E74B5"/>
            </w:tcBorders>
            <w:shd w:val="clear" w:color="auto" w:fill="auto"/>
            <w:vAlign w:val="bottom"/>
          </w:tcPr>
          <w:p w14:paraId="26FE1A7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29.527 €</w:t>
            </w:r>
          </w:p>
        </w:tc>
        <w:tc>
          <w:tcPr>
            <w:tcW w:w="1275" w:type="dxa"/>
            <w:tcBorders>
              <w:top w:val="nil"/>
              <w:left w:val="nil"/>
              <w:bottom w:val="single" w:sz="8" w:space="0" w:color="2E74B5"/>
              <w:right w:val="single" w:sz="8" w:space="0" w:color="2E74B5"/>
            </w:tcBorders>
            <w:shd w:val="clear" w:color="auto" w:fill="auto"/>
            <w:vAlign w:val="bottom"/>
          </w:tcPr>
          <w:p w14:paraId="7D49399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25.413 €</w:t>
            </w:r>
          </w:p>
        </w:tc>
        <w:tc>
          <w:tcPr>
            <w:tcW w:w="1276" w:type="dxa"/>
            <w:tcBorders>
              <w:top w:val="nil"/>
              <w:left w:val="nil"/>
              <w:bottom w:val="single" w:sz="8" w:space="0" w:color="2E74B5"/>
              <w:right w:val="single" w:sz="8" w:space="0" w:color="2E74B5"/>
            </w:tcBorders>
            <w:shd w:val="clear" w:color="auto" w:fill="auto"/>
            <w:vAlign w:val="bottom"/>
          </w:tcPr>
          <w:p w14:paraId="7D3430B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23.908 €</w:t>
            </w:r>
          </w:p>
        </w:tc>
        <w:tc>
          <w:tcPr>
            <w:tcW w:w="1276" w:type="dxa"/>
            <w:tcBorders>
              <w:top w:val="nil"/>
              <w:left w:val="nil"/>
              <w:bottom w:val="single" w:sz="8" w:space="0" w:color="2E74B5"/>
              <w:right w:val="single" w:sz="8" w:space="0" w:color="2E74B5"/>
            </w:tcBorders>
            <w:shd w:val="clear" w:color="auto" w:fill="auto"/>
            <w:vAlign w:val="bottom"/>
          </w:tcPr>
          <w:p w14:paraId="563D15D2"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23.686 €</w:t>
            </w:r>
          </w:p>
        </w:tc>
        <w:tc>
          <w:tcPr>
            <w:tcW w:w="1134" w:type="dxa"/>
            <w:tcBorders>
              <w:top w:val="nil"/>
              <w:left w:val="nil"/>
              <w:bottom w:val="single" w:sz="8" w:space="0" w:color="2E74B5"/>
              <w:right w:val="single" w:sz="8" w:space="0" w:color="2E74B5"/>
            </w:tcBorders>
            <w:shd w:val="clear" w:color="auto" w:fill="auto"/>
            <w:vAlign w:val="bottom"/>
          </w:tcPr>
          <w:p w14:paraId="007B0E8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9C0006"/>
                <w:sz w:val="18"/>
                <w:szCs w:val="18"/>
              </w:rPr>
              <w:t>-19,8%</w:t>
            </w:r>
          </w:p>
        </w:tc>
        <w:tc>
          <w:tcPr>
            <w:tcW w:w="992" w:type="dxa"/>
            <w:tcBorders>
              <w:top w:val="nil"/>
              <w:left w:val="nil"/>
              <w:bottom w:val="single" w:sz="8" w:space="0" w:color="2E74B5"/>
              <w:right w:val="single" w:sz="8" w:space="0" w:color="2E74B5"/>
            </w:tcBorders>
            <w:vAlign w:val="bottom"/>
          </w:tcPr>
          <w:p w14:paraId="0BEA1B5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9C0006"/>
                <w:sz w:val="18"/>
                <w:szCs w:val="18"/>
              </w:rPr>
              <w:t>-6,8%</w:t>
            </w:r>
          </w:p>
        </w:tc>
        <w:tc>
          <w:tcPr>
            <w:tcW w:w="992" w:type="dxa"/>
            <w:tcBorders>
              <w:top w:val="nil"/>
              <w:left w:val="nil"/>
              <w:bottom w:val="single" w:sz="8" w:space="0" w:color="2E74B5"/>
              <w:right w:val="single" w:sz="8" w:space="0" w:color="2E74B5"/>
            </w:tcBorders>
            <w:vAlign w:val="bottom"/>
          </w:tcPr>
          <w:p w14:paraId="2F2732C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-0,9%</w:t>
            </w:r>
          </w:p>
        </w:tc>
      </w:tr>
      <w:tr w:rsidR="00A61464" w14:paraId="4DFFCBC3"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04D438D8"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Cantabria</w:t>
            </w:r>
          </w:p>
        </w:tc>
        <w:tc>
          <w:tcPr>
            <w:tcW w:w="1276" w:type="dxa"/>
            <w:tcBorders>
              <w:top w:val="nil"/>
              <w:left w:val="nil"/>
              <w:bottom w:val="single" w:sz="8" w:space="0" w:color="2E74B5"/>
              <w:right w:val="single" w:sz="8" w:space="0" w:color="2E74B5"/>
            </w:tcBorders>
            <w:shd w:val="clear" w:color="auto" w:fill="auto"/>
            <w:vAlign w:val="bottom"/>
          </w:tcPr>
          <w:p w14:paraId="5C956C8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25.973 €</w:t>
            </w:r>
          </w:p>
        </w:tc>
        <w:tc>
          <w:tcPr>
            <w:tcW w:w="1275" w:type="dxa"/>
            <w:tcBorders>
              <w:top w:val="nil"/>
              <w:left w:val="nil"/>
              <w:bottom w:val="single" w:sz="8" w:space="0" w:color="2E74B5"/>
              <w:right w:val="single" w:sz="8" w:space="0" w:color="2E74B5"/>
            </w:tcBorders>
            <w:shd w:val="clear" w:color="auto" w:fill="auto"/>
            <w:vAlign w:val="bottom"/>
          </w:tcPr>
          <w:p w14:paraId="6B71661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25.903 €</w:t>
            </w:r>
          </w:p>
        </w:tc>
        <w:tc>
          <w:tcPr>
            <w:tcW w:w="1276" w:type="dxa"/>
            <w:tcBorders>
              <w:top w:val="nil"/>
              <w:left w:val="nil"/>
              <w:bottom w:val="single" w:sz="8" w:space="0" w:color="2E74B5"/>
              <w:right w:val="single" w:sz="8" w:space="0" w:color="2E74B5"/>
            </w:tcBorders>
            <w:shd w:val="clear" w:color="auto" w:fill="auto"/>
            <w:vAlign w:val="bottom"/>
          </w:tcPr>
          <w:p w14:paraId="7867AB2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26.614 €</w:t>
            </w:r>
          </w:p>
        </w:tc>
        <w:tc>
          <w:tcPr>
            <w:tcW w:w="1276" w:type="dxa"/>
            <w:tcBorders>
              <w:top w:val="nil"/>
              <w:left w:val="nil"/>
              <w:bottom w:val="single" w:sz="8" w:space="0" w:color="2E74B5"/>
              <w:right w:val="single" w:sz="8" w:space="0" w:color="2E74B5"/>
            </w:tcBorders>
            <w:shd w:val="clear" w:color="auto" w:fill="auto"/>
            <w:vAlign w:val="bottom"/>
          </w:tcPr>
          <w:p w14:paraId="3C1D9C42"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26.213 €</w:t>
            </w:r>
          </w:p>
        </w:tc>
        <w:tc>
          <w:tcPr>
            <w:tcW w:w="1134" w:type="dxa"/>
            <w:tcBorders>
              <w:top w:val="nil"/>
              <w:left w:val="nil"/>
              <w:bottom w:val="single" w:sz="8" w:space="0" w:color="2E74B5"/>
              <w:right w:val="single" w:sz="8" w:space="0" w:color="2E74B5"/>
            </w:tcBorders>
            <w:shd w:val="clear" w:color="auto" w:fill="auto"/>
            <w:vAlign w:val="bottom"/>
          </w:tcPr>
          <w:p w14:paraId="5700668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0,9%</w:t>
            </w:r>
          </w:p>
        </w:tc>
        <w:tc>
          <w:tcPr>
            <w:tcW w:w="992" w:type="dxa"/>
            <w:tcBorders>
              <w:top w:val="nil"/>
              <w:left w:val="nil"/>
              <w:bottom w:val="single" w:sz="8" w:space="0" w:color="2E74B5"/>
              <w:right w:val="single" w:sz="8" w:space="0" w:color="2E74B5"/>
            </w:tcBorders>
            <w:vAlign w:val="bottom"/>
          </w:tcPr>
          <w:p w14:paraId="4569CE4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1,2%</w:t>
            </w:r>
          </w:p>
        </w:tc>
        <w:tc>
          <w:tcPr>
            <w:tcW w:w="992" w:type="dxa"/>
            <w:tcBorders>
              <w:top w:val="nil"/>
              <w:left w:val="nil"/>
              <w:bottom w:val="single" w:sz="8" w:space="0" w:color="2E74B5"/>
              <w:right w:val="single" w:sz="8" w:space="0" w:color="2E74B5"/>
            </w:tcBorders>
            <w:vAlign w:val="bottom"/>
          </w:tcPr>
          <w:p w14:paraId="071BBBC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-1,5%</w:t>
            </w:r>
          </w:p>
        </w:tc>
      </w:tr>
      <w:tr w:rsidR="00A61464" w14:paraId="0638A4D3"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6938C51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Castilla y León</w:t>
            </w:r>
          </w:p>
        </w:tc>
        <w:tc>
          <w:tcPr>
            <w:tcW w:w="1276" w:type="dxa"/>
            <w:tcBorders>
              <w:top w:val="nil"/>
              <w:left w:val="nil"/>
              <w:bottom w:val="single" w:sz="8" w:space="0" w:color="2E74B5"/>
              <w:right w:val="single" w:sz="8" w:space="0" w:color="2E74B5"/>
            </w:tcBorders>
            <w:shd w:val="clear" w:color="auto" w:fill="auto"/>
            <w:vAlign w:val="bottom"/>
          </w:tcPr>
          <w:p w14:paraId="41EDE79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23.335 €</w:t>
            </w:r>
          </w:p>
        </w:tc>
        <w:tc>
          <w:tcPr>
            <w:tcW w:w="1275" w:type="dxa"/>
            <w:tcBorders>
              <w:top w:val="nil"/>
              <w:left w:val="nil"/>
              <w:bottom w:val="single" w:sz="8" w:space="0" w:color="2E74B5"/>
              <w:right w:val="single" w:sz="8" w:space="0" w:color="2E74B5"/>
            </w:tcBorders>
            <w:shd w:val="clear" w:color="auto" w:fill="auto"/>
            <w:vAlign w:val="bottom"/>
          </w:tcPr>
          <w:p w14:paraId="5EDB26D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23.613 €</w:t>
            </w:r>
          </w:p>
        </w:tc>
        <w:tc>
          <w:tcPr>
            <w:tcW w:w="1276" w:type="dxa"/>
            <w:tcBorders>
              <w:top w:val="nil"/>
              <w:left w:val="nil"/>
              <w:bottom w:val="single" w:sz="8" w:space="0" w:color="2E74B5"/>
              <w:right w:val="single" w:sz="8" w:space="0" w:color="2E74B5"/>
            </w:tcBorders>
            <w:shd w:val="clear" w:color="auto" w:fill="auto"/>
            <w:vAlign w:val="bottom"/>
          </w:tcPr>
          <w:p w14:paraId="186EA1F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24.305 €</w:t>
            </w:r>
          </w:p>
        </w:tc>
        <w:tc>
          <w:tcPr>
            <w:tcW w:w="1276" w:type="dxa"/>
            <w:tcBorders>
              <w:top w:val="nil"/>
              <w:left w:val="nil"/>
              <w:bottom w:val="single" w:sz="8" w:space="0" w:color="2E74B5"/>
              <w:right w:val="single" w:sz="8" w:space="0" w:color="2E74B5"/>
            </w:tcBorders>
            <w:shd w:val="clear" w:color="auto" w:fill="auto"/>
            <w:vAlign w:val="bottom"/>
          </w:tcPr>
          <w:p w14:paraId="674729C2"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25.132 €</w:t>
            </w:r>
          </w:p>
        </w:tc>
        <w:tc>
          <w:tcPr>
            <w:tcW w:w="1134" w:type="dxa"/>
            <w:tcBorders>
              <w:top w:val="nil"/>
              <w:left w:val="nil"/>
              <w:bottom w:val="single" w:sz="8" w:space="0" w:color="2E74B5"/>
              <w:right w:val="single" w:sz="8" w:space="0" w:color="2E74B5"/>
            </w:tcBorders>
            <w:shd w:val="clear" w:color="auto" w:fill="auto"/>
            <w:vAlign w:val="bottom"/>
          </w:tcPr>
          <w:p w14:paraId="3019F2C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7,7%</w:t>
            </w:r>
          </w:p>
        </w:tc>
        <w:tc>
          <w:tcPr>
            <w:tcW w:w="992" w:type="dxa"/>
            <w:tcBorders>
              <w:top w:val="nil"/>
              <w:left w:val="nil"/>
              <w:bottom w:val="single" w:sz="8" w:space="0" w:color="2E74B5"/>
              <w:right w:val="single" w:sz="8" w:space="0" w:color="2E74B5"/>
            </w:tcBorders>
            <w:vAlign w:val="bottom"/>
          </w:tcPr>
          <w:p w14:paraId="6E84C84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6,4%</w:t>
            </w:r>
          </w:p>
        </w:tc>
        <w:tc>
          <w:tcPr>
            <w:tcW w:w="992" w:type="dxa"/>
            <w:tcBorders>
              <w:top w:val="nil"/>
              <w:left w:val="nil"/>
              <w:bottom w:val="single" w:sz="8" w:space="0" w:color="2E74B5"/>
              <w:right w:val="single" w:sz="8" w:space="0" w:color="2E74B5"/>
            </w:tcBorders>
            <w:vAlign w:val="bottom"/>
          </w:tcPr>
          <w:p w14:paraId="7704979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3,4%</w:t>
            </w:r>
          </w:p>
        </w:tc>
      </w:tr>
      <w:tr w:rsidR="00A61464" w14:paraId="46FC88A0"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4617D6D8"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Castilla-La Mancha</w:t>
            </w:r>
          </w:p>
        </w:tc>
        <w:tc>
          <w:tcPr>
            <w:tcW w:w="1276" w:type="dxa"/>
            <w:tcBorders>
              <w:top w:val="nil"/>
              <w:left w:val="nil"/>
              <w:bottom w:val="single" w:sz="8" w:space="0" w:color="2E74B5"/>
              <w:right w:val="single" w:sz="8" w:space="0" w:color="2E74B5"/>
            </w:tcBorders>
            <w:shd w:val="clear" w:color="auto" w:fill="auto"/>
            <w:vAlign w:val="bottom"/>
          </w:tcPr>
          <w:p w14:paraId="1B99EC0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24.476 €</w:t>
            </w:r>
          </w:p>
        </w:tc>
        <w:tc>
          <w:tcPr>
            <w:tcW w:w="1275" w:type="dxa"/>
            <w:tcBorders>
              <w:top w:val="nil"/>
              <w:left w:val="nil"/>
              <w:bottom w:val="single" w:sz="8" w:space="0" w:color="2E74B5"/>
              <w:right w:val="single" w:sz="8" w:space="0" w:color="2E74B5"/>
            </w:tcBorders>
            <w:shd w:val="clear" w:color="auto" w:fill="auto"/>
            <w:vAlign w:val="bottom"/>
          </w:tcPr>
          <w:p w14:paraId="7B01381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22.010 €</w:t>
            </w:r>
          </w:p>
        </w:tc>
        <w:tc>
          <w:tcPr>
            <w:tcW w:w="1276" w:type="dxa"/>
            <w:tcBorders>
              <w:top w:val="nil"/>
              <w:left w:val="nil"/>
              <w:bottom w:val="single" w:sz="8" w:space="0" w:color="2E74B5"/>
              <w:right w:val="single" w:sz="8" w:space="0" w:color="2E74B5"/>
            </w:tcBorders>
            <w:shd w:val="clear" w:color="auto" w:fill="auto"/>
            <w:vAlign w:val="bottom"/>
          </w:tcPr>
          <w:p w14:paraId="78D198E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23.785 €</w:t>
            </w:r>
          </w:p>
        </w:tc>
        <w:tc>
          <w:tcPr>
            <w:tcW w:w="1276" w:type="dxa"/>
            <w:tcBorders>
              <w:top w:val="nil"/>
              <w:left w:val="nil"/>
              <w:bottom w:val="single" w:sz="8" w:space="0" w:color="2E74B5"/>
              <w:right w:val="single" w:sz="8" w:space="0" w:color="2E74B5"/>
            </w:tcBorders>
            <w:shd w:val="clear" w:color="auto" w:fill="auto"/>
            <w:vAlign w:val="bottom"/>
          </w:tcPr>
          <w:p w14:paraId="1BE2D75E"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24.219 €</w:t>
            </w:r>
          </w:p>
        </w:tc>
        <w:tc>
          <w:tcPr>
            <w:tcW w:w="1134" w:type="dxa"/>
            <w:tcBorders>
              <w:top w:val="nil"/>
              <w:left w:val="nil"/>
              <w:bottom w:val="single" w:sz="8" w:space="0" w:color="2E74B5"/>
              <w:right w:val="single" w:sz="8" w:space="0" w:color="2E74B5"/>
            </w:tcBorders>
            <w:shd w:val="clear" w:color="auto" w:fill="auto"/>
            <w:vAlign w:val="bottom"/>
          </w:tcPr>
          <w:p w14:paraId="686CECB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9C0006"/>
                <w:sz w:val="18"/>
                <w:szCs w:val="18"/>
              </w:rPr>
              <w:t>-1,1%</w:t>
            </w:r>
          </w:p>
        </w:tc>
        <w:tc>
          <w:tcPr>
            <w:tcW w:w="992" w:type="dxa"/>
            <w:tcBorders>
              <w:top w:val="nil"/>
              <w:left w:val="nil"/>
              <w:bottom w:val="single" w:sz="8" w:space="0" w:color="2E74B5"/>
              <w:right w:val="single" w:sz="8" w:space="0" w:color="2E74B5"/>
            </w:tcBorders>
            <w:vAlign w:val="bottom"/>
          </w:tcPr>
          <w:p w14:paraId="35C211D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10,0%</w:t>
            </w:r>
          </w:p>
        </w:tc>
        <w:tc>
          <w:tcPr>
            <w:tcW w:w="992" w:type="dxa"/>
            <w:tcBorders>
              <w:top w:val="nil"/>
              <w:left w:val="nil"/>
              <w:bottom w:val="single" w:sz="8" w:space="0" w:color="2E74B5"/>
              <w:right w:val="single" w:sz="8" w:space="0" w:color="2E74B5"/>
            </w:tcBorders>
            <w:vAlign w:val="bottom"/>
          </w:tcPr>
          <w:p w14:paraId="7132DAB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1,8%</w:t>
            </w:r>
          </w:p>
        </w:tc>
      </w:tr>
      <w:tr w:rsidR="00A61464" w14:paraId="6AB89FE0"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6112312C"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Cataluña</w:t>
            </w:r>
          </w:p>
        </w:tc>
        <w:tc>
          <w:tcPr>
            <w:tcW w:w="1276" w:type="dxa"/>
            <w:tcBorders>
              <w:top w:val="nil"/>
              <w:left w:val="nil"/>
              <w:bottom w:val="single" w:sz="8" w:space="0" w:color="2E74B5"/>
              <w:right w:val="single" w:sz="8" w:space="0" w:color="2E74B5"/>
            </w:tcBorders>
            <w:shd w:val="clear" w:color="auto" w:fill="auto"/>
            <w:vAlign w:val="bottom"/>
          </w:tcPr>
          <w:p w14:paraId="11F5570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25.033 €</w:t>
            </w:r>
          </w:p>
        </w:tc>
        <w:tc>
          <w:tcPr>
            <w:tcW w:w="1275" w:type="dxa"/>
            <w:tcBorders>
              <w:top w:val="nil"/>
              <w:left w:val="nil"/>
              <w:bottom w:val="single" w:sz="8" w:space="0" w:color="2E74B5"/>
              <w:right w:val="single" w:sz="8" w:space="0" w:color="2E74B5"/>
            </w:tcBorders>
            <w:shd w:val="clear" w:color="auto" w:fill="auto"/>
            <w:vAlign w:val="bottom"/>
          </w:tcPr>
          <w:p w14:paraId="0C186C8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25.159 €</w:t>
            </w:r>
          </w:p>
        </w:tc>
        <w:tc>
          <w:tcPr>
            <w:tcW w:w="1276" w:type="dxa"/>
            <w:tcBorders>
              <w:top w:val="nil"/>
              <w:left w:val="nil"/>
              <w:bottom w:val="single" w:sz="8" w:space="0" w:color="2E74B5"/>
              <w:right w:val="single" w:sz="8" w:space="0" w:color="2E74B5"/>
            </w:tcBorders>
            <w:shd w:val="clear" w:color="auto" w:fill="auto"/>
            <w:vAlign w:val="bottom"/>
          </w:tcPr>
          <w:p w14:paraId="2009423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26.263 €</w:t>
            </w:r>
          </w:p>
        </w:tc>
        <w:tc>
          <w:tcPr>
            <w:tcW w:w="1276" w:type="dxa"/>
            <w:tcBorders>
              <w:top w:val="nil"/>
              <w:left w:val="nil"/>
              <w:bottom w:val="single" w:sz="8" w:space="0" w:color="2E74B5"/>
              <w:right w:val="single" w:sz="8" w:space="0" w:color="2E74B5"/>
            </w:tcBorders>
            <w:shd w:val="clear" w:color="auto" w:fill="auto"/>
            <w:vAlign w:val="bottom"/>
          </w:tcPr>
          <w:p w14:paraId="1E3E7F38"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26.951 €</w:t>
            </w:r>
          </w:p>
        </w:tc>
        <w:tc>
          <w:tcPr>
            <w:tcW w:w="1134" w:type="dxa"/>
            <w:tcBorders>
              <w:top w:val="nil"/>
              <w:left w:val="nil"/>
              <w:bottom w:val="single" w:sz="8" w:space="0" w:color="2E74B5"/>
              <w:right w:val="single" w:sz="8" w:space="0" w:color="2E74B5"/>
            </w:tcBorders>
            <w:shd w:val="clear" w:color="auto" w:fill="auto"/>
            <w:vAlign w:val="bottom"/>
          </w:tcPr>
          <w:p w14:paraId="5EA33A2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7,7%</w:t>
            </w:r>
          </w:p>
        </w:tc>
        <w:tc>
          <w:tcPr>
            <w:tcW w:w="992" w:type="dxa"/>
            <w:tcBorders>
              <w:top w:val="nil"/>
              <w:left w:val="nil"/>
              <w:bottom w:val="single" w:sz="8" w:space="0" w:color="2E74B5"/>
              <w:right w:val="single" w:sz="8" w:space="0" w:color="2E74B5"/>
            </w:tcBorders>
            <w:vAlign w:val="bottom"/>
          </w:tcPr>
          <w:p w14:paraId="36FA7D2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7,1%</w:t>
            </w:r>
          </w:p>
        </w:tc>
        <w:tc>
          <w:tcPr>
            <w:tcW w:w="992" w:type="dxa"/>
            <w:tcBorders>
              <w:top w:val="nil"/>
              <w:left w:val="nil"/>
              <w:bottom w:val="single" w:sz="8" w:space="0" w:color="2E74B5"/>
              <w:right w:val="single" w:sz="8" w:space="0" w:color="2E74B5"/>
            </w:tcBorders>
            <w:vAlign w:val="bottom"/>
          </w:tcPr>
          <w:p w14:paraId="429F0CB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2,6%</w:t>
            </w:r>
          </w:p>
        </w:tc>
      </w:tr>
      <w:tr w:rsidR="00A61464" w14:paraId="4CA62F81" w14:textId="77777777">
        <w:trPr>
          <w:trHeight w:val="232"/>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47DA3FD2"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Comunidad Valenciana</w:t>
            </w:r>
          </w:p>
        </w:tc>
        <w:tc>
          <w:tcPr>
            <w:tcW w:w="1276" w:type="dxa"/>
            <w:tcBorders>
              <w:top w:val="nil"/>
              <w:left w:val="nil"/>
              <w:bottom w:val="single" w:sz="8" w:space="0" w:color="2E74B5"/>
              <w:right w:val="single" w:sz="8" w:space="0" w:color="2E74B5"/>
            </w:tcBorders>
            <w:shd w:val="clear" w:color="auto" w:fill="auto"/>
            <w:vAlign w:val="bottom"/>
          </w:tcPr>
          <w:p w14:paraId="1ACF474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25.631 €</w:t>
            </w:r>
          </w:p>
        </w:tc>
        <w:tc>
          <w:tcPr>
            <w:tcW w:w="1275" w:type="dxa"/>
            <w:tcBorders>
              <w:top w:val="nil"/>
              <w:left w:val="nil"/>
              <w:bottom w:val="single" w:sz="8" w:space="0" w:color="2E74B5"/>
              <w:right w:val="single" w:sz="8" w:space="0" w:color="2E74B5"/>
            </w:tcBorders>
            <w:shd w:val="clear" w:color="auto" w:fill="auto"/>
            <w:vAlign w:val="bottom"/>
          </w:tcPr>
          <w:p w14:paraId="1CEDA55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25.102 €</w:t>
            </w:r>
          </w:p>
        </w:tc>
        <w:tc>
          <w:tcPr>
            <w:tcW w:w="1276" w:type="dxa"/>
            <w:tcBorders>
              <w:top w:val="nil"/>
              <w:left w:val="nil"/>
              <w:bottom w:val="single" w:sz="8" w:space="0" w:color="2E74B5"/>
              <w:right w:val="single" w:sz="8" w:space="0" w:color="2E74B5"/>
            </w:tcBorders>
            <w:shd w:val="clear" w:color="auto" w:fill="auto"/>
            <w:vAlign w:val="bottom"/>
          </w:tcPr>
          <w:p w14:paraId="63EDBA5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25.540 €</w:t>
            </w:r>
          </w:p>
        </w:tc>
        <w:tc>
          <w:tcPr>
            <w:tcW w:w="1276" w:type="dxa"/>
            <w:tcBorders>
              <w:top w:val="nil"/>
              <w:left w:val="nil"/>
              <w:bottom w:val="single" w:sz="8" w:space="0" w:color="2E74B5"/>
              <w:right w:val="single" w:sz="8" w:space="0" w:color="2E74B5"/>
            </w:tcBorders>
            <w:shd w:val="clear" w:color="auto" w:fill="auto"/>
            <w:vAlign w:val="bottom"/>
          </w:tcPr>
          <w:p w14:paraId="3211DE51"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26.190 €</w:t>
            </w:r>
          </w:p>
        </w:tc>
        <w:tc>
          <w:tcPr>
            <w:tcW w:w="1134" w:type="dxa"/>
            <w:tcBorders>
              <w:top w:val="nil"/>
              <w:left w:val="nil"/>
              <w:bottom w:val="single" w:sz="8" w:space="0" w:color="2E74B5"/>
              <w:right w:val="single" w:sz="8" w:space="0" w:color="2E74B5"/>
            </w:tcBorders>
            <w:shd w:val="clear" w:color="auto" w:fill="auto"/>
            <w:vAlign w:val="bottom"/>
          </w:tcPr>
          <w:p w14:paraId="728A8CE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2,2%</w:t>
            </w:r>
          </w:p>
        </w:tc>
        <w:tc>
          <w:tcPr>
            <w:tcW w:w="992" w:type="dxa"/>
            <w:tcBorders>
              <w:top w:val="nil"/>
              <w:left w:val="nil"/>
              <w:bottom w:val="single" w:sz="8" w:space="0" w:color="2E74B5"/>
              <w:right w:val="single" w:sz="8" w:space="0" w:color="2E74B5"/>
            </w:tcBorders>
            <w:vAlign w:val="bottom"/>
          </w:tcPr>
          <w:p w14:paraId="484D9FE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4,3%</w:t>
            </w:r>
          </w:p>
        </w:tc>
        <w:tc>
          <w:tcPr>
            <w:tcW w:w="992" w:type="dxa"/>
            <w:tcBorders>
              <w:top w:val="nil"/>
              <w:left w:val="nil"/>
              <w:bottom w:val="single" w:sz="8" w:space="0" w:color="2E74B5"/>
              <w:right w:val="single" w:sz="8" w:space="0" w:color="2E74B5"/>
            </w:tcBorders>
            <w:vAlign w:val="bottom"/>
          </w:tcPr>
          <w:p w14:paraId="64FCADD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2,5%</w:t>
            </w:r>
          </w:p>
        </w:tc>
      </w:tr>
      <w:tr w:rsidR="00A61464" w14:paraId="792393D6"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1E794141"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Extremadura</w:t>
            </w:r>
          </w:p>
        </w:tc>
        <w:tc>
          <w:tcPr>
            <w:tcW w:w="1276" w:type="dxa"/>
            <w:tcBorders>
              <w:top w:val="nil"/>
              <w:left w:val="nil"/>
              <w:bottom w:val="single" w:sz="8" w:space="0" w:color="2E74B5"/>
              <w:right w:val="single" w:sz="8" w:space="0" w:color="2E74B5"/>
            </w:tcBorders>
            <w:shd w:val="clear" w:color="auto" w:fill="auto"/>
            <w:vAlign w:val="bottom"/>
          </w:tcPr>
          <w:p w14:paraId="2CC928D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25.137 €</w:t>
            </w:r>
          </w:p>
        </w:tc>
        <w:tc>
          <w:tcPr>
            <w:tcW w:w="1275" w:type="dxa"/>
            <w:tcBorders>
              <w:top w:val="nil"/>
              <w:left w:val="nil"/>
              <w:bottom w:val="single" w:sz="8" w:space="0" w:color="2E74B5"/>
              <w:right w:val="single" w:sz="8" w:space="0" w:color="2E74B5"/>
            </w:tcBorders>
            <w:shd w:val="clear" w:color="auto" w:fill="auto"/>
            <w:vAlign w:val="bottom"/>
          </w:tcPr>
          <w:p w14:paraId="3C308BD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23.999 €</w:t>
            </w:r>
          </w:p>
        </w:tc>
        <w:tc>
          <w:tcPr>
            <w:tcW w:w="1276" w:type="dxa"/>
            <w:tcBorders>
              <w:top w:val="nil"/>
              <w:left w:val="nil"/>
              <w:bottom w:val="single" w:sz="8" w:space="0" w:color="2E74B5"/>
              <w:right w:val="single" w:sz="8" w:space="0" w:color="2E74B5"/>
            </w:tcBorders>
            <w:shd w:val="clear" w:color="auto" w:fill="auto"/>
            <w:vAlign w:val="bottom"/>
          </w:tcPr>
          <w:p w14:paraId="2D7242E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26.844 €</w:t>
            </w:r>
          </w:p>
        </w:tc>
        <w:tc>
          <w:tcPr>
            <w:tcW w:w="1276" w:type="dxa"/>
            <w:tcBorders>
              <w:top w:val="nil"/>
              <w:left w:val="nil"/>
              <w:bottom w:val="single" w:sz="8" w:space="0" w:color="2E74B5"/>
              <w:right w:val="single" w:sz="8" w:space="0" w:color="2E74B5"/>
            </w:tcBorders>
            <w:shd w:val="clear" w:color="auto" w:fill="auto"/>
            <w:vAlign w:val="bottom"/>
          </w:tcPr>
          <w:p w14:paraId="137D5271"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24.001 €</w:t>
            </w:r>
          </w:p>
        </w:tc>
        <w:tc>
          <w:tcPr>
            <w:tcW w:w="1134" w:type="dxa"/>
            <w:tcBorders>
              <w:top w:val="nil"/>
              <w:left w:val="nil"/>
              <w:bottom w:val="single" w:sz="8" w:space="0" w:color="2E74B5"/>
              <w:right w:val="single" w:sz="8" w:space="0" w:color="2E74B5"/>
            </w:tcBorders>
            <w:shd w:val="clear" w:color="auto" w:fill="auto"/>
            <w:vAlign w:val="bottom"/>
          </w:tcPr>
          <w:p w14:paraId="49D0673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9C0006"/>
                <w:sz w:val="18"/>
                <w:szCs w:val="18"/>
              </w:rPr>
              <w:t>-4,5%</w:t>
            </w:r>
          </w:p>
        </w:tc>
        <w:tc>
          <w:tcPr>
            <w:tcW w:w="992" w:type="dxa"/>
            <w:tcBorders>
              <w:top w:val="nil"/>
              <w:left w:val="nil"/>
              <w:bottom w:val="single" w:sz="8" w:space="0" w:color="2E74B5"/>
              <w:right w:val="single" w:sz="8" w:space="0" w:color="2E74B5"/>
            </w:tcBorders>
            <w:shd w:val="clear" w:color="auto" w:fill="auto"/>
            <w:vAlign w:val="bottom"/>
          </w:tcPr>
          <w:p w14:paraId="5B1431E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0,0%</w:t>
            </w:r>
          </w:p>
        </w:tc>
        <w:tc>
          <w:tcPr>
            <w:tcW w:w="992" w:type="dxa"/>
            <w:tcBorders>
              <w:top w:val="nil"/>
              <w:left w:val="nil"/>
              <w:bottom w:val="single" w:sz="8" w:space="0" w:color="2E74B5"/>
              <w:right w:val="single" w:sz="8" w:space="0" w:color="2E74B5"/>
            </w:tcBorders>
            <w:vAlign w:val="bottom"/>
          </w:tcPr>
          <w:p w14:paraId="30CB0FA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-10,6%</w:t>
            </w:r>
          </w:p>
        </w:tc>
      </w:tr>
      <w:tr w:rsidR="00A61464" w14:paraId="4241230D"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64EB7EB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Galicia</w:t>
            </w:r>
          </w:p>
        </w:tc>
        <w:tc>
          <w:tcPr>
            <w:tcW w:w="1276" w:type="dxa"/>
            <w:tcBorders>
              <w:top w:val="nil"/>
              <w:left w:val="nil"/>
              <w:bottom w:val="single" w:sz="8" w:space="0" w:color="2E74B5"/>
              <w:right w:val="single" w:sz="8" w:space="0" w:color="2E74B5"/>
            </w:tcBorders>
            <w:shd w:val="clear" w:color="auto" w:fill="auto"/>
            <w:vAlign w:val="bottom"/>
          </w:tcPr>
          <w:p w14:paraId="396903A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25.209 €</w:t>
            </w:r>
          </w:p>
        </w:tc>
        <w:tc>
          <w:tcPr>
            <w:tcW w:w="1275" w:type="dxa"/>
            <w:tcBorders>
              <w:top w:val="nil"/>
              <w:left w:val="nil"/>
              <w:bottom w:val="single" w:sz="8" w:space="0" w:color="2E74B5"/>
              <w:right w:val="single" w:sz="8" w:space="0" w:color="2E74B5"/>
            </w:tcBorders>
            <w:shd w:val="clear" w:color="auto" w:fill="auto"/>
            <w:vAlign w:val="bottom"/>
          </w:tcPr>
          <w:p w14:paraId="0CBD067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23.227 €</w:t>
            </w:r>
          </w:p>
        </w:tc>
        <w:tc>
          <w:tcPr>
            <w:tcW w:w="1276" w:type="dxa"/>
            <w:tcBorders>
              <w:top w:val="nil"/>
              <w:left w:val="nil"/>
              <w:bottom w:val="single" w:sz="8" w:space="0" w:color="2E74B5"/>
              <w:right w:val="single" w:sz="8" w:space="0" w:color="2E74B5"/>
            </w:tcBorders>
            <w:shd w:val="clear" w:color="auto" w:fill="auto"/>
            <w:vAlign w:val="bottom"/>
          </w:tcPr>
          <w:p w14:paraId="4AADC7F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25.069 €</w:t>
            </w:r>
          </w:p>
        </w:tc>
        <w:tc>
          <w:tcPr>
            <w:tcW w:w="1276" w:type="dxa"/>
            <w:tcBorders>
              <w:top w:val="nil"/>
              <w:left w:val="nil"/>
              <w:bottom w:val="single" w:sz="8" w:space="0" w:color="2E74B5"/>
              <w:right w:val="single" w:sz="8" w:space="0" w:color="2E74B5"/>
            </w:tcBorders>
            <w:shd w:val="clear" w:color="auto" w:fill="auto"/>
            <w:vAlign w:val="bottom"/>
          </w:tcPr>
          <w:p w14:paraId="07DC31AF"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25.299 €</w:t>
            </w:r>
          </w:p>
        </w:tc>
        <w:tc>
          <w:tcPr>
            <w:tcW w:w="1134" w:type="dxa"/>
            <w:tcBorders>
              <w:top w:val="nil"/>
              <w:left w:val="nil"/>
              <w:bottom w:val="single" w:sz="8" w:space="0" w:color="2E74B5"/>
              <w:right w:val="single" w:sz="8" w:space="0" w:color="2E74B5"/>
            </w:tcBorders>
            <w:shd w:val="clear" w:color="auto" w:fill="auto"/>
            <w:vAlign w:val="bottom"/>
          </w:tcPr>
          <w:p w14:paraId="256AC4D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0,4%</w:t>
            </w:r>
          </w:p>
        </w:tc>
        <w:tc>
          <w:tcPr>
            <w:tcW w:w="992" w:type="dxa"/>
            <w:tcBorders>
              <w:top w:val="nil"/>
              <w:left w:val="nil"/>
              <w:bottom w:val="single" w:sz="8" w:space="0" w:color="2E74B5"/>
              <w:right w:val="single" w:sz="8" w:space="0" w:color="2E74B5"/>
            </w:tcBorders>
            <w:vAlign w:val="bottom"/>
          </w:tcPr>
          <w:p w14:paraId="0C0E43C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8,9%</w:t>
            </w:r>
          </w:p>
        </w:tc>
        <w:tc>
          <w:tcPr>
            <w:tcW w:w="992" w:type="dxa"/>
            <w:tcBorders>
              <w:top w:val="nil"/>
              <w:left w:val="nil"/>
              <w:bottom w:val="single" w:sz="8" w:space="0" w:color="2E74B5"/>
              <w:right w:val="single" w:sz="8" w:space="0" w:color="2E74B5"/>
            </w:tcBorders>
            <w:vAlign w:val="bottom"/>
          </w:tcPr>
          <w:p w14:paraId="1A4ACA5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0,9%</w:t>
            </w:r>
          </w:p>
        </w:tc>
      </w:tr>
      <w:tr w:rsidR="00A61464" w14:paraId="4E1422E8"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57EA9372"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La Rioja</w:t>
            </w:r>
          </w:p>
        </w:tc>
        <w:tc>
          <w:tcPr>
            <w:tcW w:w="1276" w:type="dxa"/>
            <w:tcBorders>
              <w:top w:val="nil"/>
              <w:left w:val="nil"/>
              <w:bottom w:val="single" w:sz="8" w:space="0" w:color="2E74B5"/>
              <w:right w:val="single" w:sz="8" w:space="0" w:color="2E74B5"/>
            </w:tcBorders>
            <w:shd w:val="clear" w:color="auto" w:fill="auto"/>
            <w:vAlign w:val="bottom"/>
          </w:tcPr>
          <w:p w14:paraId="5D27619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25.570 €</w:t>
            </w:r>
          </w:p>
        </w:tc>
        <w:tc>
          <w:tcPr>
            <w:tcW w:w="1275" w:type="dxa"/>
            <w:tcBorders>
              <w:top w:val="nil"/>
              <w:left w:val="nil"/>
              <w:bottom w:val="single" w:sz="8" w:space="0" w:color="2E74B5"/>
              <w:right w:val="single" w:sz="8" w:space="0" w:color="2E74B5"/>
            </w:tcBorders>
            <w:shd w:val="clear" w:color="auto" w:fill="auto"/>
            <w:vAlign w:val="bottom"/>
          </w:tcPr>
          <w:p w14:paraId="4AD6D9C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24.961 €</w:t>
            </w:r>
          </w:p>
        </w:tc>
        <w:tc>
          <w:tcPr>
            <w:tcW w:w="1276" w:type="dxa"/>
            <w:tcBorders>
              <w:top w:val="nil"/>
              <w:left w:val="nil"/>
              <w:bottom w:val="single" w:sz="8" w:space="0" w:color="2E74B5"/>
              <w:right w:val="single" w:sz="8" w:space="0" w:color="2E74B5"/>
            </w:tcBorders>
            <w:shd w:val="clear" w:color="auto" w:fill="auto"/>
            <w:vAlign w:val="bottom"/>
          </w:tcPr>
          <w:p w14:paraId="2F6CB86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25.939 €</w:t>
            </w:r>
          </w:p>
        </w:tc>
        <w:tc>
          <w:tcPr>
            <w:tcW w:w="1276" w:type="dxa"/>
            <w:tcBorders>
              <w:top w:val="nil"/>
              <w:left w:val="nil"/>
              <w:bottom w:val="single" w:sz="8" w:space="0" w:color="2E74B5"/>
              <w:right w:val="single" w:sz="8" w:space="0" w:color="2E74B5"/>
            </w:tcBorders>
            <w:shd w:val="clear" w:color="auto" w:fill="auto"/>
            <w:vAlign w:val="bottom"/>
          </w:tcPr>
          <w:p w14:paraId="78EB017C"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25.656 €</w:t>
            </w:r>
          </w:p>
        </w:tc>
        <w:tc>
          <w:tcPr>
            <w:tcW w:w="1134" w:type="dxa"/>
            <w:tcBorders>
              <w:top w:val="nil"/>
              <w:left w:val="nil"/>
              <w:bottom w:val="single" w:sz="8" w:space="0" w:color="2E74B5"/>
              <w:right w:val="single" w:sz="8" w:space="0" w:color="2E74B5"/>
            </w:tcBorders>
            <w:shd w:val="clear" w:color="auto" w:fill="auto"/>
            <w:vAlign w:val="bottom"/>
          </w:tcPr>
          <w:p w14:paraId="6AA4E97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0,3%</w:t>
            </w:r>
          </w:p>
        </w:tc>
        <w:tc>
          <w:tcPr>
            <w:tcW w:w="992" w:type="dxa"/>
            <w:tcBorders>
              <w:top w:val="nil"/>
              <w:left w:val="nil"/>
              <w:bottom w:val="single" w:sz="8" w:space="0" w:color="2E74B5"/>
              <w:right w:val="single" w:sz="8" w:space="0" w:color="2E74B5"/>
            </w:tcBorders>
            <w:vAlign w:val="bottom"/>
          </w:tcPr>
          <w:p w14:paraId="539E023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2,8%</w:t>
            </w:r>
          </w:p>
        </w:tc>
        <w:tc>
          <w:tcPr>
            <w:tcW w:w="992" w:type="dxa"/>
            <w:tcBorders>
              <w:top w:val="nil"/>
              <w:left w:val="nil"/>
              <w:bottom w:val="single" w:sz="8" w:space="0" w:color="2E74B5"/>
              <w:right w:val="single" w:sz="8" w:space="0" w:color="2E74B5"/>
            </w:tcBorders>
            <w:vAlign w:val="bottom"/>
          </w:tcPr>
          <w:p w14:paraId="6FC75BA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-1,1%</w:t>
            </w:r>
          </w:p>
        </w:tc>
      </w:tr>
      <w:tr w:rsidR="00A61464" w14:paraId="31804B15"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758C0741"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Madrid</w:t>
            </w:r>
          </w:p>
        </w:tc>
        <w:tc>
          <w:tcPr>
            <w:tcW w:w="1276" w:type="dxa"/>
            <w:tcBorders>
              <w:top w:val="nil"/>
              <w:left w:val="nil"/>
              <w:bottom w:val="single" w:sz="8" w:space="0" w:color="2E74B5"/>
              <w:right w:val="single" w:sz="8" w:space="0" w:color="2E74B5"/>
            </w:tcBorders>
            <w:shd w:val="clear" w:color="auto" w:fill="auto"/>
            <w:vAlign w:val="bottom"/>
          </w:tcPr>
          <w:p w14:paraId="17FF34D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25.156 €</w:t>
            </w:r>
          </w:p>
        </w:tc>
        <w:tc>
          <w:tcPr>
            <w:tcW w:w="1275" w:type="dxa"/>
            <w:tcBorders>
              <w:top w:val="nil"/>
              <w:left w:val="nil"/>
              <w:bottom w:val="single" w:sz="8" w:space="0" w:color="2E74B5"/>
              <w:right w:val="single" w:sz="8" w:space="0" w:color="2E74B5"/>
            </w:tcBorders>
            <w:shd w:val="clear" w:color="auto" w:fill="auto"/>
            <w:vAlign w:val="bottom"/>
          </w:tcPr>
          <w:p w14:paraId="3499CE2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26.012 €</w:t>
            </w:r>
          </w:p>
        </w:tc>
        <w:tc>
          <w:tcPr>
            <w:tcW w:w="1276" w:type="dxa"/>
            <w:tcBorders>
              <w:top w:val="nil"/>
              <w:left w:val="nil"/>
              <w:bottom w:val="single" w:sz="8" w:space="0" w:color="2E74B5"/>
              <w:right w:val="single" w:sz="8" w:space="0" w:color="2E74B5"/>
            </w:tcBorders>
            <w:shd w:val="clear" w:color="auto" w:fill="auto"/>
            <w:vAlign w:val="bottom"/>
          </w:tcPr>
          <w:p w14:paraId="0B85952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26.836 €</w:t>
            </w:r>
          </w:p>
        </w:tc>
        <w:tc>
          <w:tcPr>
            <w:tcW w:w="1276" w:type="dxa"/>
            <w:tcBorders>
              <w:top w:val="nil"/>
              <w:left w:val="nil"/>
              <w:bottom w:val="single" w:sz="8" w:space="0" w:color="2E74B5"/>
              <w:right w:val="single" w:sz="8" w:space="0" w:color="2E74B5"/>
            </w:tcBorders>
            <w:shd w:val="clear" w:color="auto" w:fill="auto"/>
            <w:vAlign w:val="bottom"/>
          </w:tcPr>
          <w:p w14:paraId="1EB8498C"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28.075 €</w:t>
            </w:r>
          </w:p>
        </w:tc>
        <w:tc>
          <w:tcPr>
            <w:tcW w:w="1134" w:type="dxa"/>
            <w:tcBorders>
              <w:top w:val="nil"/>
              <w:left w:val="nil"/>
              <w:bottom w:val="single" w:sz="8" w:space="0" w:color="2E74B5"/>
              <w:right w:val="single" w:sz="8" w:space="0" w:color="2E74B5"/>
            </w:tcBorders>
            <w:shd w:val="clear" w:color="auto" w:fill="auto"/>
            <w:vAlign w:val="bottom"/>
          </w:tcPr>
          <w:p w14:paraId="1EEA38C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11,6%</w:t>
            </w:r>
          </w:p>
        </w:tc>
        <w:tc>
          <w:tcPr>
            <w:tcW w:w="992" w:type="dxa"/>
            <w:tcBorders>
              <w:top w:val="nil"/>
              <w:left w:val="nil"/>
              <w:bottom w:val="single" w:sz="8" w:space="0" w:color="2E74B5"/>
              <w:right w:val="single" w:sz="8" w:space="0" w:color="2E74B5"/>
            </w:tcBorders>
            <w:vAlign w:val="bottom"/>
          </w:tcPr>
          <w:p w14:paraId="1A92127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7,9%</w:t>
            </w:r>
          </w:p>
        </w:tc>
        <w:tc>
          <w:tcPr>
            <w:tcW w:w="992" w:type="dxa"/>
            <w:tcBorders>
              <w:top w:val="nil"/>
              <w:left w:val="nil"/>
              <w:bottom w:val="single" w:sz="8" w:space="0" w:color="2E74B5"/>
              <w:right w:val="single" w:sz="8" w:space="0" w:color="2E74B5"/>
            </w:tcBorders>
            <w:vAlign w:val="bottom"/>
          </w:tcPr>
          <w:p w14:paraId="70DB8B6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4,6%</w:t>
            </w:r>
          </w:p>
        </w:tc>
      </w:tr>
      <w:tr w:rsidR="00A61464" w14:paraId="6035C8EA"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21CD3BEC"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Navarra</w:t>
            </w:r>
          </w:p>
        </w:tc>
        <w:tc>
          <w:tcPr>
            <w:tcW w:w="1276" w:type="dxa"/>
            <w:tcBorders>
              <w:top w:val="nil"/>
              <w:left w:val="nil"/>
              <w:bottom w:val="single" w:sz="8" w:space="0" w:color="2E74B5"/>
              <w:right w:val="single" w:sz="8" w:space="0" w:color="2E74B5"/>
            </w:tcBorders>
            <w:shd w:val="clear" w:color="auto" w:fill="auto"/>
            <w:vAlign w:val="bottom"/>
          </w:tcPr>
          <w:p w14:paraId="598097A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23.807 €</w:t>
            </w:r>
          </w:p>
        </w:tc>
        <w:tc>
          <w:tcPr>
            <w:tcW w:w="1275" w:type="dxa"/>
            <w:tcBorders>
              <w:top w:val="nil"/>
              <w:left w:val="nil"/>
              <w:bottom w:val="single" w:sz="8" w:space="0" w:color="2E74B5"/>
              <w:right w:val="single" w:sz="8" w:space="0" w:color="2E74B5"/>
            </w:tcBorders>
            <w:shd w:val="clear" w:color="auto" w:fill="auto"/>
            <w:vAlign w:val="bottom"/>
          </w:tcPr>
          <w:p w14:paraId="354720D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25.211 €</w:t>
            </w:r>
          </w:p>
        </w:tc>
        <w:tc>
          <w:tcPr>
            <w:tcW w:w="1276" w:type="dxa"/>
            <w:tcBorders>
              <w:top w:val="nil"/>
              <w:left w:val="nil"/>
              <w:bottom w:val="single" w:sz="8" w:space="0" w:color="2E74B5"/>
              <w:right w:val="single" w:sz="8" w:space="0" w:color="2E74B5"/>
            </w:tcBorders>
            <w:shd w:val="clear" w:color="auto" w:fill="auto"/>
            <w:vAlign w:val="bottom"/>
          </w:tcPr>
          <w:p w14:paraId="04C28D0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26.471 €</w:t>
            </w:r>
          </w:p>
        </w:tc>
        <w:tc>
          <w:tcPr>
            <w:tcW w:w="1276" w:type="dxa"/>
            <w:tcBorders>
              <w:top w:val="nil"/>
              <w:left w:val="nil"/>
              <w:bottom w:val="single" w:sz="8" w:space="0" w:color="2E74B5"/>
              <w:right w:val="single" w:sz="8" w:space="0" w:color="2E74B5"/>
            </w:tcBorders>
            <w:shd w:val="clear" w:color="auto" w:fill="auto"/>
            <w:vAlign w:val="bottom"/>
          </w:tcPr>
          <w:p w14:paraId="36A9FC1F"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28.346 €</w:t>
            </w:r>
          </w:p>
        </w:tc>
        <w:tc>
          <w:tcPr>
            <w:tcW w:w="1134" w:type="dxa"/>
            <w:tcBorders>
              <w:top w:val="nil"/>
              <w:left w:val="nil"/>
              <w:bottom w:val="single" w:sz="8" w:space="0" w:color="2E74B5"/>
              <w:right w:val="single" w:sz="8" w:space="0" w:color="2E74B5"/>
            </w:tcBorders>
            <w:shd w:val="clear" w:color="auto" w:fill="auto"/>
            <w:vAlign w:val="bottom"/>
          </w:tcPr>
          <w:p w14:paraId="323A074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19,1%</w:t>
            </w:r>
          </w:p>
        </w:tc>
        <w:tc>
          <w:tcPr>
            <w:tcW w:w="992" w:type="dxa"/>
            <w:tcBorders>
              <w:top w:val="nil"/>
              <w:left w:val="nil"/>
              <w:bottom w:val="single" w:sz="8" w:space="0" w:color="2E74B5"/>
              <w:right w:val="single" w:sz="8" w:space="0" w:color="2E74B5"/>
            </w:tcBorders>
            <w:vAlign w:val="bottom"/>
          </w:tcPr>
          <w:p w14:paraId="77361CB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12,4%</w:t>
            </w:r>
          </w:p>
        </w:tc>
        <w:tc>
          <w:tcPr>
            <w:tcW w:w="992" w:type="dxa"/>
            <w:tcBorders>
              <w:top w:val="nil"/>
              <w:left w:val="nil"/>
              <w:bottom w:val="single" w:sz="8" w:space="0" w:color="2E74B5"/>
              <w:right w:val="single" w:sz="8" w:space="0" w:color="2E74B5"/>
            </w:tcBorders>
            <w:vAlign w:val="bottom"/>
          </w:tcPr>
          <w:p w14:paraId="71F85DD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7,1%</w:t>
            </w:r>
          </w:p>
        </w:tc>
      </w:tr>
      <w:tr w:rsidR="00A61464" w14:paraId="0110988C"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0A69ACED"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País Vasco</w:t>
            </w:r>
          </w:p>
        </w:tc>
        <w:tc>
          <w:tcPr>
            <w:tcW w:w="1276" w:type="dxa"/>
            <w:tcBorders>
              <w:top w:val="nil"/>
              <w:left w:val="nil"/>
              <w:bottom w:val="single" w:sz="8" w:space="0" w:color="2E74B5"/>
              <w:right w:val="single" w:sz="8" w:space="0" w:color="2E74B5"/>
            </w:tcBorders>
            <w:shd w:val="clear" w:color="auto" w:fill="auto"/>
            <w:vAlign w:val="bottom"/>
          </w:tcPr>
          <w:p w14:paraId="131BB38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26.577 €</w:t>
            </w:r>
          </w:p>
        </w:tc>
        <w:tc>
          <w:tcPr>
            <w:tcW w:w="1275" w:type="dxa"/>
            <w:tcBorders>
              <w:top w:val="nil"/>
              <w:left w:val="nil"/>
              <w:bottom w:val="single" w:sz="8" w:space="0" w:color="2E74B5"/>
              <w:right w:val="single" w:sz="8" w:space="0" w:color="2E74B5"/>
            </w:tcBorders>
            <w:shd w:val="clear" w:color="auto" w:fill="auto"/>
            <w:vAlign w:val="bottom"/>
          </w:tcPr>
          <w:p w14:paraId="28C2003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26.683 €</w:t>
            </w:r>
          </w:p>
        </w:tc>
        <w:tc>
          <w:tcPr>
            <w:tcW w:w="1276" w:type="dxa"/>
            <w:tcBorders>
              <w:top w:val="nil"/>
              <w:left w:val="nil"/>
              <w:bottom w:val="single" w:sz="8" w:space="0" w:color="2E74B5"/>
              <w:right w:val="single" w:sz="8" w:space="0" w:color="2E74B5"/>
            </w:tcBorders>
            <w:shd w:val="clear" w:color="auto" w:fill="auto"/>
            <w:vAlign w:val="bottom"/>
          </w:tcPr>
          <w:p w14:paraId="358EA86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27.431 €</w:t>
            </w:r>
          </w:p>
        </w:tc>
        <w:tc>
          <w:tcPr>
            <w:tcW w:w="1276" w:type="dxa"/>
            <w:tcBorders>
              <w:top w:val="nil"/>
              <w:left w:val="nil"/>
              <w:bottom w:val="single" w:sz="8" w:space="0" w:color="2E74B5"/>
              <w:right w:val="single" w:sz="8" w:space="0" w:color="2E74B5"/>
            </w:tcBorders>
            <w:shd w:val="clear" w:color="auto" w:fill="auto"/>
            <w:vAlign w:val="bottom"/>
          </w:tcPr>
          <w:p w14:paraId="3CDF4545"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28.402 €</w:t>
            </w:r>
          </w:p>
        </w:tc>
        <w:tc>
          <w:tcPr>
            <w:tcW w:w="1134" w:type="dxa"/>
            <w:tcBorders>
              <w:top w:val="nil"/>
              <w:left w:val="nil"/>
              <w:bottom w:val="single" w:sz="8" w:space="0" w:color="2E74B5"/>
              <w:right w:val="single" w:sz="8" w:space="0" w:color="2E74B5"/>
            </w:tcBorders>
            <w:shd w:val="clear" w:color="auto" w:fill="auto"/>
            <w:vAlign w:val="bottom"/>
          </w:tcPr>
          <w:p w14:paraId="5C71375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6,9%</w:t>
            </w:r>
          </w:p>
        </w:tc>
        <w:tc>
          <w:tcPr>
            <w:tcW w:w="992" w:type="dxa"/>
            <w:tcBorders>
              <w:top w:val="nil"/>
              <w:left w:val="nil"/>
              <w:bottom w:val="single" w:sz="8" w:space="0" w:color="2E74B5"/>
              <w:right w:val="single" w:sz="8" w:space="0" w:color="2E74B5"/>
            </w:tcBorders>
            <w:vAlign w:val="bottom"/>
          </w:tcPr>
          <w:p w14:paraId="7E64E52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6,4%</w:t>
            </w:r>
          </w:p>
        </w:tc>
        <w:tc>
          <w:tcPr>
            <w:tcW w:w="992" w:type="dxa"/>
            <w:tcBorders>
              <w:top w:val="nil"/>
              <w:left w:val="nil"/>
              <w:bottom w:val="single" w:sz="8" w:space="0" w:color="2E74B5"/>
              <w:right w:val="single" w:sz="8" w:space="0" w:color="2E74B5"/>
            </w:tcBorders>
            <w:vAlign w:val="bottom"/>
          </w:tcPr>
          <w:p w14:paraId="7FB9417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3,5%</w:t>
            </w:r>
          </w:p>
        </w:tc>
      </w:tr>
      <w:tr w:rsidR="00A61464" w14:paraId="21B5DE1D" w14:textId="77777777">
        <w:trPr>
          <w:trHeight w:val="232"/>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74B8D62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lastRenderedPageBreak/>
              <w:t>Región de Murcia</w:t>
            </w:r>
          </w:p>
        </w:tc>
        <w:tc>
          <w:tcPr>
            <w:tcW w:w="1276" w:type="dxa"/>
            <w:tcBorders>
              <w:top w:val="nil"/>
              <w:left w:val="nil"/>
              <w:bottom w:val="single" w:sz="8" w:space="0" w:color="2E74B5"/>
              <w:right w:val="single" w:sz="8" w:space="0" w:color="2E74B5"/>
            </w:tcBorders>
            <w:shd w:val="clear" w:color="auto" w:fill="auto"/>
            <w:vAlign w:val="bottom"/>
          </w:tcPr>
          <w:p w14:paraId="71FC5ED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28.335 €</w:t>
            </w:r>
          </w:p>
        </w:tc>
        <w:tc>
          <w:tcPr>
            <w:tcW w:w="1275" w:type="dxa"/>
            <w:tcBorders>
              <w:top w:val="nil"/>
              <w:left w:val="nil"/>
              <w:bottom w:val="single" w:sz="8" w:space="0" w:color="2E74B5"/>
              <w:right w:val="single" w:sz="8" w:space="0" w:color="2E74B5"/>
            </w:tcBorders>
            <w:shd w:val="clear" w:color="auto" w:fill="auto"/>
            <w:vAlign w:val="bottom"/>
          </w:tcPr>
          <w:p w14:paraId="79CF978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23.200 €</w:t>
            </w:r>
          </w:p>
        </w:tc>
        <w:tc>
          <w:tcPr>
            <w:tcW w:w="1276" w:type="dxa"/>
            <w:tcBorders>
              <w:top w:val="nil"/>
              <w:left w:val="nil"/>
              <w:bottom w:val="single" w:sz="8" w:space="0" w:color="2E74B5"/>
              <w:right w:val="single" w:sz="8" w:space="0" w:color="2E74B5"/>
            </w:tcBorders>
            <w:shd w:val="clear" w:color="auto" w:fill="auto"/>
            <w:vAlign w:val="bottom"/>
          </w:tcPr>
          <w:p w14:paraId="2BF5EBA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26.077 €</w:t>
            </w:r>
          </w:p>
        </w:tc>
        <w:tc>
          <w:tcPr>
            <w:tcW w:w="1276" w:type="dxa"/>
            <w:tcBorders>
              <w:top w:val="nil"/>
              <w:left w:val="nil"/>
              <w:bottom w:val="single" w:sz="8" w:space="0" w:color="2E74B5"/>
              <w:right w:val="single" w:sz="8" w:space="0" w:color="2E74B5"/>
            </w:tcBorders>
            <w:shd w:val="clear" w:color="auto" w:fill="auto"/>
            <w:vAlign w:val="bottom"/>
          </w:tcPr>
          <w:p w14:paraId="145DD051"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27.175 €</w:t>
            </w:r>
          </w:p>
        </w:tc>
        <w:tc>
          <w:tcPr>
            <w:tcW w:w="1134" w:type="dxa"/>
            <w:tcBorders>
              <w:top w:val="nil"/>
              <w:left w:val="nil"/>
              <w:bottom w:val="single" w:sz="8" w:space="0" w:color="2E74B5"/>
              <w:right w:val="single" w:sz="8" w:space="0" w:color="2E74B5"/>
            </w:tcBorders>
            <w:shd w:val="clear" w:color="auto" w:fill="auto"/>
            <w:vAlign w:val="bottom"/>
          </w:tcPr>
          <w:p w14:paraId="6E0D6FD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9C0006"/>
                <w:sz w:val="18"/>
                <w:szCs w:val="18"/>
              </w:rPr>
              <w:t>-4,1%</w:t>
            </w:r>
          </w:p>
        </w:tc>
        <w:tc>
          <w:tcPr>
            <w:tcW w:w="992" w:type="dxa"/>
            <w:tcBorders>
              <w:top w:val="nil"/>
              <w:left w:val="nil"/>
              <w:bottom w:val="single" w:sz="8" w:space="0" w:color="2E74B5"/>
              <w:right w:val="single" w:sz="8" w:space="0" w:color="2E74B5"/>
            </w:tcBorders>
            <w:vAlign w:val="bottom"/>
          </w:tcPr>
          <w:p w14:paraId="14878E34" w14:textId="77777777" w:rsidR="00A61464" w:rsidRPr="007011C2" w:rsidRDefault="00000000">
            <w:pPr>
              <w:jc w:val="center"/>
              <w:rPr>
                <w:rFonts w:ascii="Open Sans Light" w:eastAsia="Open Sans Light" w:hAnsi="Open Sans Light" w:cs="Open Sans Light"/>
                <w:sz w:val="18"/>
                <w:szCs w:val="18"/>
              </w:rPr>
            </w:pPr>
            <w:r w:rsidRPr="007011C2">
              <w:rPr>
                <w:rFonts w:ascii="Open Sans Light" w:eastAsia="Open Sans Light" w:hAnsi="Open Sans Light" w:cs="Open Sans Light"/>
                <w:sz w:val="18"/>
                <w:szCs w:val="18"/>
              </w:rPr>
              <w:t>17,1%</w:t>
            </w:r>
          </w:p>
        </w:tc>
        <w:tc>
          <w:tcPr>
            <w:tcW w:w="992" w:type="dxa"/>
            <w:tcBorders>
              <w:top w:val="nil"/>
              <w:left w:val="nil"/>
              <w:bottom w:val="single" w:sz="8" w:space="0" w:color="2E74B5"/>
              <w:right w:val="single" w:sz="8" w:space="0" w:color="2E74B5"/>
            </w:tcBorders>
            <w:vAlign w:val="bottom"/>
          </w:tcPr>
          <w:p w14:paraId="2F671C4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4,2%</w:t>
            </w:r>
          </w:p>
        </w:tc>
      </w:tr>
      <w:tr w:rsidR="00A61464" w14:paraId="2D0A8642" w14:textId="77777777">
        <w:trPr>
          <w:trHeight w:val="200"/>
        </w:trPr>
        <w:tc>
          <w:tcPr>
            <w:tcW w:w="1277" w:type="dxa"/>
            <w:tcBorders>
              <w:top w:val="nil"/>
              <w:left w:val="single" w:sz="8" w:space="0" w:color="2E74B5"/>
              <w:bottom w:val="single" w:sz="8" w:space="0" w:color="2E74B5"/>
              <w:right w:val="single" w:sz="8" w:space="0" w:color="2E74B5"/>
            </w:tcBorders>
            <w:shd w:val="clear" w:color="auto" w:fill="9CC2E5"/>
            <w:vAlign w:val="bottom"/>
          </w:tcPr>
          <w:p w14:paraId="5916C91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España</w:t>
            </w:r>
          </w:p>
        </w:tc>
        <w:tc>
          <w:tcPr>
            <w:tcW w:w="1276" w:type="dxa"/>
            <w:tcBorders>
              <w:top w:val="nil"/>
              <w:left w:val="nil"/>
              <w:bottom w:val="single" w:sz="8" w:space="0" w:color="2E74B5"/>
              <w:right w:val="single" w:sz="8" w:space="0" w:color="2E74B5"/>
            </w:tcBorders>
            <w:shd w:val="clear" w:color="auto" w:fill="9CC3E5"/>
            <w:vAlign w:val="bottom"/>
          </w:tcPr>
          <w:p w14:paraId="5A2D46E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25.400 €</w:t>
            </w:r>
          </w:p>
        </w:tc>
        <w:tc>
          <w:tcPr>
            <w:tcW w:w="1275" w:type="dxa"/>
            <w:tcBorders>
              <w:top w:val="nil"/>
              <w:left w:val="nil"/>
              <w:bottom w:val="single" w:sz="8" w:space="0" w:color="2E74B5"/>
              <w:right w:val="single" w:sz="8" w:space="0" w:color="2E74B5"/>
            </w:tcBorders>
            <w:shd w:val="clear" w:color="auto" w:fill="9CC3E5"/>
            <w:vAlign w:val="bottom"/>
          </w:tcPr>
          <w:p w14:paraId="1606EE8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25.193 €</w:t>
            </w:r>
          </w:p>
        </w:tc>
        <w:tc>
          <w:tcPr>
            <w:tcW w:w="1276" w:type="dxa"/>
            <w:tcBorders>
              <w:top w:val="nil"/>
              <w:left w:val="nil"/>
              <w:bottom w:val="single" w:sz="8" w:space="0" w:color="2E74B5"/>
              <w:right w:val="single" w:sz="8" w:space="0" w:color="2E74B5"/>
            </w:tcBorders>
            <w:shd w:val="clear" w:color="auto" w:fill="9CC3E5"/>
            <w:vAlign w:val="bottom"/>
          </w:tcPr>
          <w:p w14:paraId="22FA8C1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26.245 €</w:t>
            </w:r>
          </w:p>
        </w:tc>
        <w:tc>
          <w:tcPr>
            <w:tcW w:w="1276" w:type="dxa"/>
            <w:tcBorders>
              <w:top w:val="nil"/>
              <w:left w:val="nil"/>
              <w:bottom w:val="single" w:sz="8" w:space="0" w:color="2E74B5"/>
              <w:right w:val="single" w:sz="8" w:space="0" w:color="2E74B5"/>
            </w:tcBorders>
            <w:shd w:val="clear" w:color="auto" w:fill="9CC3E5"/>
            <w:vAlign w:val="bottom"/>
          </w:tcPr>
          <w:p w14:paraId="00DDF5CD"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27.060 €</w:t>
            </w:r>
          </w:p>
        </w:tc>
        <w:tc>
          <w:tcPr>
            <w:tcW w:w="1134" w:type="dxa"/>
            <w:tcBorders>
              <w:top w:val="nil"/>
              <w:left w:val="nil"/>
              <w:bottom w:val="single" w:sz="8" w:space="0" w:color="2E74B5"/>
              <w:right w:val="single" w:sz="8" w:space="0" w:color="2E74B5"/>
            </w:tcBorders>
            <w:shd w:val="clear" w:color="auto" w:fill="9CC3E5"/>
            <w:vAlign w:val="bottom"/>
          </w:tcPr>
          <w:p w14:paraId="5E2B74F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6,5%</w:t>
            </w:r>
          </w:p>
        </w:tc>
        <w:tc>
          <w:tcPr>
            <w:tcW w:w="992" w:type="dxa"/>
            <w:tcBorders>
              <w:top w:val="nil"/>
              <w:left w:val="nil"/>
              <w:bottom w:val="single" w:sz="8" w:space="0" w:color="2E74B5"/>
              <w:right w:val="single" w:sz="8" w:space="0" w:color="2E74B5"/>
            </w:tcBorders>
            <w:shd w:val="clear" w:color="auto" w:fill="9CC3E5"/>
            <w:vAlign w:val="bottom"/>
          </w:tcPr>
          <w:p w14:paraId="44330A1D" w14:textId="77777777" w:rsidR="00A61464" w:rsidRPr="007011C2" w:rsidRDefault="00000000">
            <w:pPr>
              <w:jc w:val="center"/>
              <w:rPr>
                <w:rFonts w:ascii="Open Sans Light" w:eastAsia="Open Sans Light" w:hAnsi="Open Sans Light" w:cs="Open Sans Light"/>
                <w:sz w:val="18"/>
                <w:szCs w:val="18"/>
              </w:rPr>
            </w:pPr>
            <w:r w:rsidRPr="007011C2">
              <w:rPr>
                <w:rFonts w:ascii="Open Sans Light" w:eastAsia="Open Sans Light" w:hAnsi="Open Sans Light" w:cs="Open Sans Light"/>
                <w:sz w:val="18"/>
                <w:szCs w:val="18"/>
              </w:rPr>
              <w:t>7,4%</w:t>
            </w:r>
          </w:p>
        </w:tc>
        <w:tc>
          <w:tcPr>
            <w:tcW w:w="992" w:type="dxa"/>
            <w:tcBorders>
              <w:top w:val="nil"/>
              <w:left w:val="nil"/>
              <w:bottom w:val="single" w:sz="8" w:space="0" w:color="2E74B5"/>
              <w:right w:val="single" w:sz="8" w:space="0" w:color="2E74B5"/>
            </w:tcBorders>
            <w:shd w:val="clear" w:color="auto" w:fill="9CC3E5"/>
            <w:vAlign w:val="bottom"/>
          </w:tcPr>
          <w:p w14:paraId="7517CC6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3,1%</w:t>
            </w:r>
          </w:p>
        </w:tc>
      </w:tr>
    </w:tbl>
    <w:p w14:paraId="07CD53D8" w14:textId="77777777" w:rsidR="00A61464" w:rsidRDefault="00A61464">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6B162BFB"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w:t>
      </w:r>
      <w:r>
        <w:rPr>
          <w:rFonts w:ascii="Open Sans" w:eastAsia="Open Sans" w:hAnsi="Open Sans" w:cs="Open Sans"/>
          <w:b/>
          <w:color w:val="000000"/>
          <w:sz w:val="22"/>
          <w:szCs w:val="22"/>
        </w:rPr>
        <w:t xml:space="preserve">Madrid es la comunidad en la que </w:t>
      </w:r>
      <w:r>
        <w:rPr>
          <w:rFonts w:ascii="Open Sans" w:eastAsia="Open Sans" w:hAnsi="Open Sans" w:cs="Open Sans"/>
          <w:b/>
          <w:sz w:val="22"/>
          <w:szCs w:val="22"/>
        </w:rPr>
        <w:t xml:space="preserve">más </w:t>
      </w:r>
      <w:r>
        <w:rPr>
          <w:rFonts w:ascii="Open Sans" w:eastAsia="Open Sans" w:hAnsi="Open Sans" w:cs="Open Sans"/>
          <w:b/>
          <w:color w:val="000000"/>
          <w:sz w:val="22"/>
          <w:szCs w:val="22"/>
        </w:rPr>
        <w:t>se ha encarecido el precio de la vivienda en alquiler en el último año con un 18,6%.</w:t>
      </w:r>
      <w:r>
        <w:rPr>
          <w:rFonts w:ascii="Open Sans" w:eastAsia="Open Sans" w:hAnsi="Open Sans" w:cs="Open Sans"/>
          <w:color w:val="000000"/>
          <w:sz w:val="22"/>
          <w:szCs w:val="22"/>
        </w:rPr>
        <w:t xml:space="preserve"> Si analizamos los datos, vemos que los madrileños han pasado de pagar 17,38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2023 a pagar 20,62 euros al mes por el metro cuadrado de una vivienda en alquiler en 2024 (es decir, un 18,6% más). A esto se añade que los salarios medios </w:t>
      </w:r>
      <w:r>
        <w:rPr>
          <w:rFonts w:ascii="Open Sans" w:eastAsia="Open Sans" w:hAnsi="Open Sans" w:cs="Open Sans"/>
          <w:sz w:val="22"/>
          <w:szCs w:val="22"/>
        </w:rPr>
        <w:t>en</w:t>
      </w:r>
      <w:r>
        <w:rPr>
          <w:rFonts w:ascii="Open Sans" w:eastAsia="Open Sans" w:hAnsi="Open Sans" w:cs="Open Sans"/>
          <w:color w:val="000000"/>
          <w:sz w:val="22"/>
          <w:szCs w:val="22"/>
        </w:rPr>
        <w:t xml:space="preserve"> Madrid apenas </w:t>
      </w:r>
      <w:r>
        <w:rPr>
          <w:rFonts w:ascii="Open Sans" w:eastAsia="Open Sans" w:hAnsi="Open Sans" w:cs="Open Sans"/>
          <w:sz w:val="22"/>
          <w:szCs w:val="22"/>
        </w:rPr>
        <w:t>han subido en el último año un 4,6%</w:t>
      </w:r>
      <w:r>
        <w:rPr>
          <w:rFonts w:ascii="Open Sans" w:eastAsia="Open Sans" w:hAnsi="Open Sans" w:cs="Open Sans"/>
          <w:color w:val="000000"/>
          <w:sz w:val="22"/>
          <w:szCs w:val="22"/>
        </w:rPr>
        <w:t xml:space="preserve"> (han pasado de los 26.836 euros/año en 2023 a los 28.075 euros/año en 2024).</w:t>
      </w:r>
    </w:p>
    <w:p w14:paraId="4CA223F5" w14:textId="77777777" w:rsidR="00A61464"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28"/>
          <w:szCs w:val="28"/>
        </w:rPr>
        <w:t xml:space="preserve">Variación del precio de la vivienda en alquiler </w:t>
      </w:r>
      <w:r>
        <w:rPr>
          <w:rFonts w:ascii="National" w:eastAsia="National" w:hAnsi="National" w:cs="National"/>
          <w:b/>
          <w:color w:val="303AB2"/>
          <w:sz w:val="30"/>
          <w:szCs w:val="30"/>
        </w:rPr>
        <w:t>de los últimos 5 años</w:t>
      </w:r>
    </w:p>
    <w:p w14:paraId="034A5DE0"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f2"/>
        <w:tblW w:w="10020" w:type="dxa"/>
        <w:tblInd w:w="-719" w:type="dxa"/>
        <w:tblLayout w:type="fixed"/>
        <w:tblLook w:val="0400" w:firstRow="0" w:lastRow="0" w:firstColumn="0" w:lastColumn="0" w:noHBand="0" w:noVBand="1"/>
      </w:tblPr>
      <w:tblGrid>
        <w:gridCol w:w="1275"/>
        <w:gridCol w:w="1455"/>
        <w:gridCol w:w="1380"/>
        <w:gridCol w:w="1425"/>
        <w:gridCol w:w="1275"/>
        <w:gridCol w:w="1140"/>
        <w:gridCol w:w="1140"/>
        <w:gridCol w:w="930"/>
      </w:tblGrid>
      <w:tr w:rsidR="00A61464" w14:paraId="3FEF3C89" w14:textId="77777777">
        <w:trPr>
          <w:trHeight w:val="984"/>
        </w:trPr>
        <w:tc>
          <w:tcPr>
            <w:tcW w:w="1275"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5700151E"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CC. AA.</w:t>
            </w:r>
          </w:p>
        </w:tc>
        <w:tc>
          <w:tcPr>
            <w:tcW w:w="1455" w:type="dxa"/>
            <w:tcBorders>
              <w:top w:val="single" w:sz="8" w:space="0" w:color="2E74B5"/>
              <w:left w:val="nil"/>
              <w:bottom w:val="single" w:sz="8" w:space="0" w:color="2E74B5"/>
              <w:right w:val="single" w:sz="8" w:space="0" w:color="2E74B5"/>
            </w:tcBorders>
            <w:shd w:val="clear" w:color="auto" w:fill="9CC2E5"/>
            <w:vAlign w:val="center"/>
          </w:tcPr>
          <w:p w14:paraId="3937095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Precio medio </w:t>
            </w:r>
            <w:r>
              <w:rPr>
                <w:rFonts w:ascii="Open Sans Light" w:eastAsia="Open Sans Light" w:hAnsi="Open Sans Light" w:cs="Open Sans Light"/>
                <w:sz w:val="18"/>
                <w:szCs w:val="18"/>
              </w:rPr>
              <w:t>alquiler</w:t>
            </w:r>
            <w:r>
              <w:rPr>
                <w:rFonts w:ascii="Open Sans Light" w:eastAsia="Open Sans Light" w:hAnsi="Open Sans Light" w:cs="Open Sans Light"/>
                <w:color w:val="000000"/>
                <w:sz w:val="18"/>
                <w:szCs w:val="18"/>
              </w:rPr>
              <w:t xml:space="preserve"> (€/m</w:t>
            </w:r>
            <w:r>
              <w:rPr>
                <w:rFonts w:ascii="Open Sans Light" w:eastAsia="Open Sans Light" w:hAnsi="Open Sans Light" w:cs="Open Sans Light"/>
                <w:color w:val="000000"/>
                <w:sz w:val="18"/>
                <w:szCs w:val="18"/>
                <w:vertAlign w:val="superscript"/>
              </w:rPr>
              <w:t>2</w:t>
            </w:r>
            <w:r>
              <w:rPr>
                <w:rFonts w:ascii="Open Sans Light" w:eastAsia="Open Sans Light" w:hAnsi="Open Sans Light" w:cs="Open Sans Light"/>
                <w:color w:val="000000"/>
                <w:sz w:val="18"/>
                <w:szCs w:val="18"/>
              </w:rPr>
              <w:t>) 2019</w:t>
            </w:r>
          </w:p>
        </w:tc>
        <w:tc>
          <w:tcPr>
            <w:tcW w:w="1380" w:type="dxa"/>
            <w:tcBorders>
              <w:top w:val="single" w:sz="8" w:space="0" w:color="2E74B5"/>
              <w:left w:val="nil"/>
              <w:bottom w:val="single" w:sz="8" w:space="0" w:color="2E74B5"/>
              <w:right w:val="single" w:sz="8" w:space="0" w:color="2E74B5"/>
            </w:tcBorders>
            <w:shd w:val="clear" w:color="auto" w:fill="9CC2E5"/>
            <w:vAlign w:val="center"/>
          </w:tcPr>
          <w:p w14:paraId="0F6D957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Precio medio </w:t>
            </w:r>
            <w:r>
              <w:rPr>
                <w:rFonts w:ascii="Open Sans Light" w:eastAsia="Open Sans Light" w:hAnsi="Open Sans Light" w:cs="Open Sans Light"/>
                <w:sz w:val="18"/>
                <w:szCs w:val="18"/>
              </w:rPr>
              <w:t>alquiler</w:t>
            </w:r>
            <w:r>
              <w:rPr>
                <w:rFonts w:ascii="Open Sans Light" w:eastAsia="Open Sans Light" w:hAnsi="Open Sans Light" w:cs="Open Sans Light"/>
                <w:color w:val="000000"/>
                <w:sz w:val="18"/>
                <w:szCs w:val="18"/>
              </w:rPr>
              <w:t xml:space="preserve"> (€/m</w:t>
            </w:r>
            <w:r>
              <w:rPr>
                <w:rFonts w:ascii="Open Sans Light" w:eastAsia="Open Sans Light" w:hAnsi="Open Sans Light" w:cs="Open Sans Light"/>
                <w:color w:val="000000"/>
                <w:sz w:val="18"/>
                <w:szCs w:val="18"/>
                <w:vertAlign w:val="superscript"/>
              </w:rPr>
              <w:t>2</w:t>
            </w:r>
            <w:r>
              <w:rPr>
                <w:rFonts w:ascii="Open Sans Light" w:eastAsia="Open Sans Light" w:hAnsi="Open Sans Light" w:cs="Open Sans Light"/>
                <w:color w:val="000000"/>
                <w:sz w:val="18"/>
                <w:szCs w:val="18"/>
              </w:rPr>
              <w:t>) 2021</w:t>
            </w:r>
          </w:p>
        </w:tc>
        <w:tc>
          <w:tcPr>
            <w:tcW w:w="1425" w:type="dxa"/>
            <w:tcBorders>
              <w:top w:val="single" w:sz="8" w:space="0" w:color="2E74B5"/>
              <w:left w:val="nil"/>
              <w:bottom w:val="single" w:sz="8" w:space="0" w:color="2E74B5"/>
              <w:right w:val="single" w:sz="8" w:space="0" w:color="2E74B5"/>
            </w:tcBorders>
            <w:shd w:val="clear" w:color="auto" w:fill="9CC2E5"/>
            <w:vAlign w:val="center"/>
          </w:tcPr>
          <w:p w14:paraId="7A0AACD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Precio medio </w:t>
            </w:r>
            <w:r>
              <w:rPr>
                <w:rFonts w:ascii="Open Sans Light" w:eastAsia="Open Sans Light" w:hAnsi="Open Sans Light" w:cs="Open Sans Light"/>
                <w:sz w:val="18"/>
                <w:szCs w:val="18"/>
              </w:rPr>
              <w:t>alquiler</w:t>
            </w:r>
            <w:r>
              <w:rPr>
                <w:rFonts w:ascii="Open Sans Light" w:eastAsia="Open Sans Light" w:hAnsi="Open Sans Light" w:cs="Open Sans Light"/>
                <w:color w:val="000000"/>
                <w:sz w:val="18"/>
                <w:szCs w:val="18"/>
              </w:rPr>
              <w:t xml:space="preserve"> (€/m</w:t>
            </w:r>
            <w:r>
              <w:rPr>
                <w:rFonts w:ascii="Open Sans Light" w:eastAsia="Open Sans Light" w:hAnsi="Open Sans Light" w:cs="Open Sans Light"/>
                <w:color w:val="000000"/>
                <w:sz w:val="18"/>
                <w:szCs w:val="18"/>
                <w:vertAlign w:val="superscript"/>
              </w:rPr>
              <w:t>2</w:t>
            </w:r>
            <w:r>
              <w:rPr>
                <w:rFonts w:ascii="Open Sans Light" w:eastAsia="Open Sans Light" w:hAnsi="Open Sans Light" w:cs="Open Sans Light"/>
                <w:color w:val="000000"/>
                <w:sz w:val="18"/>
                <w:szCs w:val="18"/>
              </w:rPr>
              <w:t>) 2023</w:t>
            </w:r>
          </w:p>
        </w:tc>
        <w:tc>
          <w:tcPr>
            <w:tcW w:w="1275" w:type="dxa"/>
            <w:tcBorders>
              <w:top w:val="single" w:sz="8" w:space="0" w:color="2E74B5"/>
              <w:left w:val="nil"/>
              <w:bottom w:val="single" w:sz="8" w:space="0" w:color="2E74B5"/>
              <w:right w:val="single" w:sz="8" w:space="0" w:color="2E74B5"/>
            </w:tcBorders>
            <w:shd w:val="clear" w:color="auto" w:fill="9CC2E5"/>
            <w:vAlign w:val="center"/>
          </w:tcPr>
          <w:p w14:paraId="0694EAE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Precio medio vivienda (€/m</w:t>
            </w:r>
            <w:r>
              <w:rPr>
                <w:rFonts w:ascii="Open Sans Light" w:eastAsia="Open Sans Light" w:hAnsi="Open Sans Light" w:cs="Open Sans Light"/>
                <w:b/>
                <w:color w:val="000000"/>
                <w:sz w:val="18"/>
                <w:szCs w:val="18"/>
                <w:vertAlign w:val="superscript"/>
              </w:rPr>
              <w:t>2</w:t>
            </w:r>
            <w:r>
              <w:rPr>
                <w:rFonts w:ascii="Open Sans Light" w:eastAsia="Open Sans Light" w:hAnsi="Open Sans Light" w:cs="Open Sans Light"/>
                <w:b/>
                <w:color w:val="000000"/>
                <w:sz w:val="18"/>
                <w:szCs w:val="18"/>
              </w:rPr>
              <w:t>) 2024</w:t>
            </w:r>
          </w:p>
        </w:tc>
        <w:tc>
          <w:tcPr>
            <w:tcW w:w="1140"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1A04681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5 años (2024 vs. 2019)</w:t>
            </w:r>
          </w:p>
        </w:tc>
        <w:tc>
          <w:tcPr>
            <w:tcW w:w="1140" w:type="dxa"/>
            <w:tcBorders>
              <w:top w:val="single" w:sz="8" w:space="0" w:color="2E74B5"/>
              <w:left w:val="nil"/>
              <w:bottom w:val="single" w:sz="8" w:space="0" w:color="2E74B5"/>
              <w:right w:val="single" w:sz="8" w:space="0" w:color="2E74B5"/>
            </w:tcBorders>
            <w:shd w:val="clear" w:color="auto" w:fill="9CC2E5"/>
            <w:vAlign w:val="center"/>
          </w:tcPr>
          <w:p w14:paraId="361977A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 xml:space="preserve"> % 3 años (2024 vs. 2021)</w:t>
            </w:r>
          </w:p>
        </w:tc>
        <w:tc>
          <w:tcPr>
            <w:tcW w:w="930" w:type="dxa"/>
            <w:tcBorders>
              <w:top w:val="single" w:sz="8" w:space="0" w:color="2E74B5"/>
              <w:left w:val="nil"/>
              <w:bottom w:val="single" w:sz="8" w:space="0" w:color="2E74B5"/>
              <w:right w:val="single" w:sz="8" w:space="0" w:color="2E74B5"/>
            </w:tcBorders>
            <w:shd w:val="clear" w:color="auto" w:fill="9CC2E5"/>
            <w:vAlign w:val="center"/>
          </w:tcPr>
          <w:p w14:paraId="0A10C20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sz w:val="18"/>
                <w:szCs w:val="18"/>
              </w:rPr>
              <w:t>%</w:t>
            </w:r>
            <w:r>
              <w:rPr>
                <w:rFonts w:ascii="Open Sans Light" w:eastAsia="Open Sans Light" w:hAnsi="Open Sans Light" w:cs="Open Sans Light"/>
                <w:b/>
                <w:color w:val="000000"/>
                <w:sz w:val="18"/>
                <w:szCs w:val="18"/>
              </w:rPr>
              <w:t xml:space="preserve"> 1 año (2024 vs. 2023)</w:t>
            </w:r>
          </w:p>
        </w:tc>
      </w:tr>
      <w:tr w:rsidR="00A61464" w14:paraId="2B6234FA"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57F238FF"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Andalucía</w:t>
            </w:r>
          </w:p>
        </w:tc>
        <w:tc>
          <w:tcPr>
            <w:tcW w:w="1455" w:type="dxa"/>
            <w:tcBorders>
              <w:top w:val="nil"/>
              <w:left w:val="nil"/>
              <w:bottom w:val="single" w:sz="8" w:space="0" w:color="2E74B5"/>
              <w:right w:val="single" w:sz="8" w:space="0" w:color="2E74B5"/>
            </w:tcBorders>
            <w:shd w:val="clear" w:color="auto" w:fill="auto"/>
            <w:vAlign w:val="bottom"/>
          </w:tcPr>
          <w:p w14:paraId="028177B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8,33 €</w:t>
            </w:r>
          </w:p>
        </w:tc>
        <w:tc>
          <w:tcPr>
            <w:tcW w:w="1380" w:type="dxa"/>
            <w:tcBorders>
              <w:top w:val="nil"/>
              <w:left w:val="nil"/>
              <w:bottom w:val="single" w:sz="8" w:space="0" w:color="2E74B5"/>
              <w:right w:val="single" w:sz="8" w:space="0" w:color="2E74B5"/>
            </w:tcBorders>
            <w:shd w:val="clear" w:color="auto" w:fill="auto"/>
            <w:vAlign w:val="bottom"/>
          </w:tcPr>
          <w:p w14:paraId="3BD967B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8,60 €</w:t>
            </w:r>
          </w:p>
        </w:tc>
        <w:tc>
          <w:tcPr>
            <w:tcW w:w="1425" w:type="dxa"/>
            <w:tcBorders>
              <w:top w:val="nil"/>
              <w:left w:val="nil"/>
              <w:bottom w:val="single" w:sz="8" w:space="0" w:color="2E74B5"/>
              <w:right w:val="single" w:sz="8" w:space="0" w:color="2E74B5"/>
            </w:tcBorders>
            <w:shd w:val="clear" w:color="auto" w:fill="auto"/>
            <w:vAlign w:val="bottom"/>
          </w:tcPr>
          <w:p w14:paraId="1E6D9E7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10,10 €</w:t>
            </w:r>
          </w:p>
        </w:tc>
        <w:tc>
          <w:tcPr>
            <w:tcW w:w="1275" w:type="dxa"/>
            <w:tcBorders>
              <w:top w:val="single" w:sz="8" w:space="0" w:color="2E74B5"/>
              <w:left w:val="nil"/>
              <w:bottom w:val="single" w:sz="8" w:space="0" w:color="2E74B5"/>
              <w:right w:val="single" w:sz="8" w:space="0" w:color="2E74B5"/>
            </w:tcBorders>
            <w:vAlign w:val="bottom"/>
          </w:tcPr>
          <w:p w14:paraId="6E654625"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10,88 €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3E40F08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30,6%</w:t>
            </w:r>
          </w:p>
        </w:tc>
        <w:tc>
          <w:tcPr>
            <w:tcW w:w="1140" w:type="dxa"/>
            <w:tcBorders>
              <w:top w:val="nil"/>
              <w:left w:val="nil"/>
              <w:bottom w:val="single" w:sz="8" w:space="0" w:color="2E74B5"/>
              <w:right w:val="single" w:sz="8" w:space="0" w:color="2E74B5"/>
            </w:tcBorders>
            <w:shd w:val="clear" w:color="auto" w:fill="auto"/>
            <w:vAlign w:val="bottom"/>
          </w:tcPr>
          <w:p w14:paraId="5C57507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26,5%</w:t>
            </w:r>
          </w:p>
        </w:tc>
        <w:tc>
          <w:tcPr>
            <w:tcW w:w="930" w:type="dxa"/>
            <w:tcBorders>
              <w:top w:val="nil"/>
              <w:left w:val="nil"/>
              <w:bottom w:val="single" w:sz="8" w:space="0" w:color="2E74B5"/>
              <w:right w:val="single" w:sz="8" w:space="0" w:color="2E74B5"/>
            </w:tcBorders>
            <w:vAlign w:val="bottom"/>
          </w:tcPr>
          <w:p w14:paraId="1CB6C9A3"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7,7%</w:t>
            </w:r>
          </w:p>
        </w:tc>
      </w:tr>
      <w:tr w:rsidR="00A61464" w14:paraId="014ED572"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1972E96"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Aragón</w:t>
            </w:r>
          </w:p>
        </w:tc>
        <w:tc>
          <w:tcPr>
            <w:tcW w:w="1455" w:type="dxa"/>
            <w:tcBorders>
              <w:top w:val="nil"/>
              <w:left w:val="nil"/>
              <w:bottom w:val="single" w:sz="8" w:space="0" w:color="2E74B5"/>
              <w:right w:val="single" w:sz="8" w:space="0" w:color="2E74B5"/>
            </w:tcBorders>
            <w:shd w:val="clear" w:color="auto" w:fill="auto"/>
            <w:vAlign w:val="bottom"/>
          </w:tcPr>
          <w:p w14:paraId="4FE3338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8,18 €</w:t>
            </w:r>
          </w:p>
        </w:tc>
        <w:tc>
          <w:tcPr>
            <w:tcW w:w="1380" w:type="dxa"/>
            <w:tcBorders>
              <w:top w:val="nil"/>
              <w:left w:val="nil"/>
              <w:bottom w:val="single" w:sz="8" w:space="0" w:color="2E74B5"/>
              <w:right w:val="single" w:sz="8" w:space="0" w:color="2E74B5"/>
            </w:tcBorders>
            <w:shd w:val="clear" w:color="auto" w:fill="auto"/>
            <w:vAlign w:val="bottom"/>
          </w:tcPr>
          <w:p w14:paraId="5A3D297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8,48 €</w:t>
            </w:r>
          </w:p>
        </w:tc>
        <w:tc>
          <w:tcPr>
            <w:tcW w:w="1425" w:type="dxa"/>
            <w:tcBorders>
              <w:top w:val="nil"/>
              <w:left w:val="nil"/>
              <w:bottom w:val="single" w:sz="8" w:space="0" w:color="2E74B5"/>
              <w:right w:val="single" w:sz="8" w:space="0" w:color="2E74B5"/>
            </w:tcBorders>
            <w:shd w:val="clear" w:color="auto" w:fill="auto"/>
            <w:vAlign w:val="bottom"/>
          </w:tcPr>
          <w:p w14:paraId="776DCA5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9,23 €</w:t>
            </w:r>
          </w:p>
        </w:tc>
        <w:tc>
          <w:tcPr>
            <w:tcW w:w="1275" w:type="dxa"/>
            <w:tcBorders>
              <w:top w:val="single" w:sz="8" w:space="0" w:color="2E74B5"/>
              <w:left w:val="nil"/>
              <w:bottom w:val="single" w:sz="8" w:space="0" w:color="2E74B5"/>
              <w:right w:val="single" w:sz="8" w:space="0" w:color="2E74B5"/>
            </w:tcBorders>
            <w:vAlign w:val="bottom"/>
          </w:tcPr>
          <w:p w14:paraId="49F890AC"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10,28 €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5FD2F65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25,7%</w:t>
            </w:r>
          </w:p>
        </w:tc>
        <w:tc>
          <w:tcPr>
            <w:tcW w:w="1140" w:type="dxa"/>
            <w:tcBorders>
              <w:top w:val="nil"/>
              <w:left w:val="nil"/>
              <w:bottom w:val="single" w:sz="8" w:space="0" w:color="2E74B5"/>
              <w:right w:val="single" w:sz="8" w:space="0" w:color="2E74B5"/>
            </w:tcBorders>
            <w:shd w:val="clear" w:color="auto" w:fill="auto"/>
            <w:vAlign w:val="bottom"/>
          </w:tcPr>
          <w:p w14:paraId="3B40677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21,2%</w:t>
            </w:r>
          </w:p>
        </w:tc>
        <w:tc>
          <w:tcPr>
            <w:tcW w:w="930" w:type="dxa"/>
            <w:tcBorders>
              <w:top w:val="nil"/>
              <w:left w:val="nil"/>
              <w:bottom w:val="single" w:sz="8" w:space="0" w:color="2E74B5"/>
              <w:right w:val="single" w:sz="8" w:space="0" w:color="2E74B5"/>
            </w:tcBorders>
            <w:vAlign w:val="bottom"/>
          </w:tcPr>
          <w:p w14:paraId="30CE9C4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11,4%</w:t>
            </w:r>
          </w:p>
        </w:tc>
      </w:tr>
      <w:tr w:rsidR="00A61464" w14:paraId="0EA1EE45"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485F34FB"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Asturias</w:t>
            </w:r>
          </w:p>
        </w:tc>
        <w:tc>
          <w:tcPr>
            <w:tcW w:w="1455" w:type="dxa"/>
            <w:tcBorders>
              <w:top w:val="nil"/>
              <w:left w:val="nil"/>
              <w:bottom w:val="single" w:sz="8" w:space="0" w:color="2E74B5"/>
              <w:right w:val="single" w:sz="8" w:space="0" w:color="2E74B5"/>
            </w:tcBorders>
            <w:shd w:val="clear" w:color="auto" w:fill="auto"/>
            <w:vAlign w:val="bottom"/>
          </w:tcPr>
          <w:p w14:paraId="07804E5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7,29 €</w:t>
            </w:r>
          </w:p>
        </w:tc>
        <w:tc>
          <w:tcPr>
            <w:tcW w:w="1380" w:type="dxa"/>
            <w:tcBorders>
              <w:top w:val="nil"/>
              <w:left w:val="nil"/>
              <w:bottom w:val="single" w:sz="8" w:space="0" w:color="2E74B5"/>
              <w:right w:val="single" w:sz="8" w:space="0" w:color="2E74B5"/>
            </w:tcBorders>
            <w:shd w:val="clear" w:color="auto" w:fill="auto"/>
            <w:vAlign w:val="bottom"/>
          </w:tcPr>
          <w:p w14:paraId="604B082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8,07 €</w:t>
            </w:r>
          </w:p>
        </w:tc>
        <w:tc>
          <w:tcPr>
            <w:tcW w:w="1425" w:type="dxa"/>
            <w:tcBorders>
              <w:top w:val="nil"/>
              <w:left w:val="nil"/>
              <w:bottom w:val="single" w:sz="8" w:space="0" w:color="2E74B5"/>
              <w:right w:val="single" w:sz="8" w:space="0" w:color="2E74B5"/>
            </w:tcBorders>
            <w:shd w:val="clear" w:color="auto" w:fill="auto"/>
            <w:vAlign w:val="bottom"/>
          </w:tcPr>
          <w:p w14:paraId="3985574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9,37 €</w:t>
            </w:r>
          </w:p>
        </w:tc>
        <w:tc>
          <w:tcPr>
            <w:tcW w:w="1275" w:type="dxa"/>
            <w:tcBorders>
              <w:top w:val="single" w:sz="8" w:space="0" w:color="2E74B5"/>
              <w:left w:val="nil"/>
              <w:bottom w:val="single" w:sz="8" w:space="0" w:color="2E74B5"/>
              <w:right w:val="single" w:sz="8" w:space="0" w:color="2E74B5"/>
            </w:tcBorders>
            <w:vAlign w:val="bottom"/>
          </w:tcPr>
          <w:p w14:paraId="4B7209B9"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10,63 €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70EBCA4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45,8%</w:t>
            </w:r>
          </w:p>
        </w:tc>
        <w:tc>
          <w:tcPr>
            <w:tcW w:w="1140" w:type="dxa"/>
            <w:tcBorders>
              <w:top w:val="nil"/>
              <w:left w:val="nil"/>
              <w:bottom w:val="single" w:sz="8" w:space="0" w:color="2E74B5"/>
              <w:right w:val="single" w:sz="8" w:space="0" w:color="2E74B5"/>
            </w:tcBorders>
            <w:shd w:val="clear" w:color="auto" w:fill="auto"/>
            <w:vAlign w:val="bottom"/>
          </w:tcPr>
          <w:p w14:paraId="20BB2DD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31,7%</w:t>
            </w:r>
          </w:p>
        </w:tc>
        <w:tc>
          <w:tcPr>
            <w:tcW w:w="930" w:type="dxa"/>
            <w:tcBorders>
              <w:top w:val="nil"/>
              <w:left w:val="nil"/>
              <w:bottom w:val="single" w:sz="8" w:space="0" w:color="2E74B5"/>
              <w:right w:val="single" w:sz="8" w:space="0" w:color="2E74B5"/>
            </w:tcBorders>
            <w:vAlign w:val="bottom"/>
          </w:tcPr>
          <w:p w14:paraId="47D9EE90"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000000"/>
                <w:sz w:val="18"/>
                <w:szCs w:val="18"/>
              </w:rPr>
              <w:t>13,4%</w:t>
            </w:r>
          </w:p>
        </w:tc>
      </w:tr>
      <w:tr w:rsidR="00A61464" w14:paraId="32BD0541"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53E8C61"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Baleares</w:t>
            </w:r>
          </w:p>
        </w:tc>
        <w:tc>
          <w:tcPr>
            <w:tcW w:w="1455" w:type="dxa"/>
            <w:tcBorders>
              <w:top w:val="nil"/>
              <w:left w:val="nil"/>
              <w:bottom w:val="single" w:sz="8" w:space="0" w:color="2E74B5"/>
              <w:right w:val="single" w:sz="8" w:space="0" w:color="2E74B5"/>
            </w:tcBorders>
            <w:shd w:val="clear" w:color="auto" w:fill="auto"/>
            <w:vAlign w:val="bottom"/>
          </w:tcPr>
          <w:p w14:paraId="7B9C51BB"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12,19 €</w:t>
            </w:r>
          </w:p>
        </w:tc>
        <w:tc>
          <w:tcPr>
            <w:tcW w:w="1380" w:type="dxa"/>
            <w:tcBorders>
              <w:top w:val="nil"/>
              <w:left w:val="nil"/>
              <w:bottom w:val="single" w:sz="8" w:space="0" w:color="2E74B5"/>
              <w:right w:val="single" w:sz="8" w:space="0" w:color="2E74B5"/>
            </w:tcBorders>
            <w:shd w:val="clear" w:color="auto" w:fill="auto"/>
            <w:vAlign w:val="bottom"/>
          </w:tcPr>
          <w:p w14:paraId="36F873B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11,98 €</w:t>
            </w:r>
          </w:p>
        </w:tc>
        <w:tc>
          <w:tcPr>
            <w:tcW w:w="1425" w:type="dxa"/>
            <w:tcBorders>
              <w:top w:val="nil"/>
              <w:left w:val="nil"/>
              <w:bottom w:val="single" w:sz="8" w:space="0" w:color="2E74B5"/>
              <w:right w:val="single" w:sz="8" w:space="0" w:color="2E74B5"/>
            </w:tcBorders>
            <w:shd w:val="clear" w:color="auto" w:fill="auto"/>
            <w:vAlign w:val="bottom"/>
          </w:tcPr>
          <w:p w14:paraId="747CD66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16,90 €</w:t>
            </w:r>
          </w:p>
        </w:tc>
        <w:tc>
          <w:tcPr>
            <w:tcW w:w="1275" w:type="dxa"/>
            <w:tcBorders>
              <w:top w:val="single" w:sz="8" w:space="0" w:color="2E74B5"/>
              <w:left w:val="nil"/>
              <w:bottom w:val="single" w:sz="8" w:space="0" w:color="2E74B5"/>
              <w:right w:val="single" w:sz="8" w:space="0" w:color="2E74B5"/>
            </w:tcBorders>
            <w:vAlign w:val="bottom"/>
          </w:tcPr>
          <w:p w14:paraId="743AF959"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17,45 €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157CBEF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43,2%</w:t>
            </w:r>
          </w:p>
        </w:tc>
        <w:tc>
          <w:tcPr>
            <w:tcW w:w="1140" w:type="dxa"/>
            <w:tcBorders>
              <w:top w:val="nil"/>
              <w:left w:val="nil"/>
              <w:bottom w:val="single" w:sz="8" w:space="0" w:color="2E74B5"/>
              <w:right w:val="single" w:sz="8" w:space="0" w:color="2E74B5"/>
            </w:tcBorders>
            <w:shd w:val="clear" w:color="auto" w:fill="auto"/>
            <w:vAlign w:val="bottom"/>
          </w:tcPr>
          <w:p w14:paraId="6DB62E3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45,7%</w:t>
            </w:r>
          </w:p>
        </w:tc>
        <w:tc>
          <w:tcPr>
            <w:tcW w:w="930" w:type="dxa"/>
            <w:tcBorders>
              <w:top w:val="nil"/>
              <w:left w:val="nil"/>
              <w:bottom w:val="single" w:sz="8" w:space="0" w:color="2E74B5"/>
              <w:right w:val="single" w:sz="8" w:space="0" w:color="2E74B5"/>
            </w:tcBorders>
            <w:vAlign w:val="bottom"/>
          </w:tcPr>
          <w:p w14:paraId="0118E2A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3,3%</w:t>
            </w:r>
          </w:p>
        </w:tc>
      </w:tr>
      <w:tr w:rsidR="00A61464" w14:paraId="6E0440BA"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187F5281"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Canarias</w:t>
            </w:r>
          </w:p>
        </w:tc>
        <w:tc>
          <w:tcPr>
            <w:tcW w:w="1455" w:type="dxa"/>
            <w:tcBorders>
              <w:top w:val="nil"/>
              <w:left w:val="nil"/>
              <w:bottom w:val="single" w:sz="8" w:space="0" w:color="2E74B5"/>
              <w:right w:val="single" w:sz="8" w:space="0" w:color="2E74B5"/>
            </w:tcBorders>
            <w:shd w:val="clear" w:color="auto" w:fill="auto"/>
            <w:vAlign w:val="bottom"/>
          </w:tcPr>
          <w:p w14:paraId="678CCD3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9,74 €</w:t>
            </w:r>
          </w:p>
        </w:tc>
        <w:tc>
          <w:tcPr>
            <w:tcW w:w="1380" w:type="dxa"/>
            <w:tcBorders>
              <w:top w:val="nil"/>
              <w:left w:val="nil"/>
              <w:bottom w:val="single" w:sz="8" w:space="0" w:color="2E74B5"/>
              <w:right w:val="single" w:sz="8" w:space="0" w:color="2E74B5"/>
            </w:tcBorders>
            <w:shd w:val="clear" w:color="auto" w:fill="auto"/>
            <w:vAlign w:val="bottom"/>
          </w:tcPr>
          <w:p w14:paraId="1FA93E2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9,63 €</w:t>
            </w:r>
          </w:p>
        </w:tc>
        <w:tc>
          <w:tcPr>
            <w:tcW w:w="1425" w:type="dxa"/>
            <w:tcBorders>
              <w:top w:val="nil"/>
              <w:left w:val="nil"/>
              <w:bottom w:val="single" w:sz="8" w:space="0" w:color="2E74B5"/>
              <w:right w:val="single" w:sz="8" w:space="0" w:color="2E74B5"/>
            </w:tcBorders>
            <w:shd w:val="clear" w:color="auto" w:fill="auto"/>
            <w:vAlign w:val="bottom"/>
          </w:tcPr>
          <w:p w14:paraId="3AC198A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12,79 €</w:t>
            </w:r>
          </w:p>
        </w:tc>
        <w:tc>
          <w:tcPr>
            <w:tcW w:w="1275" w:type="dxa"/>
            <w:tcBorders>
              <w:top w:val="single" w:sz="8" w:space="0" w:color="2E74B5"/>
              <w:left w:val="nil"/>
              <w:bottom w:val="single" w:sz="8" w:space="0" w:color="2E74B5"/>
              <w:right w:val="single" w:sz="8" w:space="0" w:color="2E74B5"/>
            </w:tcBorders>
            <w:vAlign w:val="bottom"/>
          </w:tcPr>
          <w:p w14:paraId="3009697A"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13,50 €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7420330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38,6%</w:t>
            </w:r>
          </w:p>
        </w:tc>
        <w:tc>
          <w:tcPr>
            <w:tcW w:w="1140" w:type="dxa"/>
            <w:tcBorders>
              <w:top w:val="nil"/>
              <w:left w:val="nil"/>
              <w:bottom w:val="single" w:sz="8" w:space="0" w:color="2E74B5"/>
              <w:right w:val="single" w:sz="8" w:space="0" w:color="2E74B5"/>
            </w:tcBorders>
            <w:shd w:val="clear" w:color="auto" w:fill="auto"/>
            <w:vAlign w:val="bottom"/>
          </w:tcPr>
          <w:p w14:paraId="1251845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40,2%</w:t>
            </w:r>
          </w:p>
        </w:tc>
        <w:tc>
          <w:tcPr>
            <w:tcW w:w="930" w:type="dxa"/>
            <w:tcBorders>
              <w:top w:val="nil"/>
              <w:left w:val="nil"/>
              <w:bottom w:val="single" w:sz="8" w:space="0" w:color="2E74B5"/>
              <w:right w:val="single" w:sz="8" w:space="0" w:color="2E74B5"/>
            </w:tcBorders>
            <w:vAlign w:val="bottom"/>
          </w:tcPr>
          <w:p w14:paraId="5C4F6C8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5,6%</w:t>
            </w:r>
          </w:p>
        </w:tc>
      </w:tr>
      <w:tr w:rsidR="00A61464" w14:paraId="7D606DBC"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343401CD"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Cantabria</w:t>
            </w:r>
          </w:p>
        </w:tc>
        <w:tc>
          <w:tcPr>
            <w:tcW w:w="1455" w:type="dxa"/>
            <w:tcBorders>
              <w:top w:val="nil"/>
              <w:left w:val="nil"/>
              <w:bottom w:val="single" w:sz="8" w:space="0" w:color="2E74B5"/>
              <w:right w:val="single" w:sz="8" w:space="0" w:color="2E74B5"/>
            </w:tcBorders>
            <w:shd w:val="clear" w:color="auto" w:fill="auto"/>
            <w:vAlign w:val="bottom"/>
          </w:tcPr>
          <w:p w14:paraId="4A35F46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8,29 €</w:t>
            </w:r>
          </w:p>
        </w:tc>
        <w:tc>
          <w:tcPr>
            <w:tcW w:w="1380" w:type="dxa"/>
            <w:tcBorders>
              <w:top w:val="nil"/>
              <w:left w:val="nil"/>
              <w:bottom w:val="single" w:sz="8" w:space="0" w:color="2E74B5"/>
              <w:right w:val="single" w:sz="8" w:space="0" w:color="2E74B5"/>
            </w:tcBorders>
            <w:shd w:val="clear" w:color="auto" w:fill="auto"/>
            <w:vAlign w:val="bottom"/>
          </w:tcPr>
          <w:p w14:paraId="12EE18F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9,06 €</w:t>
            </w:r>
          </w:p>
        </w:tc>
        <w:tc>
          <w:tcPr>
            <w:tcW w:w="1425" w:type="dxa"/>
            <w:tcBorders>
              <w:top w:val="nil"/>
              <w:left w:val="nil"/>
              <w:bottom w:val="single" w:sz="8" w:space="0" w:color="2E74B5"/>
              <w:right w:val="single" w:sz="8" w:space="0" w:color="2E74B5"/>
            </w:tcBorders>
            <w:shd w:val="clear" w:color="auto" w:fill="auto"/>
            <w:vAlign w:val="bottom"/>
          </w:tcPr>
          <w:p w14:paraId="533FA34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11,71 €</w:t>
            </w:r>
          </w:p>
        </w:tc>
        <w:tc>
          <w:tcPr>
            <w:tcW w:w="1275" w:type="dxa"/>
            <w:tcBorders>
              <w:top w:val="single" w:sz="8" w:space="0" w:color="2E74B5"/>
              <w:left w:val="nil"/>
              <w:bottom w:val="single" w:sz="8" w:space="0" w:color="2E74B5"/>
              <w:right w:val="single" w:sz="8" w:space="0" w:color="2E74B5"/>
            </w:tcBorders>
            <w:vAlign w:val="bottom"/>
          </w:tcPr>
          <w:p w14:paraId="4B66B5F3"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11,35 €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3E5F141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36,9%</w:t>
            </w:r>
          </w:p>
        </w:tc>
        <w:tc>
          <w:tcPr>
            <w:tcW w:w="1140" w:type="dxa"/>
            <w:tcBorders>
              <w:top w:val="nil"/>
              <w:left w:val="nil"/>
              <w:bottom w:val="single" w:sz="8" w:space="0" w:color="2E74B5"/>
              <w:right w:val="single" w:sz="8" w:space="0" w:color="2E74B5"/>
            </w:tcBorders>
            <w:shd w:val="clear" w:color="auto" w:fill="auto"/>
            <w:vAlign w:val="bottom"/>
          </w:tcPr>
          <w:p w14:paraId="609307B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25,3%</w:t>
            </w:r>
          </w:p>
        </w:tc>
        <w:tc>
          <w:tcPr>
            <w:tcW w:w="930" w:type="dxa"/>
            <w:tcBorders>
              <w:top w:val="nil"/>
              <w:left w:val="nil"/>
              <w:bottom w:val="single" w:sz="8" w:space="0" w:color="2E74B5"/>
              <w:right w:val="single" w:sz="8" w:space="0" w:color="2E74B5"/>
            </w:tcBorders>
            <w:vAlign w:val="bottom"/>
          </w:tcPr>
          <w:p w14:paraId="039B719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-3,1%</w:t>
            </w:r>
          </w:p>
        </w:tc>
      </w:tr>
      <w:tr w:rsidR="00A61464" w14:paraId="39BB12B3"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75ECFFC"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Castilla y León</w:t>
            </w:r>
          </w:p>
        </w:tc>
        <w:tc>
          <w:tcPr>
            <w:tcW w:w="1455" w:type="dxa"/>
            <w:tcBorders>
              <w:top w:val="nil"/>
              <w:left w:val="nil"/>
              <w:bottom w:val="single" w:sz="8" w:space="0" w:color="2E74B5"/>
              <w:right w:val="single" w:sz="8" w:space="0" w:color="2E74B5"/>
            </w:tcBorders>
            <w:shd w:val="clear" w:color="auto" w:fill="auto"/>
            <w:vAlign w:val="bottom"/>
          </w:tcPr>
          <w:p w14:paraId="0B5DFF2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6,62 €</w:t>
            </w:r>
          </w:p>
        </w:tc>
        <w:tc>
          <w:tcPr>
            <w:tcW w:w="1380" w:type="dxa"/>
            <w:tcBorders>
              <w:top w:val="nil"/>
              <w:left w:val="nil"/>
              <w:bottom w:val="single" w:sz="8" w:space="0" w:color="2E74B5"/>
              <w:right w:val="single" w:sz="8" w:space="0" w:color="2E74B5"/>
            </w:tcBorders>
            <w:shd w:val="clear" w:color="auto" w:fill="auto"/>
            <w:vAlign w:val="bottom"/>
          </w:tcPr>
          <w:p w14:paraId="3011E70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7,33 €</w:t>
            </w:r>
          </w:p>
        </w:tc>
        <w:tc>
          <w:tcPr>
            <w:tcW w:w="1425" w:type="dxa"/>
            <w:tcBorders>
              <w:top w:val="nil"/>
              <w:left w:val="nil"/>
              <w:bottom w:val="single" w:sz="8" w:space="0" w:color="2E74B5"/>
              <w:right w:val="single" w:sz="8" w:space="0" w:color="2E74B5"/>
            </w:tcBorders>
            <w:shd w:val="clear" w:color="auto" w:fill="auto"/>
            <w:vAlign w:val="bottom"/>
          </w:tcPr>
          <w:p w14:paraId="39D83D4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8,61 €</w:t>
            </w:r>
          </w:p>
        </w:tc>
        <w:tc>
          <w:tcPr>
            <w:tcW w:w="1275" w:type="dxa"/>
            <w:tcBorders>
              <w:top w:val="single" w:sz="8" w:space="0" w:color="2E74B5"/>
              <w:left w:val="nil"/>
              <w:bottom w:val="single" w:sz="8" w:space="0" w:color="2E74B5"/>
              <w:right w:val="single" w:sz="8" w:space="0" w:color="2E74B5"/>
            </w:tcBorders>
            <w:vAlign w:val="bottom"/>
          </w:tcPr>
          <w:p w14:paraId="37B28DF4"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9,13 €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57FC8AF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37,9%</w:t>
            </w:r>
          </w:p>
        </w:tc>
        <w:tc>
          <w:tcPr>
            <w:tcW w:w="1140" w:type="dxa"/>
            <w:tcBorders>
              <w:top w:val="nil"/>
              <w:left w:val="nil"/>
              <w:bottom w:val="single" w:sz="8" w:space="0" w:color="2E74B5"/>
              <w:right w:val="single" w:sz="8" w:space="0" w:color="2E74B5"/>
            </w:tcBorders>
            <w:shd w:val="clear" w:color="auto" w:fill="auto"/>
            <w:vAlign w:val="bottom"/>
          </w:tcPr>
          <w:p w14:paraId="0E6C81A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24,6%</w:t>
            </w:r>
          </w:p>
        </w:tc>
        <w:tc>
          <w:tcPr>
            <w:tcW w:w="930" w:type="dxa"/>
            <w:tcBorders>
              <w:top w:val="nil"/>
              <w:left w:val="nil"/>
              <w:bottom w:val="single" w:sz="8" w:space="0" w:color="2E74B5"/>
              <w:right w:val="single" w:sz="8" w:space="0" w:color="2E74B5"/>
            </w:tcBorders>
            <w:vAlign w:val="bottom"/>
          </w:tcPr>
          <w:p w14:paraId="73B6753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6,0%</w:t>
            </w:r>
          </w:p>
        </w:tc>
      </w:tr>
      <w:tr w:rsidR="00A61464" w14:paraId="0F77CE08"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58C9298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Castilla-La Mancha</w:t>
            </w:r>
          </w:p>
        </w:tc>
        <w:tc>
          <w:tcPr>
            <w:tcW w:w="1455" w:type="dxa"/>
            <w:tcBorders>
              <w:top w:val="nil"/>
              <w:left w:val="nil"/>
              <w:bottom w:val="single" w:sz="8" w:space="0" w:color="2E74B5"/>
              <w:right w:val="single" w:sz="8" w:space="0" w:color="2E74B5"/>
            </w:tcBorders>
            <w:shd w:val="clear" w:color="auto" w:fill="auto"/>
            <w:vAlign w:val="bottom"/>
          </w:tcPr>
          <w:p w14:paraId="384B0B5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5,46 €</w:t>
            </w:r>
          </w:p>
        </w:tc>
        <w:tc>
          <w:tcPr>
            <w:tcW w:w="1380" w:type="dxa"/>
            <w:tcBorders>
              <w:top w:val="nil"/>
              <w:left w:val="nil"/>
              <w:bottom w:val="single" w:sz="8" w:space="0" w:color="2E74B5"/>
              <w:right w:val="single" w:sz="8" w:space="0" w:color="2E74B5"/>
            </w:tcBorders>
            <w:shd w:val="clear" w:color="auto" w:fill="auto"/>
            <w:vAlign w:val="bottom"/>
          </w:tcPr>
          <w:p w14:paraId="31FEE6A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5,85 €</w:t>
            </w:r>
          </w:p>
        </w:tc>
        <w:tc>
          <w:tcPr>
            <w:tcW w:w="1425" w:type="dxa"/>
            <w:tcBorders>
              <w:top w:val="nil"/>
              <w:left w:val="nil"/>
              <w:bottom w:val="single" w:sz="8" w:space="0" w:color="2E74B5"/>
              <w:right w:val="single" w:sz="8" w:space="0" w:color="2E74B5"/>
            </w:tcBorders>
            <w:shd w:val="clear" w:color="auto" w:fill="auto"/>
            <w:vAlign w:val="bottom"/>
          </w:tcPr>
          <w:p w14:paraId="1AE2F9D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6,28 €</w:t>
            </w:r>
          </w:p>
        </w:tc>
        <w:tc>
          <w:tcPr>
            <w:tcW w:w="1275" w:type="dxa"/>
            <w:tcBorders>
              <w:top w:val="single" w:sz="8" w:space="0" w:color="2E74B5"/>
              <w:left w:val="nil"/>
              <w:bottom w:val="single" w:sz="8" w:space="0" w:color="2E74B5"/>
              <w:right w:val="single" w:sz="8" w:space="0" w:color="2E74B5"/>
            </w:tcBorders>
            <w:vAlign w:val="bottom"/>
          </w:tcPr>
          <w:p w14:paraId="1097AC43"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7,26 €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25B8432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33,0%</w:t>
            </w:r>
          </w:p>
        </w:tc>
        <w:tc>
          <w:tcPr>
            <w:tcW w:w="1140" w:type="dxa"/>
            <w:tcBorders>
              <w:top w:val="nil"/>
              <w:left w:val="nil"/>
              <w:bottom w:val="single" w:sz="8" w:space="0" w:color="2E74B5"/>
              <w:right w:val="single" w:sz="8" w:space="0" w:color="2E74B5"/>
            </w:tcBorders>
            <w:shd w:val="clear" w:color="auto" w:fill="auto"/>
            <w:vAlign w:val="bottom"/>
          </w:tcPr>
          <w:p w14:paraId="28F6286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24,1%</w:t>
            </w:r>
          </w:p>
        </w:tc>
        <w:tc>
          <w:tcPr>
            <w:tcW w:w="930" w:type="dxa"/>
            <w:tcBorders>
              <w:top w:val="nil"/>
              <w:left w:val="nil"/>
              <w:bottom w:val="single" w:sz="8" w:space="0" w:color="2E74B5"/>
              <w:right w:val="single" w:sz="8" w:space="0" w:color="2E74B5"/>
            </w:tcBorders>
            <w:vAlign w:val="bottom"/>
          </w:tcPr>
          <w:p w14:paraId="0679F34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15,6%</w:t>
            </w:r>
          </w:p>
        </w:tc>
      </w:tr>
      <w:tr w:rsidR="00A61464" w14:paraId="3413DFF6"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0227C275"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Cataluña</w:t>
            </w:r>
          </w:p>
        </w:tc>
        <w:tc>
          <w:tcPr>
            <w:tcW w:w="1455" w:type="dxa"/>
            <w:tcBorders>
              <w:top w:val="nil"/>
              <w:left w:val="nil"/>
              <w:bottom w:val="single" w:sz="8" w:space="0" w:color="2E74B5"/>
              <w:right w:val="single" w:sz="8" w:space="0" w:color="2E74B5"/>
            </w:tcBorders>
            <w:shd w:val="clear" w:color="auto" w:fill="auto"/>
            <w:vAlign w:val="bottom"/>
          </w:tcPr>
          <w:p w14:paraId="4A5BA2C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14,14 €</w:t>
            </w:r>
          </w:p>
        </w:tc>
        <w:tc>
          <w:tcPr>
            <w:tcW w:w="1380" w:type="dxa"/>
            <w:tcBorders>
              <w:top w:val="nil"/>
              <w:left w:val="nil"/>
              <w:bottom w:val="single" w:sz="8" w:space="0" w:color="2E74B5"/>
              <w:right w:val="single" w:sz="8" w:space="0" w:color="2E74B5"/>
            </w:tcBorders>
            <w:shd w:val="clear" w:color="auto" w:fill="auto"/>
            <w:vAlign w:val="bottom"/>
          </w:tcPr>
          <w:p w14:paraId="388150F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14,06 €</w:t>
            </w:r>
          </w:p>
        </w:tc>
        <w:tc>
          <w:tcPr>
            <w:tcW w:w="1425" w:type="dxa"/>
            <w:tcBorders>
              <w:top w:val="nil"/>
              <w:left w:val="nil"/>
              <w:bottom w:val="single" w:sz="8" w:space="0" w:color="2E74B5"/>
              <w:right w:val="single" w:sz="8" w:space="0" w:color="2E74B5"/>
            </w:tcBorders>
            <w:shd w:val="clear" w:color="auto" w:fill="auto"/>
            <w:vAlign w:val="bottom"/>
          </w:tcPr>
          <w:p w14:paraId="540BF0F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15,95 €</w:t>
            </w:r>
          </w:p>
        </w:tc>
        <w:tc>
          <w:tcPr>
            <w:tcW w:w="1275" w:type="dxa"/>
            <w:tcBorders>
              <w:top w:val="single" w:sz="8" w:space="0" w:color="2E74B5"/>
              <w:left w:val="nil"/>
              <w:bottom w:val="single" w:sz="8" w:space="0" w:color="2E74B5"/>
              <w:right w:val="single" w:sz="8" w:space="0" w:color="2E74B5"/>
            </w:tcBorders>
            <w:vAlign w:val="bottom"/>
          </w:tcPr>
          <w:p w14:paraId="692725E4"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17,95 €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1DE57B9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26,9%</w:t>
            </w:r>
          </w:p>
        </w:tc>
        <w:tc>
          <w:tcPr>
            <w:tcW w:w="1140" w:type="dxa"/>
            <w:tcBorders>
              <w:top w:val="nil"/>
              <w:left w:val="nil"/>
              <w:bottom w:val="single" w:sz="8" w:space="0" w:color="2E74B5"/>
              <w:right w:val="single" w:sz="8" w:space="0" w:color="2E74B5"/>
            </w:tcBorders>
            <w:shd w:val="clear" w:color="auto" w:fill="auto"/>
            <w:vAlign w:val="bottom"/>
          </w:tcPr>
          <w:p w14:paraId="07C30894"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27,7%</w:t>
            </w:r>
          </w:p>
        </w:tc>
        <w:tc>
          <w:tcPr>
            <w:tcW w:w="930" w:type="dxa"/>
            <w:tcBorders>
              <w:top w:val="nil"/>
              <w:left w:val="nil"/>
              <w:bottom w:val="single" w:sz="8" w:space="0" w:color="2E74B5"/>
              <w:right w:val="single" w:sz="8" w:space="0" w:color="2E74B5"/>
            </w:tcBorders>
            <w:vAlign w:val="bottom"/>
          </w:tcPr>
          <w:p w14:paraId="602CDC7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12,5%</w:t>
            </w:r>
          </w:p>
        </w:tc>
      </w:tr>
      <w:tr w:rsidR="00A61464" w14:paraId="79CAD9F1" w14:textId="77777777">
        <w:trPr>
          <w:trHeight w:val="231"/>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983A273"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Comunidad Valenciana</w:t>
            </w:r>
          </w:p>
        </w:tc>
        <w:tc>
          <w:tcPr>
            <w:tcW w:w="1455" w:type="dxa"/>
            <w:tcBorders>
              <w:top w:val="nil"/>
              <w:left w:val="nil"/>
              <w:bottom w:val="single" w:sz="8" w:space="0" w:color="2E74B5"/>
              <w:right w:val="single" w:sz="8" w:space="0" w:color="2E74B5"/>
            </w:tcBorders>
            <w:shd w:val="clear" w:color="auto" w:fill="auto"/>
            <w:vAlign w:val="bottom"/>
          </w:tcPr>
          <w:p w14:paraId="49FC1DE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8,03 €</w:t>
            </w:r>
          </w:p>
        </w:tc>
        <w:tc>
          <w:tcPr>
            <w:tcW w:w="1380" w:type="dxa"/>
            <w:tcBorders>
              <w:top w:val="nil"/>
              <w:left w:val="nil"/>
              <w:bottom w:val="single" w:sz="8" w:space="0" w:color="2E74B5"/>
              <w:right w:val="single" w:sz="8" w:space="0" w:color="2E74B5"/>
            </w:tcBorders>
            <w:shd w:val="clear" w:color="auto" w:fill="auto"/>
            <w:vAlign w:val="bottom"/>
          </w:tcPr>
          <w:p w14:paraId="6814C23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8,75 €</w:t>
            </w:r>
          </w:p>
        </w:tc>
        <w:tc>
          <w:tcPr>
            <w:tcW w:w="1425" w:type="dxa"/>
            <w:tcBorders>
              <w:top w:val="nil"/>
              <w:left w:val="nil"/>
              <w:bottom w:val="single" w:sz="8" w:space="0" w:color="2E74B5"/>
              <w:right w:val="single" w:sz="8" w:space="0" w:color="2E74B5"/>
            </w:tcBorders>
            <w:shd w:val="clear" w:color="auto" w:fill="auto"/>
            <w:vAlign w:val="bottom"/>
          </w:tcPr>
          <w:p w14:paraId="7F6BD63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11,60 €</w:t>
            </w:r>
          </w:p>
        </w:tc>
        <w:tc>
          <w:tcPr>
            <w:tcW w:w="1275" w:type="dxa"/>
            <w:tcBorders>
              <w:top w:val="single" w:sz="8" w:space="0" w:color="2E74B5"/>
              <w:left w:val="nil"/>
              <w:bottom w:val="single" w:sz="8" w:space="0" w:color="2E74B5"/>
              <w:right w:val="single" w:sz="8" w:space="0" w:color="2E74B5"/>
            </w:tcBorders>
            <w:vAlign w:val="bottom"/>
          </w:tcPr>
          <w:p w14:paraId="670660E2"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12,79 €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7ABFBB0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59,3%</w:t>
            </w:r>
          </w:p>
        </w:tc>
        <w:tc>
          <w:tcPr>
            <w:tcW w:w="1140" w:type="dxa"/>
            <w:tcBorders>
              <w:top w:val="nil"/>
              <w:left w:val="nil"/>
              <w:bottom w:val="single" w:sz="8" w:space="0" w:color="2E74B5"/>
              <w:right w:val="single" w:sz="8" w:space="0" w:color="2E74B5"/>
            </w:tcBorders>
            <w:shd w:val="clear" w:color="auto" w:fill="auto"/>
            <w:vAlign w:val="bottom"/>
          </w:tcPr>
          <w:p w14:paraId="28760DB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46,2%</w:t>
            </w:r>
          </w:p>
        </w:tc>
        <w:tc>
          <w:tcPr>
            <w:tcW w:w="930" w:type="dxa"/>
            <w:tcBorders>
              <w:top w:val="nil"/>
              <w:left w:val="nil"/>
              <w:bottom w:val="single" w:sz="8" w:space="0" w:color="2E74B5"/>
              <w:right w:val="single" w:sz="8" w:space="0" w:color="2E74B5"/>
            </w:tcBorders>
            <w:vAlign w:val="bottom"/>
          </w:tcPr>
          <w:p w14:paraId="53F85B1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10,3%</w:t>
            </w:r>
          </w:p>
        </w:tc>
      </w:tr>
      <w:tr w:rsidR="00A61464" w14:paraId="7D492915"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617DDEC"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Extremadura</w:t>
            </w:r>
          </w:p>
        </w:tc>
        <w:tc>
          <w:tcPr>
            <w:tcW w:w="1455" w:type="dxa"/>
            <w:tcBorders>
              <w:top w:val="nil"/>
              <w:left w:val="nil"/>
              <w:bottom w:val="single" w:sz="8" w:space="0" w:color="2E74B5"/>
              <w:right w:val="single" w:sz="8" w:space="0" w:color="2E74B5"/>
            </w:tcBorders>
            <w:shd w:val="clear" w:color="auto" w:fill="auto"/>
            <w:vAlign w:val="bottom"/>
          </w:tcPr>
          <w:p w14:paraId="0CA98BD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4,92 €</w:t>
            </w:r>
          </w:p>
        </w:tc>
        <w:tc>
          <w:tcPr>
            <w:tcW w:w="1380" w:type="dxa"/>
            <w:tcBorders>
              <w:top w:val="nil"/>
              <w:left w:val="nil"/>
              <w:bottom w:val="single" w:sz="8" w:space="0" w:color="2E74B5"/>
              <w:right w:val="single" w:sz="8" w:space="0" w:color="2E74B5"/>
            </w:tcBorders>
            <w:shd w:val="clear" w:color="auto" w:fill="auto"/>
            <w:vAlign w:val="bottom"/>
          </w:tcPr>
          <w:p w14:paraId="5F6585C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5,56 €</w:t>
            </w:r>
          </w:p>
        </w:tc>
        <w:tc>
          <w:tcPr>
            <w:tcW w:w="1425" w:type="dxa"/>
            <w:tcBorders>
              <w:top w:val="nil"/>
              <w:left w:val="nil"/>
              <w:bottom w:val="single" w:sz="8" w:space="0" w:color="2E74B5"/>
              <w:right w:val="single" w:sz="8" w:space="0" w:color="2E74B5"/>
            </w:tcBorders>
            <w:shd w:val="clear" w:color="auto" w:fill="auto"/>
            <w:vAlign w:val="bottom"/>
          </w:tcPr>
          <w:p w14:paraId="54C8F2C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6,30 €</w:t>
            </w:r>
          </w:p>
        </w:tc>
        <w:tc>
          <w:tcPr>
            <w:tcW w:w="1275" w:type="dxa"/>
            <w:tcBorders>
              <w:top w:val="single" w:sz="8" w:space="0" w:color="2E74B5"/>
              <w:left w:val="nil"/>
              <w:bottom w:val="single" w:sz="8" w:space="0" w:color="2E74B5"/>
              <w:right w:val="single" w:sz="8" w:space="0" w:color="2E74B5"/>
            </w:tcBorders>
            <w:vAlign w:val="bottom"/>
          </w:tcPr>
          <w:p w14:paraId="3C15FEC7"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6,82 €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32DBED4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38,6%</w:t>
            </w:r>
          </w:p>
        </w:tc>
        <w:tc>
          <w:tcPr>
            <w:tcW w:w="1140" w:type="dxa"/>
            <w:tcBorders>
              <w:top w:val="nil"/>
              <w:left w:val="nil"/>
              <w:bottom w:val="single" w:sz="8" w:space="0" w:color="2E74B5"/>
              <w:right w:val="single" w:sz="8" w:space="0" w:color="2E74B5"/>
            </w:tcBorders>
            <w:shd w:val="clear" w:color="auto" w:fill="auto"/>
            <w:vAlign w:val="bottom"/>
          </w:tcPr>
          <w:p w14:paraId="3A29FC6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22,7%</w:t>
            </w:r>
          </w:p>
        </w:tc>
        <w:tc>
          <w:tcPr>
            <w:tcW w:w="930" w:type="dxa"/>
            <w:tcBorders>
              <w:top w:val="nil"/>
              <w:left w:val="nil"/>
              <w:bottom w:val="single" w:sz="8" w:space="0" w:color="2E74B5"/>
              <w:right w:val="single" w:sz="8" w:space="0" w:color="2E74B5"/>
            </w:tcBorders>
            <w:vAlign w:val="bottom"/>
          </w:tcPr>
          <w:p w14:paraId="77C5E0A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8,3%</w:t>
            </w:r>
          </w:p>
        </w:tc>
      </w:tr>
      <w:tr w:rsidR="00A61464" w14:paraId="01599AB5"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7AB9FB8B"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Galicia</w:t>
            </w:r>
          </w:p>
        </w:tc>
        <w:tc>
          <w:tcPr>
            <w:tcW w:w="1455" w:type="dxa"/>
            <w:tcBorders>
              <w:top w:val="nil"/>
              <w:left w:val="nil"/>
              <w:bottom w:val="single" w:sz="8" w:space="0" w:color="2E74B5"/>
              <w:right w:val="single" w:sz="8" w:space="0" w:color="2E74B5"/>
            </w:tcBorders>
            <w:shd w:val="clear" w:color="auto" w:fill="auto"/>
            <w:vAlign w:val="bottom"/>
          </w:tcPr>
          <w:p w14:paraId="4BF3F98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6,75 €</w:t>
            </w:r>
          </w:p>
        </w:tc>
        <w:tc>
          <w:tcPr>
            <w:tcW w:w="1380" w:type="dxa"/>
            <w:tcBorders>
              <w:top w:val="nil"/>
              <w:left w:val="nil"/>
              <w:bottom w:val="single" w:sz="8" w:space="0" w:color="2E74B5"/>
              <w:right w:val="single" w:sz="8" w:space="0" w:color="2E74B5"/>
            </w:tcBorders>
            <w:shd w:val="clear" w:color="auto" w:fill="auto"/>
            <w:vAlign w:val="bottom"/>
          </w:tcPr>
          <w:p w14:paraId="69B7CD5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7,42 €</w:t>
            </w:r>
          </w:p>
        </w:tc>
        <w:tc>
          <w:tcPr>
            <w:tcW w:w="1425" w:type="dxa"/>
            <w:tcBorders>
              <w:top w:val="nil"/>
              <w:left w:val="nil"/>
              <w:bottom w:val="single" w:sz="8" w:space="0" w:color="2E74B5"/>
              <w:right w:val="single" w:sz="8" w:space="0" w:color="2E74B5"/>
            </w:tcBorders>
            <w:shd w:val="clear" w:color="auto" w:fill="auto"/>
            <w:vAlign w:val="bottom"/>
          </w:tcPr>
          <w:p w14:paraId="4B4E3A2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8,63 €</w:t>
            </w:r>
          </w:p>
        </w:tc>
        <w:tc>
          <w:tcPr>
            <w:tcW w:w="1275" w:type="dxa"/>
            <w:tcBorders>
              <w:top w:val="single" w:sz="8" w:space="0" w:color="2E74B5"/>
              <w:left w:val="nil"/>
              <w:bottom w:val="single" w:sz="8" w:space="0" w:color="2E74B5"/>
              <w:right w:val="single" w:sz="8" w:space="0" w:color="2E74B5"/>
            </w:tcBorders>
            <w:vAlign w:val="bottom"/>
          </w:tcPr>
          <w:p w14:paraId="1319F46A"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9,43 €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65C23ED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39,7%</w:t>
            </w:r>
          </w:p>
        </w:tc>
        <w:tc>
          <w:tcPr>
            <w:tcW w:w="1140" w:type="dxa"/>
            <w:tcBorders>
              <w:top w:val="nil"/>
              <w:left w:val="nil"/>
              <w:bottom w:val="single" w:sz="8" w:space="0" w:color="2E74B5"/>
              <w:right w:val="single" w:sz="8" w:space="0" w:color="2E74B5"/>
            </w:tcBorders>
            <w:shd w:val="clear" w:color="auto" w:fill="auto"/>
            <w:vAlign w:val="bottom"/>
          </w:tcPr>
          <w:p w14:paraId="67F221C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27,1%</w:t>
            </w:r>
          </w:p>
        </w:tc>
        <w:tc>
          <w:tcPr>
            <w:tcW w:w="930" w:type="dxa"/>
            <w:tcBorders>
              <w:top w:val="nil"/>
              <w:left w:val="nil"/>
              <w:bottom w:val="single" w:sz="8" w:space="0" w:color="2E74B5"/>
              <w:right w:val="single" w:sz="8" w:space="0" w:color="2E74B5"/>
            </w:tcBorders>
            <w:vAlign w:val="bottom"/>
          </w:tcPr>
          <w:p w14:paraId="4F0802A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9,3%</w:t>
            </w:r>
          </w:p>
        </w:tc>
      </w:tr>
      <w:tr w:rsidR="00A61464" w14:paraId="3CC331B7"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6590B86A"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La Rioja</w:t>
            </w:r>
          </w:p>
        </w:tc>
        <w:tc>
          <w:tcPr>
            <w:tcW w:w="1455" w:type="dxa"/>
            <w:tcBorders>
              <w:top w:val="nil"/>
              <w:left w:val="nil"/>
              <w:bottom w:val="single" w:sz="8" w:space="0" w:color="2E74B5"/>
              <w:right w:val="single" w:sz="8" w:space="0" w:color="2E74B5"/>
            </w:tcBorders>
            <w:shd w:val="clear" w:color="auto" w:fill="auto"/>
            <w:vAlign w:val="bottom"/>
          </w:tcPr>
          <w:p w14:paraId="7BFFB03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6,54 €</w:t>
            </w:r>
          </w:p>
        </w:tc>
        <w:tc>
          <w:tcPr>
            <w:tcW w:w="1380" w:type="dxa"/>
            <w:tcBorders>
              <w:top w:val="nil"/>
              <w:left w:val="nil"/>
              <w:bottom w:val="single" w:sz="8" w:space="0" w:color="2E74B5"/>
              <w:right w:val="single" w:sz="8" w:space="0" w:color="2E74B5"/>
            </w:tcBorders>
            <w:shd w:val="clear" w:color="auto" w:fill="auto"/>
            <w:vAlign w:val="bottom"/>
          </w:tcPr>
          <w:p w14:paraId="1B18475C"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7,40 €</w:t>
            </w:r>
          </w:p>
        </w:tc>
        <w:tc>
          <w:tcPr>
            <w:tcW w:w="1425" w:type="dxa"/>
            <w:tcBorders>
              <w:top w:val="nil"/>
              <w:left w:val="nil"/>
              <w:bottom w:val="single" w:sz="8" w:space="0" w:color="2E74B5"/>
              <w:right w:val="single" w:sz="8" w:space="0" w:color="2E74B5"/>
            </w:tcBorders>
            <w:shd w:val="clear" w:color="auto" w:fill="auto"/>
            <w:vAlign w:val="bottom"/>
          </w:tcPr>
          <w:p w14:paraId="0D76675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8,17 €</w:t>
            </w:r>
          </w:p>
        </w:tc>
        <w:tc>
          <w:tcPr>
            <w:tcW w:w="1275" w:type="dxa"/>
            <w:tcBorders>
              <w:top w:val="single" w:sz="8" w:space="0" w:color="2E74B5"/>
              <w:left w:val="nil"/>
              <w:bottom w:val="single" w:sz="8" w:space="0" w:color="2E74B5"/>
              <w:right w:val="single" w:sz="8" w:space="0" w:color="2E74B5"/>
            </w:tcBorders>
            <w:vAlign w:val="bottom"/>
          </w:tcPr>
          <w:p w14:paraId="12685DEA"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9,18 €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48E7888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40,4%</w:t>
            </w:r>
          </w:p>
        </w:tc>
        <w:tc>
          <w:tcPr>
            <w:tcW w:w="1140" w:type="dxa"/>
            <w:tcBorders>
              <w:top w:val="nil"/>
              <w:left w:val="nil"/>
              <w:bottom w:val="single" w:sz="8" w:space="0" w:color="2E74B5"/>
              <w:right w:val="single" w:sz="8" w:space="0" w:color="2E74B5"/>
            </w:tcBorders>
            <w:shd w:val="clear" w:color="auto" w:fill="auto"/>
            <w:vAlign w:val="bottom"/>
          </w:tcPr>
          <w:p w14:paraId="756DE84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24,1%</w:t>
            </w:r>
          </w:p>
        </w:tc>
        <w:tc>
          <w:tcPr>
            <w:tcW w:w="930" w:type="dxa"/>
            <w:tcBorders>
              <w:top w:val="nil"/>
              <w:left w:val="nil"/>
              <w:bottom w:val="single" w:sz="8" w:space="0" w:color="2E74B5"/>
              <w:right w:val="single" w:sz="8" w:space="0" w:color="2E74B5"/>
            </w:tcBorders>
            <w:vAlign w:val="bottom"/>
          </w:tcPr>
          <w:p w14:paraId="1473E27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12,4%</w:t>
            </w:r>
          </w:p>
        </w:tc>
      </w:tr>
      <w:tr w:rsidR="00A61464" w14:paraId="1A06C223"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27570E73"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Madrid</w:t>
            </w:r>
          </w:p>
        </w:tc>
        <w:tc>
          <w:tcPr>
            <w:tcW w:w="1455" w:type="dxa"/>
            <w:tcBorders>
              <w:top w:val="nil"/>
              <w:left w:val="nil"/>
              <w:bottom w:val="single" w:sz="8" w:space="0" w:color="2E74B5"/>
              <w:right w:val="single" w:sz="8" w:space="0" w:color="2E74B5"/>
            </w:tcBorders>
            <w:shd w:val="clear" w:color="auto" w:fill="auto"/>
            <w:vAlign w:val="bottom"/>
          </w:tcPr>
          <w:p w14:paraId="51D22AD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14,86 €</w:t>
            </w:r>
          </w:p>
        </w:tc>
        <w:tc>
          <w:tcPr>
            <w:tcW w:w="1380" w:type="dxa"/>
            <w:tcBorders>
              <w:top w:val="nil"/>
              <w:left w:val="nil"/>
              <w:bottom w:val="single" w:sz="8" w:space="0" w:color="2E74B5"/>
              <w:right w:val="single" w:sz="8" w:space="0" w:color="2E74B5"/>
            </w:tcBorders>
            <w:shd w:val="clear" w:color="auto" w:fill="auto"/>
            <w:vAlign w:val="bottom"/>
          </w:tcPr>
          <w:p w14:paraId="06C35F5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13,62 €</w:t>
            </w:r>
          </w:p>
        </w:tc>
        <w:tc>
          <w:tcPr>
            <w:tcW w:w="1425" w:type="dxa"/>
            <w:tcBorders>
              <w:top w:val="nil"/>
              <w:left w:val="nil"/>
              <w:bottom w:val="single" w:sz="8" w:space="0" w:color="2E74B5"/>
              <w:right w:val="single" w:sz="8" w:space="0" w:color="2E74B5"/>
            </w:tcBorders>
            <w:shd w:val="clear" w:color="auto" w:fill="auto"/>
            <w:vAlign w:val="bottom"/>
          </w:tcPr>
          <w:p w14:paraId="102E4F0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17,38 €</w:t>
            </w:r>
          </w:p>
        </w:tc>
        <w:tc>
          <w:tcPr>
            <w:tcW w:w="1275" w:type="dxa"/>
            <w:tcBorders>
              <w:top w:val="single" w:sz="8" w:space="0" w:color="2E74B5"/>
              <w:left w:val="nil"/>
              <w:bottom w:val="single" w:sz="8" w:space="0" w:color="2E74B5"/>
              <w:right w:val="single" w:sz="8" w:space="0" w:color="2E74B5"/>
            </w:tcBorders>
            <w:vAlign w:val="bottom"/>
          </w:tcPr>
          <w:p w14:paraId="5B9A63A8"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20,62 €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4CEE130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38,8%</w:t>
            </w:r>
          </w:p>
        </w:tc>
        <w:tc>
          <w:tcPr>
            <w:tcW w:w="1140" w:type="dxa"/>
            <w:tcBorders>
              <w:top w:val="nil"/>
              <w:left w:val="nil"/>
              <w:bottom w:val="single" w:sz="8" w:space="0" w:color="2E74B5"/>
              <w:right w:val="single" w:sz="8" w:space="0" w:color="2E74B5"/>
            </w:tcBorders>
            <w:shd w:val="clear" w:color="auto" w:fill="auto"/>
            <w:vAlign w:val="bottom"/>
          </w:tcPr>
          <w:p w14:paraId="645BC13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51,4%</w:t>
            </w:r>
          </w:p>
        </w:tc>
        <w:tc>
          <w:tcPr>
            <w:tcW w:w="930" w:type="dxa"/>
            <w:tcBorders>
              <w:top w:val="nil"/>
              <w:left w:val="nil"/>
              <w:bottom w:val="single" w:sz="8" w:space="0" w:color="2E74B5"/>
              <w:right w:val="single" w:sz="8" w:space="0" w:color="2E74B5"/>
            </w:tcBorders>
            <w:vAlign w:val="bottom"/>
          </w:tcPr>
          <w:p w14:paraId="2F10292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18,6%</w:t>
            </w:r>
          </w:p>
        </w:tc>
      </w:tr>
      <w:tr w:rsidR="00A61464" w14:paraId="271E5E37"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105288D1"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Navarra</w:t>
            </w:r>
          </w:p>
        </w:tc>
        <w:tc>
          <w:tcPr>
            <w:tcW w:w="1455" w:type="dxa"/>
            <w:tcBorders>
              <w:top w:val="nil"/>
              <w:left w:val="nil"/>
              <w:bottom w:val="single" w:sz="8" w:space="0" w:color="2E74B5"/>
              <w:right w:val="single" w:sz="8" w:space="0" w:color="2E74B5"/>
            </w:tcBorders>
            <w:shd w:val="clear" w:color="auto" w:fill="auto"/>
            <w:vAlign w:val="bottom"/>
          </w:tcPr>
          <w:p w14:paraId="4957741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8,42 €</w:t>
            </w:r>
          </w:p>
        </w:tc>
        <w:tc>
          <w:tcPr>
            <w:tcW w:w="1380" w:type="dxa"/>
            <w:tcBorders>
              <w:top w:val="nil"/>
              <w:left w:val="nil"/>
              <w:bottom w:val="single" w:sz="8" w:space="0" w:color="2E74B5"/>
              <w:right w:val="single" w:sz="8" w:space="0" w:color="2E74B5"/>
            </w:tcBorders>
            <w:shd w:val="clear" w:color="auto" w:fill="auto"/>
            <w:vAlign w:val="bottom"/>
          </w:tcPr>
          <w:p w14:paraId="3B0CAE9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9,83 €</w:t>
            </w:r>
          </w:p>
        </w:tc>
        <w:tc>
          <w:tcPr>
            <w:tcW w:w="1425" w:type="dxa"/>
            <w:tcBorders>
              <w:top w:val="nil"/>
              <w:left w:val="nil"/>
              <w:bottom w:val="single" w:sz="8" w:space="0" w:color="2E74B5"/>
              <w:right w:val="single" w:sz="8" w:space="0" w:color="2E74B5"/>
            </w:tcBorders>
            <w:shd w:val="clear" w:color="auto" w:fill="auto"/>
            <w:vAlign w:val="bottom"/>
          </w:tcPr>
          <w:p w14:paraId="70924E0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11,02 €</w:t>
            </w:r>
          </w:p>
        </w:tc>
        <w:tc>
          <w:tcPr>
            <w:tcW w:w="1275" w:type="dxa"/>
            <w:tcBorders>
              <w:top w:val="single" w:sz="8" w:space="0" w:color="2E74B5"/>
              <w:left w:val="nil"/>
              <w:bottom w:val="single" w:sz="8" w:space="0" w:color="2E74B5"/>
              <w:right w:val="single" w:sz="8" w:space="0" w:color="2E74B5"/>
            </w:tcBorders>
            <w:vAlign w:val="bottom"/>
          </w:tcPr>
          <w:p w14:paraId="37C7B8A9"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11,98 €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0403F0B5"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42,3%</w:t>
            </w:r>
          </w:p>
        </w:tc>
        <w:tc>
          <w:tcPr>
            <w:tcW w:w="1140" w:type="dxa"/>
            <w:tcBorders>
              <w:top w:val="nil"/>
              <w:left w:val="nil"/>
              <w:bottom w:val="single" w:sz="8" w:space="0" w:color="2E74B5"/>
              <w:right w:val="single" w:sz="8" w:space="0" w:color="2E74B5"/>
            </w:tcBorders>
            <w:shd w:val="clear" w:color="auto" w:fill="auto"/>
            <w:vAlign w:val="bottom"/>
          </w:tcPr>
          <w:p w14:paraId="263603E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21,9%</w:t>
            </w:r>
          </w:p>
        </w:tc>
        <w:tc>
          <w:tcPr>
            <w:tcW w:w="930" w:type="dxa"/>
            <w:tcBorders>
              <w:top w:val="nil"/>
              <w:left w:val="nil"/>
              <w:bottom w:val="single" w:sz="8" w:space="0" w:color="2E74B5"/>
              <w:right w:val="single" w:sz="8" w:space="0" w:color="2E74B5"/>
            </w:tcBorders>
            <w:vAlign w:val="bottom"/>
          </w:tcPr>
          <w:p w14:paraId="01409EF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8,7%</w:t>
            </w:r>
          </w:p>
        </w:tc>
      </w:tr>
      <w:tr w:rsidR="00A61464" w14:paraId="307EE75B"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53113594"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País Vasco</w:t>
            </w:r>
          </w:p>
        </w:tc>
        <w:tc>
          <w:tcPr>
            <w:tcW w:w="1455" w:type="dxa"/>
            <w:tcBorders>
              <w:top w:val="nil"/>
              <w:left w:val="nil"/>
              <w:bottom w:val="single" w:sz="8" w:space="0" w:color="2E74B5"/>
              <w:right w:val="single" w:sz="8" w:space="0" w:color="2E74B5"/>
            </w:tcBorders>
            <w:shd w:val="clear" w:color="auto" w:fill="auto"/>
            <w:vAlign w:val="bottom"/>
          </w:tcPr>
          <w:p w14:paraId="56414CB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13,06 €</w:t>
            </w:r>
          </w:p>
        </w:tc>
        <w:tc>
          <w:tcPr>
            <w:tcW w:w="1380" w:type="dxa"/>
            <w:tcBorders>
              <w:top w:val="nil"/>
              <w:left w:val="nil"/>
              <w:bottom w:val="single" w:sz="8" w:space="0" w:color="2E74B5"/>
              <w:right w:val="single" w:sz="8" w:space="0" w:color="2E74B5"/>
            </w:tcBorders>
            <w:shd w:val="clear" w:color="auto" w:fill="auto"/>
            <w:vAlign w:val="bottom"/>
          </w:tcPr>
          <w:p w14:paraId="2227DCE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13,13 €</w:t>
            </w:r>
          </w:p>
        </w:tc>
        <w:tc>
          <w:tcPr>
            <w:tcW w:w="1425" w:type="dxa"/>
            <w:tcBorders>
              <w:top w:val="nil"/>
              <w:left w:val="nil"/>
              <w:bottom w:val="single" w:sz="8" w:space="0" w:color="2E74B5"/>
              <w:right w:val="single" w:sz="8" w:space="0" w:color="2E74B5"/>
            </w:tcBorders>
            <w:shd w:val="clear" w:color="auto" w:fill="auto"/>
            <w:vAlign w:val="bottom"/>
          </w:tcPr>
          <w:p w14:paraId="6E5218A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15,37 €</w:t>
            </w:r>
          </w:p>
        </w:tc>
        <w:tc>
          <w:tcPr>
            <w:tcW w:w="1275" w:type="dxa"/>
            <w:tcBorders>
              <w:top w:val="single" w:sz="8" w:space="0" w:color="2E74B5"/>
              <w:left w:val="nil"/>
              <w:bottom w:val="single" w:sz="8" w:space="0" w:color="2E74B5"/>
              <w:right w:val="single" w:sz="8" w:space="0" w:color="2E74B5"/>
            </w:tcBorders>
            <w:vAlign w:val="bottom"/>
          </w:tcPr>
          <w:p w14:paraId="5E899CBB"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16,59 €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604EA3B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27,0%</w:t>
            </w:r>
          </w:p>
        </w:tc>
        <w:tc>
          <w:tcPr>
            <w:tcW w:w="1140" w:type="dxa"/>
            <w:tcBorders>
              <w:top w:val="nil"/>
              <w:left w:val="nil"/>
              <w:bottom w:val="single" w:sz="8" w:space="0" w:color="2E74B5"/>
              <w:right w:val="single" w:sz="8" w:space="0" w:color="2E74B5"/>
            </w:tcBorders>
            <w:shd w:val="clear" w:color="auto" w:fill="auto"/>
            <w:vAlign w:val="bottom"/>
          </w:tcPr>
          <w:p w14:paraId="43ECD33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26,4%</w:t>
            </w:r>
          </w:p>
        </w:tc>
        <w:tc>
          <w:tcPr>
            <w:tcW w:w="930" w:type="dxa"/>
            <w:tcBorders>
              <w:top w:val="nil"/>
              <w:left w:val="nil"/>
              <w:bottom w:val="single" w:sz="8" w:space="0" w:color="2E74B5"/>
              <w:right w:val="single" w:sz="8" w:space="0" w:color="2E74B5"/>
            </w:tcBorders>
            <w:vAlign w:val="bottom"/>
          </w:tcPr>
          <w:p w14:paraId="6F6FD65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7,9%</w:t>
            </w:r>
          </w:p>
        </w:tc>
      </w:tr>
      <w:tr w:rsidR="00A61464" w14:paraId="6BAB53E0" w14:textId="77777777">
        <w:trPr>
          <w:trHeight w:val="231"/>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0F7E4B6E"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Región de Murcia</w:t>
            </w:r>
          </w:p>
        </w:tc>
        <w:tc>
          <w:tcPr>
            <w:tcW w:w="1455" w:type="dxa"/>
            <w:tcBorders>
              <w:top w:val="nil"/>
              <w:left w:val="nil"/>
              <w:bottom w:val="single" w:sz="8" w:space="0" w:color="2E74B5"/>
              <w:right w:val="single" w:sz="8" w:space="0" w:color="2E74B5"/>
            </w:tcBorders>
            <w:shd w:val="clear" w:color="auto" w:fill="auto"/>
            <w:vAlign w:val="bottom"/>
          </w:tcPr>
          <w:p w14:paraId="7B20655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6,24 €</w:t>
            </w:r>
          </w:p>
        </w:tc>
        <w:tc>
          <w:tcPr>
            <w:tcW w:w="1380" w:type="dxa"/>
            <w:tcBorders>
              <w:top w:val="nil"/>
              <w:left w:val="nil"/>
              <w:bottom w:val="single" w:sz="8" w:space="0" w:color="2E74B5"/>
              <w:right w:val="single" w:sz="8" w:space="0" w:color="2E74B5"/>
            </w:tcBorders>
            <w:shd w:val="clear" w:color="auto" w:fill="auto"/>
            <w:vAlign w:val="bottom"/>
          </w:tcPr>
          <w:p w14:paraId="24DDC00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7,17 €</w:t>
            </w:r>
          </w:p>
        </w:tc>
        <w:tc>
          <w:tcPr>
            <w:tcW w:w="1425" w:type="dxa"/>
            <w:tcBorders>
              <w:top w:val="nil"/>
              <w:left w:val="nil"/>
              <w:bottom w:val="single" w:sz="8" w:space="0" w:color="2E74B5"/>
              <w:right w:val="single" w:sz="8" w:space="0" w:color="2E74B5"/>
            </w:tcBorders>
            <w:shd w:val="clear" w:color="auto" w:fill="auto"/>
            <w:vAlign w:val="bottom"/>
          </w:tcPr>
          <w:p w14:paraId="6A1BE61D"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8,02 €</w:t>
            </w:r>
          </w:p>
        </w:tc>
        <w:tc>
          <w:tcPr>
            <w:tcW w:w="1275" w:type="dxa"/>
            <w:tcBorders>
              <w:top w:val="single" w:sz="8" w:space="0" w:color="2E74B5"/>
              <w:left w:val="nil"/>
              <w:bottom w:val="single" w:sz="8" w:space="0" w:color="2E74B5"/>
              <w:right w:val="single" w:sz="8" w:space="0" w:color="2E74B5"/>
            </w:tcBorders>
            <w:vAlign w:val="bottom"/>
          </w:tcPr>
          <w:p w14:paraId="4B57DB20"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9,35 €</w:t>
            </w:r>
          </w:p>
        </w:tc>
        <w:tc>
          <w:tcPr>
            <w:tcW w:w="1140" w:type="dxa"/>
            <w:tcBorders>
              <w:top w:val="single" w:sz="8" w:space="0" w:color="2E74B5"/>
              <w:left w:val="single" w:sz="8" w:space="0" w:color="2E74B5"/>
              <w:bottom w:val="single" w:sz="8" w:space="0" w:color="2E74B5"/>
              <w:right w:val="single" w:sz="8" w:space="0" w:color="2E74B5"/>
            </w:tcBorders>
            <w:shd w:val="clear" w:color="auto" w:fill="auto"/>
            <w:vAlign w:val="bottom"/>
          </w:tcPr>
          <w:p w14:paraId="047E2662"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49,8%</w:t>
            </w:r>
          </w:p>
        </w:tc>
        <w:tc>
          <w:tcPr>
            <w:tcW w:w="1140" w:type="dxa"/>
            <w:tcBorders>
              <w:top w:val="nil"/>
              <w:left w:val="nil"/>
              <w:bottom w:val="single" w:sz="8" w:space="0" w:color="2E74B5"/>
              <w:right w:val="single" w:sz="8" w:space="0" w:color="2E74B5"/>
            </w:tcBorders>
            <w:shd w:val="clear" w:color="auto" w:fill="auto"/>
            <w:vAlign w:val="bottom"/>
          </w:tcPr>
          <w:p w14:paraId="76932336"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30,4%</w:t>
            </w:r>
          </w:p>
        </w:tc>
        <w:tc>
          <w:tcPr>
            <w:tcW w:w="930" w:type="dxa"/>
            <w:tcBorders>
              <w:top w:val="nil"/>
              <w:left w:val="nil"/>
              <w:bottom w:val="single" w:sz="8" w:space="0" w:color="2E74B5"/>
              <w:right w:val="single" w:sz="8" w:space="0" w:color="2E74B5"/>
            </w:tcBorders>
            <w:vAlign w:val="bottom"/>
          </w:tcPr>
          <w:p w14:paraId="05BAD5DE"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000000"/>
                <w:sz w:val="18"/>
                <w:szCs w:val="18"/>
              </w:rPr>
              <w:t>16,6%</w:t>
            </w:r>
          </w:p>
        </w:tc>
      </w:tr>
      <w:tr w:rsidR="00A61464" w14:paraId="7BF9F005" w14:textId="77777777">
        <w:trPr>
          <w:trHeight w:val="199"/>
        </w:trPr>
        <w:tc>
          <w:tcPr>
            <w:tcW w:w="1275" w:type="dxa"/>
            <w:tcBorders>
              <w:top w:val="nil"/>
              <w:left w:val="single" w:sz="8" w:space="0" w:color="2E74B5"/>
              <w:bottom w:val="single" w:sz="8" w:space="0" w:color="2E74B5"/>
              <w:right w:val="single" w:sz="8" w:space="0" w:color="2E74B5"/>
            </w:tcBorders>
            <w:shd w:val="clear" w:color="auto" w:fill="9CC2E5"/>
            <w:vAlign w:val="bottom"/>
          </w:tcPr>
          <w:p w14:paraId="26BDBB5A"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España</w:t>
            </w:r>
          </w:p>
        </w:tc>
        <w:tc>
          <w:tcPr>
            <w:tcW w:w="1455" w:type="dxa"/>
            <w:tcBorders>
              <w:top w:val="nil"/>
              <w:left w:val="nil"/>
              <w:bottom w:val="single" w:sz="8" w:space="0" w:color="2E74B5"/>
              <w:right w:val="single" w:sz="8" w:space="0" w:color="2E74B5"/>
            </w:tcBorders>
            <w:shd w:val="clear" w:color="auto" w:fill="9CC2E5"/>
            <w:vAlign w:val="bottom"/>
          </w:tcPr>
          <w:p w14:paraId="57C932A7"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10,18 €</w:t>
            </w:r>
          </w:p>
        </w:tc>
        <w:tc>
          <w:tcPr>
            <w:tcW w:w="1380" w:type="dxa"/>
            <w:tcBorders>
              <w:top w:val="nil"/>
              <w:left w:val="nil"/>
              <w:bottom w:val="single" w:sz="8" w:space="0" w:color="2E74B5"/>
              <w:right w:val="single" w:sz="8" w:space="0" w:color="2E74B5"/>
            </w:tcBorders>
            <w:shd w:val="clear" w:color="auto" w:fill="9CC2E5"/>
            <w:vAlign w:val="bottom"/>
          </w:tcPr>
          <w:p w14:paraId="5CA90B0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10,27 €</w:t>
            </w:r>
          </w:p>
        </w:tc>
        <w:tc>
          <w:tcPr>
            <w:tcW w:w="1425" w:type="dxa"/>
            <w:tcBorders>
              <w:top w:val="nil"/>
              <w:left w:val="nil"/>
              <w:bottom w:val="single" w:sz="8" w:space="0" w:color="2E74B5"/>
              <w:right w:val="single" w:sz="8" w:space="0" w:color="2E74B5"/>
            </w:tcBorders>
            <w:shd w:val="clear" w:color="auto" w:fill="9CC2E5"/>
            <w:vAlign w:val="bottom"/>
          </w:tcPr>
          <w:p w14:paraId="5C190DFE"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11,66 €</w:t>
            </w:r>
          </w:p>
        </w:tc>
        <w:tc>
          <w:tcPr>
            <w:tcW w:w="1275" w:type="dxa"/>
            <w:tcBorders>
              <w:top w:val="single" w:sz="8" w:space="0" w:color="2E74B5"/>
              <w:left w:val="nil"/>
              <w:bottom w:val="single" w:sz="8" w:space="0" w:color="2E74B5"/>
              <w:right w:val="single" w:sz="8" w:space="0" w:color="2E74B5"/>
            </w:tcBorders>
            <w:shd w:val="clear" w:color="auto" w:fill="9CC2E5"/>
            <w:vAlign w:val="bottom"/>
          </w:tcPr>
          <w:p w14:paraId="483AAC2E"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13,29 €</w:t>
            </w:r>
          </w:p>
        </w:tc>
        <w:tc>
          <w:tcPr>
            <w:tcW w:w="1140"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0DEC319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color w:val="000000"/>
                <w:sz w:val="18"/>
                <w:szCs w:val="18"/>
              </w:rPr>
              <w:t>30,6%</w:t>
            </w:r>
          </w:p>
        </w:tc>
        <w:tc>
          <w:tcPr>
            <w:tcW w:w="1140" w:type="dxa"/>
            <w:tcBorders>
              <w:top w:val="nil"/>
              <w:left w:val="nil"/>
              <w:bottom w:val="single" w:sz="8" w:space="0" w:color="2E74B5"/>
              <w:right w:val="single" w:sz="8" w:space="0" w:color="2E74B5"/>
            </w:tcBorders>
            <w:shd w:val="clear" w:color="auto" w:fill="9CC2E5"/>
            <w:vAlign w:val="bottom"/>
          </w:tcPr>
          <w:p w14:paraId="3936146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29,4%</w:t>
            </w:r>
          </w:p>
        </w:tc>
        <w:tc>
          <w:tcPr>
            <w:tcW w:w="930" w:type="dxa"/>
            <w:tcBorders>
              <w:top w:val="nil"/>
              <w:left w:val="nil"/>
              <w:bottom w:val="single" w:sz="8" w:space="0" w:color="2E74B5"/>
              <w:right w:val="single" w:sz="8" w:space="0" w:color="2E74B5"/>
            </w:tcBorders>
            <w:shd w:val="clear" w:color="auto" w:fill="9CC2E5"/>
            <w:vAlign w:val="bottom"/>
          </w:tcPr>
          <w:p w14:paraId="6AB9FBB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14,0%</w:t>
            </w:r>
          </w:p>
        </w:tc>
      </w:tr>
    </w:tbl>
    <w:p w14:paraId="3E79E288" w14:textId="77777777" w:rsidR="00A61464" w:rsidRDefault="00A61464">
      <w:pPr>
        <w:pBdr>
          <w:top w:val="nil"/>
          <w:left w:val="nil"/>
          <w:bottom w:val="nil"/>
          <w:right w:val="nil"/>
          <w:between w:val="nil"/>
        </w:pBdr>
        <w:spacing w:line="276" w:lineRule="auto"/>
        <w:ind w:right="-574"/>
        <w:rPr>
          <w:rFonts w:ascii="National" w:eastAsia="National" w:hAnsi="National" w:cs="National"/>
          <w:b/>
          <w:color w:val="303AB2"/>
          <w:sz w:val="30"/>
          <w:szCs w:val="30"/>
        </w:rPr>
      </w:pPr>
    </w:p>
    <w:p w14:paraId="64F458D7" w14:textId="77777777" w:rsidR="00A61464" w:rsidRDefault="00A61464">
      <w:pPr>
        <w:pBdr>
          <w:top w:val="nil"/>
          <w:left w:val="nil"/>
          <w:bottom w:val="nil"/>
          <w:right w:val="nil"/>
          <w:between w:val="nil"/>
        </w:pBdr>
        <w:spacing w:line="276" w:lineRule="auto"/>
        <w:ind w:right="-574"/>
        <w:rPr>
          <w:rFonts w:ascii="National" w:eastAsia="National" w:hAnsi="National" w:cs="National"/>
          <w:b/>
          <w:color w:val="303AB2"/>
          <w:sz w:val="30"/>
          <w:szCs w:val="30"/>
        </w:rPr>
      </w:pPr>
    </w:p>
    <w:p w14:paraId="0D011D5B" w14:textId="77777777" w:rsidR="00A61464" w:rsidRDefault="00A61464">
      <w:pPr>
        <w:pBdr>
          <w:top w:val="nil"/>
          <w:left w:val="nil"/>
          <w:bottom w:val="nil"/>
          <w:right w:val="nil"/>
          <w:between w:val="nil"/>
        </w:pBdr>
        <w:spacing w:line="276" w:lineRule="auto"/>
        <w:ind w:right="-574"/>
        <w:rPr>
          <w:rFonts w:ascii="National" w:eastAsia="National" w:hAnsi="National" w:cs="National"/>
          <w:b/>
          <w:color w:val="303AB2"/>
          <w:sz w:val="30"/>
          <w:szCs w:val="30"/>
        </w:rPr>
      </w:pPr>
    </w:p>
    <w:p w14:paraId="7ECFD916" w14:textId="77777777" w:rsidR="00A61464" w:rsidRDefault="00000000">
      <w:pPr>
        <w:pBdr>
          <w:top w:val="nil"/>
          <w:left w:val="nil"/>
          <w:bottom w:val="nil"/>
          <w:right w:val="nil"/>
          <w:between w:val="nil"/>
        </w:pBdr>
        <w:spacing w:line="276" w:lineRule="auto"/>
        <w:ind w:right="-574"/>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Provincias</w:t>
      </w:r>
    </w:p>
    <w:p w14:paraId="06C82791"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 xml:space="preserve">Por </w:t>
      </w:r>
      <w:r>
        <w:rPr>
          <w:rFonts w:ascii="Open Sans" w:eastAsia="Open Sans" w:hAnsi="Open Sans" w:cs="Open Sans"/>
          <w:color w:val="000000"/>
          <w:sz w:val="22"/>
          <w:szCs w:val="22"/>
        </w:rPr>
        <w:t xml:space="preserve">provincias, si analizamos el último año respecto al anterior, en 2024 </w:t>
      </w:r>
      <w:r>
        <w:rPr>
          <w:rFonts w:ascii="Open Sans" w:eastAsia="Open Sans" w:hAnsi="Open Sans" w:cs="Open Sans"/>
          <w:sz w:val="22"/>
          <w:szCs w:val="22"/>
        </w:rPr>
        <w:t>los sueldos aumentaron</w:t>
      </w:r>
      <w:r>
        <w:rPr>
          <w:rFonts w:ascii="Open Sans" w:eastAsia="Open Sans" w:hAnsi="Open Sans" w:cs="Open Sans"/>
          <w:color w:val="000000"/>
          <w:sz w:val="22"/>
          <w:szCs w:val="22"/>
        </w:rPr>
        <w:t xml:space="preserve"> en 31 de las 48 provincias analizadas y, sin embargo, en 40 de ellas subió el precio de la vivienda.</w:t>
      </w:r>
    </w:p>
    <w:p w14:paraId="47A2A1D8"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trabajadores </w:t>
      </w:r>
      <w:r>
        <w:rPr>
          <w:rFonts w:ascii="Open Sans" w:eastAsia="Open Sans" w:hAnsi="Open Sans" w:cs="Open Sans"/>
          <w:sz w:val="22"/>
          <w:szCs w:val="22"/>
        </w:rPr>
        <w:t>más afectados</w:t>
      </w:r>
      <w:r>
        <w:rPr>
          <w:rFonts w:ascii="Open Sans" w:eastAsia="Open Sans" w:hAnsi="Open Sans" w:cs="Open Sans"/>
          <w:color w:val="000000"/>
          <w:sz w:val="22"/>
          <w:szCs w:val="22"/>
        </w:rPr>
        <w:t xml:space="preserve"> por el descenso de </w:t>
      </w:r>
      <w:r>
        <w:rPr>
          <w:rFonts w:ascii="Open Sans" w:eastAsia="Open Sans" w:hAnsi="Open Sans" w:cs="Open Sans"/>
          <w:sz w:val="22"/>
          <w:szCs w:val="22"/>
        </w:rPr>
        <w:t>la oferta</w:t>
      </w:r>
      <w:r>
        <w:rPr>
          <w:rFonts w:ascii="Open Sans" w:eastAsia="Open Sans" w:hAnsi="Open Sans" w:cs="Open Sans"/>
          <w:color w:val="000000"/>
          <w:sz w:val="22"/>
          <w:szCs w:val="22"/>
        </w:rPr>
        <w:t xml:space="preserve"> salari</w:t>
      </w:r>
      <w:r>
        <w:rPr>
          <w:rFonts w:ascii="Open Sans" w:eastAsia="Open Sans" w:hAnsi="Open Sans" w:cs="Open Sans"/>
          <w:sz w:val="22"/>
          <w:szCs w:val="22"/>
        </w:rPr>
        <w:t>al</w:t>
      </w:r>
      <w:r>
        <w:rPr>
          <w:rFonts w:ascii="Open Sans" w:eastAsia="Open Sans" w:hAnsi="Open Sans" w:cs="Open Sans"/>
          <w:color w:val="000000"/>
          <w:sz w:val="22"/>
          <w:szCs w:val="22"/>
        </w:rPr>
        <w:t xml:space="preserve"> en 2024 </w:t>
      </w:r>
      <w:r>
        <w:rPr>
          <w:rFonts w:ascii="Open Sans" w:eastAsia="Open Sans" w:hAnsi="Open Sans" w:cs="Open Sans"/>
          <w:sz w:val="22"/>
          <w:szCs w:val="22"/>
        </w:rPr>
        <w:t>fueron los</w:t>
      </w:r>
      <w:r>
        <w:rPr>
          <w:rFonts w:ascii="Open Sans" w:eastAsia="Open Sans" w:hAnsi="Open Sans" w:cs="Open Sans"/>
          <w:color w:val="000000"/>
          <w:sz w:val="22"/>
          <w:szCs w:val="22"/>
        </w:rPr>
        <w:t xml:space="preserve"> de Badajoz. Así, </w:t>
      </w:r>
      <w:r>
        <w:rPr>
          <w:rFonts w:ascii="Open Sans" w:eastAsia="Open Sans" w:hAnsi="Open Sans" w:cs="Open Sans"/>
          <w:b/>
          <w:color w:val="000000"/>
          <w:sz w:val="22"/>
          <w:szCs w:val="22"/>
        </w:rPr>
        <w:t xml:space="preserve">los residentes de Badajoz han pasado de un salario medio de 26.461 euros/año en 2023 a 23.421 euros/año en 2024 (es decir, un 11,5% menos). </w:t>
      </w:r>
      <w:r>
        <w:rPr>
          <w:rFonts w:ascii="Open Sans" w:eastAsia="Open Sans" w:hAnsi="Open Sans" w:cs="Open Sans"/>
          <w:color w:val="000000"/>
          <w:sz w:val="22"/>
          <w:szCs w:val="22"/>
        </w:rPr>
        <w:t xml:space="preserve">A esto se añade, que en Badajoz </w:t>
      </w:r>
      <w:r>
        <w:rPr>
          <w:rFonts w:ascii="Open Sans" w:eastAsia="Open Sans" w:hAnsi="Open Sans" w:cs="Open Sans"/>
          <w:b/>
          <w:color w:val="000000"/>
          <w:sz w:val="22"/>
          <w:szCs w:val="22"/>
        </w:rPr>
        <w:t xml:space="preserve">el precio de la vivienda en alquiler se encareció un 5,5% </w:t>
      </w:r>
      <w:r>
        <w:rPr>
          <w:rFonts w:ascii="Open Sans" w:eastAsia="Open Sans" w:hAnsi="Open Sans" w:cs="Open Sans"/>
          <w:color w:val="000000"/>
          <w:sz w:val="22"/>
          <w:szCs w:val="22"/>
        </w:rPr>
        <w:t xml:space="preserve">respecto al año anterior, </w:t>
      </w:r>
      <w:r>
        <w:rPr>
          <w:rFonts w:ascii="Open Sans" w:eastAsia="Open Sans" w:hAnsi="Open Sans" w:cs="Open Sans"/>
          <w:sz w:val="22"/>
          <w:szCs w:val="22"/>
        </w:rPr>
        <w:t>y</w:t>
      </w:r>
      <w:r>
        <w:rPr>
          <w:rFonts w:ascii="Open Sans" w:eastAsia="Open Sans" w:hAnsi="Open Sans" w:cs="Open Sans"/>
          <w:color w:val="000000"/>
          <w:sz w:val="22"/>
          <w:szCs w:val="22"/>
        </w:rPr>
        <w:t xml:space="preserve"> se ha pasado de pagar 6,42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2023 a pagar 6,77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2024.</w:t>
      </w:r>
    </w:p>
    <w:p w14:paraId="4527AFD7"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la provincia en la que se ha encarecido más el precio de la vivienda en alquiler en el último año es Palencia con un 19,5% (respecto a 2023). Así, si nos centramos en estos datos, vemos que los residentes de Palencia han pasado de pagar 6,82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20</w:t>
      </w:r>
      <w:r>
        <w:rPr>
          <w:rFonts w:ascii="Open Sans" w:eastAsia="Open Sans" w:hAnsi="Open Sans" w:cs="Open Sans"/>
          <w:sz w:val="22"/>
          <w:szCs w:val="22"/>
        </w:rPr>
        <w:t>23</w:t>
      </w:r>
      <w:r>
        <w:rPr>
          <w:rFonts w:ascii="Open Sans" w:eastAsia="Open Sans" w:hAnsi="Open Sans" w:cs="Open Sans"/>
          <w:color w:val="000000"/>
          <w:sz w:val="22"/>
          <w:szCs w:val="22"/>
        </w:rPr>
        <w:t xml:space="preserve"> a pagar 8,15 euros al mes en 2024 por el metro cuadrado de una vivienda en alquiler (un 19,5% más). A esto se añade que los salarios medios de Palencia subieron apenas un 5,9% en 2024 (han pasado de los 22.968 euros/año en 2023 a los 24.327 euros/año en 2024).</w:t>
      </w:r>
    </w:p>
    <w:p w14:paraId="1E9192D0" w14:textId="77777777" w:rsidR="00A614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provincias de Álava/</w:t>
      </w:r>
      <w:proofErr w:type="spellStart"/>
      <w:r>
        <w:rPr>
          <w:rFonts w:ascii="Open Sans" w:eastAsia="Open Sans" w:hAnsi="Open Sans" w:cs="Open Sans"/>
          <w:color w:val="000000"/>
          <w:sz w:val="22"/>
          <w:szCs w:val="22"/>
        </w:rPr>
        <w:t>Áraba</w:t>
      </w:r>
      <w:proofErr w:type="spellEnd"/>
      <w:r>
        <w:rPr>
          <w:rFonts w:ascii="Open Sans" w:eastAsia="Open Sans" w:hAnsi="Open Sans" w:cs="Open Sans"/>
          <w:color w:val="000000"/>
          <w:sz w:val="22"/>
          <w:szCs w:val="22"/>
        </w:rPr>
        <w:t xml:space="preserve">, Teruel, Guadalajara y Huelva se </w:t>
      </w:r>
      <w:r>
        <w:rPr>
          <w:rFonts w:ascii="Open Sans" w:eastAsia="Open Sans" w:hAnsi="Open Sans" w:cs="Open Sans"/>
          <w:sz w:val="22"/>
          <w:szCs w:val="22"/>
        </w:rPr>
        <w:t xml:space="preserve">han visto </w:t>
      </w:r>
      <w:r>
        <w:rPr>
          <w:rFonts w:ascii="Open Sans" w:eastAsia="Open Sans" w:hAnsi="Open Sans" w:cs="Open Sans"/>
          <w:color w:val="000000"/>
          <w:sz w:val="22"/>
          <w:szCs w:val="22"/>
        </w:rPr>
        <w:t xml:space="preserve">beneficiadas </w:t>
      </w:r>
      <w:r>
        <w:rPr>
          <w:rFonts w:ascii="Open Sans" w:eastAsia="Open Sans" w:hAnsi="Open Sans" w:cs="Open Sans"/>
          <w:sz w:val="22"/>
          <w:szCs w:val="22"/>
        </w:rPr>
        <w:t>por la subida del salario medio provincial y la bajada del precio de la vivienda</w:t>
      </w:r>
      <w:r>
        <w:rPr>
          <w:rFonts w:ascii="Open Sans" w:eastAsia="Open Sans" w:hAnsi="Open Sans" w:cs="Open Sans"/>
          <w:color w:val="000000"/>
          <w:sz w:val="22"/>
          <w:szCs w:val="22"/>
        </w:rPr>
        <w:t xml:space="preserve"> en el último año (2024). Por otro lado, en Cantabria se produjeron descensos tanto en el salario como en el precio del alquiler anual.</w:t>
      </w:r>
    </w:p>
    <w:p w14:paraId="51BA08E2" w14:textId="77777777" w:rsidR="00A61464"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rPr>
      </w:pPr>
      <w:r>
        <w:rPr>
          <w:rFonts w:ascii="National" w:eastAsia="National" w:hAnsi="National" w:cs="National"/>
          <w:b/>
          <w:color w:val="303AB2"/>
          <w:sz w:val="30"/>
          <w:szCs w:val="30"/>
        </w:rPr>
        <w:t xml:space="preserve">Provincias con aumento de sueldo y descenso del precio del alquiler </w:t>
      </w:r>
    </w:p>
    <w:tbl>
      <w:tblPr>
        <w:tblStyle w:val="af3"/>
        <w:tblW w:w="9640" w:type="dxa"/>
        <w:tblInd w:w="-436" w:type="dxa"/>
        <w:tblLayout w:type="fixed"/>
        <w:tblLook w:val="0400" w:firstRow="0" w:lastRow="0" w:firstColumn="0" w:lastColumn="0" w:noHBand="0" w:noVBand="1"/>
      </w:tblPr>
      <w:tblGrid>
        <w:gridCol w:w="1319"/>
        <w:gridCol w:w="1464"/>
        <w:gridCol w:w="1471"/>
        <w:gridCol w:w="1275"/>
        <w:gridCol w:w="1418"/>
        <w:gridCol w:w="1417"/>
        <w:gridCol w:w="1276"/>
      </w:tblGrid>
      <w:tr w:rsidR="00A61464" w14:paraId="5D4A43CA" w14:textId="77777777">
        <w:trPr>
          <w:trHeight w:val="651"/>
        </w:trPr>
        <w:tc>
          <w:tcPr>
            <w:tcW w:w="1319" w:type="dxa"/>
            <w:tcBorders>
              <w:top w:val="single" w:sz="8" w:space="0" w:color="2E74B5"/>
              <w:left w:val="single" w:sz="8" w:space="0" w:color="2E74B5"/>
              <w:bottom w:val="nil"/>
              <w:right w:val="single" w:sz="8" w:space="0" w:color="2E74B5"/>
            </w:tcBorders>
            <w:shd w:val="clear" w:color="auto" w:fill="9CC2E5"/>
            <w:vAlign w:val="center"/>
          </w:tcPr>
          <w:p w14:paraId="68F39F57"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Provincia</w:t>
            </w:r>
          </w:p>
        </w:tc>
        <w:tc>
          <w:tcPr>
            <w:tcW w:w="1464" w:type="dxa"/>
            <w:tcBorders>
              <w:top w:val="single" w:sz="8" w:space="0" w:color="2E74B5"/>
              <w:left w:val="nil"/>
              <w:bottom w:val="nil"/>
              <w:right w:val="single" w:sz="8" w:space="0" w:color="2E74B5"/>
            </w:tcBorders>
            <w:shd w:val="clear" w:color="auto" w:fill="9CC2E5"/>
          </w:tcPr>
          <w:p w14:paraId="6534B34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Salario medio InfoJobs (€/año) 2023</w:t>
            </w:r>
          </w:p>
        </w:tc>
        <w:tc>
          <w:tcPr>
            <w:tcW w:w="1471" w:type="dxa"/>
            <w:tcBorders>
              <w:top w:val="single" w:sz="8" w:space="0" w:color="2E74B5"/>
              <w:left w:val="nil"/>
              <w:bottom w:val="nil"/>
              <w:right w:val="single" w:sz="8" w:space="0" w:color="2E74B5"/>
            </w:tcBorders>
            <w:shd w:val="clear" w:color="auto" w:fill="9CC2E5"/>
          </w:tcPr>
          <w:p w14:paraId="31CDBEF9"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Salario medio InfoJobs (€/año) 2024</w:t>
            </w:r>
          </w:p>
        </w:tc>
        <w:tc>
          <w:tcPr>
            <w:tcW w:w="1275" w:type="dxa"/>
            <w:tcBorders>
              <w:top w:val="single" w:sz="8" w:space="0" w:color="2E74B5"/>
              <w:left w:val="nil"/>
              <w:bottom w:val="nil"/>
              <w:right w:val="single" w:sz="8" w:space="0" w:color="2E74B5"/>
            </w:tcBorders>
            <w:shd w:val="clear" w:color="auto" w:fill="9CC2E5"/>
          </w:tcPr>
          <w:p w14:paraId="3D2421AF"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 1 año (2024 vs. 2023)</w:t>
            </w:r>
          </w:p>
        </w:tc>
        <w:tc>
          <w:tcPr>
            <w:tcW w:w="1418" w:type="dxa"/>
            <w:tcBorders>
              <w:top w:val="single" w:sz="8" w:space="0" w:color="2E74B5"/>
              <w:left w:val="nil"/>
              <w:bottom w:val="nil"/>
              <w:right w:val="single" w:sz="8" w:space="0" w:color="2E74B5"/>
            </w:tcBorders>
            <w:shd w:val="clear" w:color="auto" w:fill="9CC2E5"/>
          </w:tcPr>
          <w:p w14:paraId="2E2D1E80"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2023</w:t>
            </w:r>
          </w:p>
        </w:tc>
        <w:tc>
          <w:tcPr>
            <w:tcW w:w="1417" w:type="dxa"/>
            <w:tcBorders>
              <w:top w:val="single" w:sz="8" w:space="0" w:color="2E74B5"/>
              <w:left w:val="nil"/>
              <w:bottom w:val="nil"/>
              <w:right w:val="single" w:sz="8" w:space="0" w:color="2E74B5"/>
            </w:tcBorders>
            <w:shd w:val="clear" w:color="auto" w:fill="9CC2E5"/>
          </w:tcPr>
          <w:p w14:paraId="13F7EBDF"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2024</w:t>
            </w:r>
          </w:p>
        </w:tc>
        <w:tc>
          <w:tcPr>
            <w:tcW w:w="1276" w:type="dxa"/>
            <w:tcBorders>
              <w:top w:val="single" w:sz="8" w:space="0" w:color="2E74B5"/>
              <w:left w:val="nil"/>
              <w:bottom w:val="nil"/>
              <w:right w:val="single" w:sz="8" w:space="0" w:color="2E74B5"/>
            </w:tcBorders>
            <w:shd w:val="clear" w:color="auto" w:fill="9CC2E5"/>
          </w:tcPr>
          <w:p w14:paraId="2920758C"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 1 año (2024 vs. 2023)</w:t>
            </w:r>
          </w:p>
        </w:tc>
      </w:tr>
      <w:tr w:rsidR="00A61464" w14:paraId="123DDF8F" w14:textId="77777777">
        <w:trPr>
          <w:trHeight w:val="132"/>
        </w:trPr>
        <w:tc>
          <w:tcPr>
            <w:tcW w:w="1319"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0517849D"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Álava/</w:t>
            </w:r>
            <w:proofErr w:type="spellStart"/>
            <w:r>
              <w:rPr>
                <w:rFonts w:ascii="Open Sans Light" w:eastAsia="Open Sans Light" w:hAnsi="Open Sans Light" w:cs="Open Sans Light"/>
                <w:color w:val="000000"/>
                <w:sz w:val="18"/>
                <w:szCs w:val="18"/>
              </w:rPr>
              <w:t>Áraba</w:t>
            </w:r>
            <w:proofErr w:type="spellEnd"/>
          </w:p>
        </w:tc>
        <w:tc>
          <w:tcPr>
            <w:tcW w:w="1464" w:type="dxa"/>
            <w:tcBorders>
              <w:top w:val="single" w:sz="8" w:space="0" w:color="2E74B5"/>
              <w:left w:val="nil"/>
              <w:bottom w:val="single" w:sz="8" w:space="0" w:color="2E74B5"/>
              <w:right w:val="single" w:sz="8" w:space="0" w:color="2E74B5"/>
            </w:tcBorders>
            <w:shd w:val="clear" w:color="auto" w:fill="auto"/>
            <w:vAlign w:val="bottom"/>
          </w:tcPr>
          <w:p w14:paraId="7247218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26.890 €</w:t>
            </w:r>
          </w:p>
        </w:tc>
        <w:tc>
          <w:tcPr>
            <w:tcW w:w="1471" w:type="dxa"/>
            <w:tcBorders>
              <w:top w:val="single" w:sz="8" w:space="0" w:color="2E74B5"/>
              <w:left w:val="nil"/>
              <w:bottom w:val="single" w:sz="8" w:space="0" w:color="2E74B5"/>
              <w:right w:val="single" w:sz="8" w:space="0" w:color="2E74B5"/>
            </w:tcBorders>
            <w:shd w:val="clear" w:color="auto" w:fill="auto"/>
            <w:vAlign w:val="bottom"/>
          </w:tcPr>
          <w:p w14:paraId="2DDEDFA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27.461 €</w:t>
            </w:r>
          </w:p>
        </w:tc>
        <w:tc>
          <w:tcPr>
            <w:tcW w:w="1275" w:type="dxa"/>
            <w:tcBorders>
              <w:top w:val="single" w:sz="8" w:space="0" w:color="2E74B5"/>
              <w:left w:val="nil"/>
              <w:bottom w:val="single" w:sz="8" w:space="0" w:color="2E74B5"/>
              <w:right w:val="single" w:sz="8" w:space="0" w:color="2E74B5"/>
            </w:tcBorders>
            <w:shd w:val="clear" w:color="auto" w:fill="auto"/>
            <w:vAlign w:val="bottom"/>
          </w:tcPr>
          <w:p w14:paraId="5A3639B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2,1%</w:t>
            </w:r>
          </w:p>
        </w:tc>
        <w:tc>
          <w:tcPr>
            <w:tcW w:w="1418" w:type="dxa"/>
            <w:tcBorders>
              <w:top w:val="single" w:sz="8" w:space="0" w:color="2E74B5"/>
              <w:left w:val="nil"/>
              <w:bottom w:val="single" w:sz="8" w:space="0" w:color="2E74B5"/>
              <w:right w:val="single" w:sz="8" w:space="0" w:color="2E74B5"/>
            </w:tcBorders>
            <w:shd w:val="clear" w:color="auto" w:fill="auto"/>
            <w:vAlign w:val="bottom"/>
          </w:tcPr>
          <w:p w14:paraId="6D5128F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12,32 €</w:t>
            </w:r>
          </w:p>
        </w:tc>
        <w:tc>
          <w:tcPr>
            <w:tcW w:w="1417" w:type="dxa"/>
            <w:tcBorders>
              <w:top w:val="single" w:sz="8" w:space="0" w:color="2E74B5"/>
              <w:left w:val="nil"/>
              <w:bottom w:val="single" w:sz="8" w:space="0" w:color="2E74B5"/>
              <w:right w:val="single" w:sz="8" w:space="0" w:color="2E74B5"/>
            </w:tcBorders>
            <w:shd w:val="clear" w:color="auto" w:fill="auto"/>
            <w:vAlign w:val="bottom"/>
          </w:tcPr>
          <w:p w14:paraId="5D9CDBB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10,65 €</w:t>
            </w:r>
          </w:p>
        </w:tc>
        <w:tc>
          <w:tcPr>
            <w:tcW w:w="1276" w:type="dxa"/>
            <w:tcBorders>
              <w:top w:val="single" w:sz="8" w:space="0" w:color="2E74B5"/>
              <w:left w:val="nil"/>
              <w:bottom w:val="single" w:sz="8" w:space="0" w:color="2E74B5"/>
              <w:right w:val="single" w:sz="8" w:space="0" w:color="2E74B5"/>
            </w:tcBorders>
            <w:shd w:val="clear" w:color="auto" w:fill="auto"/>
            <w:vAlign w:val="bottom"/>
          </w:tcPr>
          <w:p w14:paraId="65A551BE"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-13,6%</w:t>
            </w:r>
          </w:p>
        </w:tc>
      </w:tr>
      <w:tr w:rsidR="00A61464" w14:paraId="1C45460C" w14:textId="77777777">
        <w:trPr>
          <w:trHeight w:val="132"/>
        </w:trPr>
        <w:tc>
          <w:tcPr>
            <w:tcW w:w="1319"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6AB63C4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Teruel</w:t>
            </w:r>
          </w:p>
        </w:tc>
        <w:tc>
          <w:tcPr>
            <w:tcW w:w="1464" w:type="dxa"/>
            <w:tcBorders>
              <w:top w:val="single" w:sz="8" w:space="0" w:color="2E74B5"/>
              <w:left w:val="nil"/>
              <w:bottom w:val="single" w:sz="8" w:space="0" w:color="2E74B5"/>
              <w:right w:val="single" w:sz="8" w:space="0" w:color="2E74B5"/>
            </w:tcBorders>
            <w:shd w:val="clear" w:color="auto" w:fill="auto"/>
            <w:vAlign w:val="bottom"/>
          </w:tcPr>
          <w:p w14:paraId="6C32522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24.305 €</w:t>
            </w:r>
          </w:p>
        </w:tc>
        <w:tc>
          <w:tcPr>
            <w:tcW w:w="1471" w:type="dxa"/>
            <w:tcBorders>
              <w:top w:val="single" w:sz="8" w:space="0" w:color="2E74B5"/>
              <w:left w:val="nil"/>
              <w:bottom w:val="single" w:sz="8" w:space="0" w:color="2E74B5"/>
              <w:right w:val="single" w:sz="8" w:space="0" w:color="2E74B5"/>
            </w:tcBorders>
            <w:shd w:val="clear" w:color="auto" w:fill="auto"/>
            <w:vAlign w:val="bottom"/>
          </w:tcPr>
          <w:p w14:paraId="618628A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25.285 €</w:t>
            </w:r>
          </w:p>
        </w:tc>
        <w:tc>
          <w:tcPr>
            <w:tcW w:w="1275" w:type="dxa"/>
            <w:tcBorders>
              <w:top w:val="single" w:sz="8" w:space="0" w:color="2E74B5"/>
              <w:left w:val="nil"/>
              <w:bottom w:val="single" w:sz="8" w:space="0" w:color="2E74B5"/>
              <w:right w:val="single" w:sz="8" w:space="0" w:color="2E74B5"/>
            </w:tcBorders>
            <w:shd w:val="clear" w:color="auto" w:fill="auto"/>
            <w:vAlign w:val="bottom"/>
          </w:tcPr>
          <w:p w14:paraId="72D3BA4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4,0%</w:t>
            </w:r>
          </w:p>
        </w:tc>
        <w:tc>
          <w:tcPr>
            <w:tcW w:w="1418" w:type="dxa"/>
            <w:tcBorders>
              <w:top w:val="single" w:sz="8" w:space="0" w:color="2E74B5"/>
              <w:left w:val="nil"/>
              <w:bottom w:val="single" w:sz="8" w:space="0" w:color="2E74B5"/>
              <w:right w:val="single" w:sz="8" w:space="0" w:color="2E74B5"/>
            </w:tcBorders>
            <w:shd w:val="clear" w:color="auto" w:fill="auto"/>
            <w:vAlign w:val="bottom"/>
          </w:tcPr>
          <w:p w14:paraId="3F9E4DE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6,65 €</w:t>
            </w:r>
          </w:p>
        </w:tc>
        <w:tc>
          <w:tcPr>
            <w:tcW w:w="1417" w:type="dxa"/>
            <w:tcBorders>
              <w:top w:val="single" w:sz="8" w:space="0" w:color="2E74B5"/>
              <w:left w:val="nil"/>
              <w:bottom w:val="single" w:sz="8" w:space="0" w:color="2E74B5"/>
              <w:right w:val="single" w:sz="8" w:space="0" w:color="2E74B5"/>
            </w:tcBorders>
            <w:shd w:val="clear" w:color="auto" w:fill="auto"/>
            <w:vAlign w:val="bottom"/>
          </w:tcPr>
          <w:p w14:paraId="371F403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6,51 €</w:t>
            </w:r>
          </w:p>
        </w:tc>
        <w:tc>
          <w:tcPr>
            <w:tcW w:w="1276" w:type="dxa"/>
            <w:tcBorders>
              <w:top w:val="single" w:sz="8" w:space="0" w:color="2E74B5"/>
              <w:left w:val="nil"/>
              <w:bottom w:val="single" w:sz="8" w:space="0" w:color="2E74B5"/>
              <w:right w:val="single" w:sz="8" w:space="0" w:color="2E74B5"/>
            </w:tcBorders>
            <w:shd w:val="clear" w:color="auto" w:fill="auto"/>
            <w:vAlign w:val="bottom"/>
          </w:tcPr>
          <w:p w14:paraId="44EEE7F4"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-2,1%</w:t>
            </w:r>
          </w:p>
        </w:tc>
      </w:tr>
      <w:tr w:rsidR="00A61464" w14:paraId="37C7646E" w14:textId="77777777">
        <w:trPr>
          <w:trHeight w:val="132"/>
        </w:trPr>
        <w:tc>
          <w:tcPr>
            <w:tcW w:w="1319"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289CFC0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Guadalajara</w:t>
            </w:r>
          </w:p>
        </w:tc>
        <w:tc>
          <w:tcPr>
            <w:tcW w:w="1464" w:type="dxa"/>
            <w:tcBorders>
              <w:top w:val="single" w:sz="8" w:space="0" w:color="2E74B5"/>
              <w:left w:val="nil"/>
              <w:bottom w:val="single" w:sz="8" w:space="0" w:color="2E74B5"/>
              <w:right w:val="single" w:sz="8" w:space="0" w:color="2E74B5"/>
            </w:tcBorders>
            <w:shd w:val="clear" w:color="auto" w:fill="auto"/>
            <w:vAlign w:val="bottom"/>
          </w:tcPr>
          <w:p w14:paraId="297C43F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23.610 €</w:t>
            </w:r>
          </w:p>
        </w:tc>
        <w:tc>
          <w:tcPr>
            <w:tcW w:w="1471" w:type="dxa"/>
            <w:tcBorders>
              <w:top w:val="single" w:sz="8" w:space="0" w:color="2E74B5"/>
              <w:left w:val="nil"/>
              <w:bottom w:val="single" w:sz="8" w:space="0" w:color="2E74B5"/>
              <w:right w:val="single" w:sz="8" w:space="0" w:color="2E74B5"/>
            </w:tcBorders>
            <w:shd w:val="clear" w:color="auto" w:fill="auto"/>
            <w:vAlign w:val="bottom"/>
          </w:tcPr>
          <w:p w14:paraId="1F48753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25.591 €</w:t>
            </w:r>
          </w:p>
        </w:tc>
        <w:tc>
          <w:tcPr>
            <w:tcW w:w="1275" w:type="dxa"/>
            <w:tcBorders>
              <w:top w:val="single" w:sz="8" w:space="0" w:color="2E74B5"/>
              <w:left w:val="nil"/>
              <w:bottom w:val="single" w:sz="8" w:space="0" w:color="2E74B5"/>
              <w:right w:val="single" w:sz="8" w:space="0" w:color="2E74B5"/>
            </w:tcBorders>
            <w:shd w:val="clear" w:color="auto" w:fill="auto"/>
            <w:vAlign w:val="bottom"/>
          </w:tcPr>
          <w:p w14:paraId="39C6471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8,4%</w:t>
            </w:r>
          </w:p>
        </w:tc>
        <w:tc>
          <w:tcPr>
            <w:tcW w:w="1418" w:type="dxa"/>
            <w:tcBorders>
              <w:top w:val="single" w:sz="8" w:space="0" w:color="2E74B5"/>
              <w:left w:val="nil"/>
              <w:bottom w:val="single" w:sz="8" w:space="0" w:color="2E74B5"/>
              <w:right w:val="single" w:sz="8" w:space="0" w:color="2E74B5"/>
            </w:tcBorders>
            <w:shd w:val="clear" w:color="auto" w:fill="auto"/>
            <w:vAlign w:val="bottom"/>
          </w:tcPr>
          <w:p w14:paraId="06A2952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8,22 €</w:t>
            </w:r>
          </w:p>
        </w:tc>
        <w:tc>
          <w:tcPr>
            <w:tcW w:w="1417" w:type="dxa"/>
            <w:tcBorders>
              <w:top w:val="single" w:sz="8" w:space="0" w:color="2E74B5"/>
              <w:left w:val="nil"/>
              <w:bottom w:val="single" w:sz="8" w:space="0" w:color="2E74B5"/>
              <w:right w:val="single" w:sz="8" w:space="0" w:color="2E74B5"/>
            </w:tcBorders>
            <w:shd w:val="clear" w:color="auto" w:fill="auto"/>
            <w:vAlign w:val="bottom"/>
          </w:tcPr>
          <w:p w14:paraId="2640B17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8,08 €</w:t>
            </w:r>
          </w:p>
        </w:tc>
        <w:tc>
          <w:tcPr>
            <w:tcW w:w="1276" w:type="dxa"/>
            <w:tcBorders>
              <w:top w:val="single" w:sz="8" w:space="0" w:color="2E74B5"/>
              <w:left w:val="nil"/>
              <w:bottom w:val="single" w:sz="8" w:space="0" w:color="2E74B5"/>
              <w:right w:val="single" w:sz="8" w:space="0" w:color="2E74B5"/>
            </w:tcBorders>
            <w:shd w:val="clear" w:color="auto" w:fill="auto"/>
            <w:vAlign w:val="bottom"/>
          </w:tcPr>
          <w:p w14:paraId="1AE3FF57"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-1,7%</w:t>
            </w:r>
          </w:p>
        </w:tc>
      </w:tr>
      <w:tr w:rsidR="00A61464" w14:paraId="7B3F3CCF" w14:textId="77777777">
        <w:trPr>
          <w:trHeight w:val="132"/>
        </w:trPr>
        <w:tc>
          <w:tcPr>
            <w:tcW w:w="1319"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77648FCC"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Huelva</w:t>
            </w:r>
          </w:p>
        </w:tc>
        <w:tc>
          <w:tcPr>
            <w:tcW w:w="1464" w:type="dxa"/>
            <w:tcBorders>
              <w:top w:val="single" w:sz="8" w:space="0" w:color="2E74B5"/>
              <w:left w:val="nil"/>
              <w:bottom w:val="single" w:sz="8" w:space="0" w:color="2E74B5"/>
              <w:right w:val="single" w:sz="8" w:space="0" w:color="2E74B5"/>
            </w:tcBorders>
            <w:shd w:val="clear" w:color="auto" w:fill="auto"/>
            <w:vAlign w:val="bottom"/>
          </w:tcPr>
          <w:p w14:paraId="67ED7C0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27.049 €</w:t>
            </w:r>
          </w:p>
        </w:tc>
        <w:tc>
          <w:tcPr>
            <w:tcW w:w="1471" w:type="dxa"/>
            <w:tcBorders>
              <w:top w:val="single" w:sz="8" w:space="0" w:color="2E74B5"/>
              <w:left w:val="nil"/>
              <w:bottom w:val="single" w:sz="8" w:space="0" w:color="2E74B5"/>
              <w:right w:val="single" w:sz="8" w:space="0" w:color="2E74B5"/>
            </w:tcBorders>
            <w:shd w:val="clear" w:color="auto" w:fill="auto"/>
            <w:vAlign w:val="bottom"/>
          </w:tcPr>
          <w:p w14:paraId="1CBBAFD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28.404 €</w:t>
            </w:r>
          </w:p>
        </w:tc>
        <w:tc>
          <w:tcPr>
            <w:tcW w:w="1275" w:type="dxa"/>
            <w:tcBorders>
              <w:top w:val="single" w:sz="8" w:space="0" w:color="2E74B5"/>
              <w:left w:val="nil"/>
              <w:bottom w:val="single" w:sz="8" w:space="0" w:color="2E74B5"/>
              <w:right w:val="single" w:sz="8" w:space="0" w:color="2E74B5"/>
            </w:tcBorders>
            <w:shd w:val="clear" w:color="auto" w:fill="auto"/>
            <w:vAlign w:val="bottom"/>
          </w:tcPr>
          <w:p w14:paraId="6755DE1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5,0%</w:t>
            </w:r>
          </w:p>
        </w:tc>
        <w:tc>
          <w:tcPr>
            <w:tcW w:w="1418" w:type="dxa"/>
            <w:tcBorders>
              <w:top w:val="single" w:sz="8" w:space="0" w:color="2E74B5"/>
              <w:left w:val="nil"/>
              <w:bottom w:val="single" w:sz="8" w:space="0" w:color="2E74B5"/>
              <w:right w:val="single" w:sz="8" w:space="0" w:color="2E74B5"/>
            </w:tcBorders>
            <w:shd w:val="clear" w:color="auto" w:fill="auto"/>
            <w:vAlign w:val="bottom"/>
          </w:tcPr>
          <w:p w14:paraId="6436E6E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9,97 €</w:t>
            </w:r>
          </w:p>
        </w:tc>
        <w:tc>
          <w:tcPr>
            <w:tcW w:w="1417" w:type="dxa"/>
            <w:tcBorders>
              <w:top w:val="single" w:sz="8" w:space="0" w:color="2E74B5"/>
              <w:left w:val="nil"/>
              <w:bottom w:val="single" w:sz="8" w:space="0" w:color="2E74B5"/>
              <w:right w:val="single" w:sz="8" w:space="0" w:color="2E74B5"/>
            </w:tcBorders>
            <w:shd w:val="clear" w:color="auto" w:fill="auto"/>
            <w:vAlign w:val="bottom"/>
          </w:tcPr>
          <w:p w14:paraId="2945537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9,87 €</w:t>
            </w:r>
          </w:p>
        </w:tc>
        <w:tc>
          <w:tcPr>
            <w:tcW w:w="1276" w:type="dxa"/>
            <w:tcBorders>
              <w:top w:val="single" w:sz="8" w:space="0" w:color="2E74B5"/>
              <w:left w:val="nil"/>
              <w:bottom w:val="single" w:sz="8" w:space="0" w:color="2E74B5"/>
              <w:right w:val="single" w:sz="8" w:space="0" w:color="2E74B5"/>
            </w:tcBorders>
            <w:shd w:val="clear" w:color="auto" w:fill="auto"/>
            <w:vAlign w:val="bottom"/>
          </w:tcPr>
          <w:p w14:paraId="639F8F09"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-1,0%</w:t>
            </w:r>
          </w:p>
        </w:tc>
      </w:tr>
    </w:tbl>
    <w:p w14:paraId="440CCAA8"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39C779CE"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3498A775"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5F5D0241"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0E2C4DC9" w14:textId="77777777" w:rsidR="00A61464" w:rsidRDefault="00A61464">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54B0C726" w14:textId="77777777" w:rsidR="00A61464"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 xml:space="preserve">Provincias con descenso de sueldo y del precio del alquiler </w:t>
      </w:r>
    </w:p>
    <w:p w14:paraId="1CD4E050" w14:textId="77777777" w:rsidR="00A61464" w:rsidRDefault="00A61464">
      <w:pPr>
        <w:spacing w:line="276" w:lineRule="auto"/>
        <w:ind w:right="-574"/>
        <w:rPr>
          <w:rFonts w:ascii="Open Sans Light" w:eastAsia="Open Sans Light" w:hAnsi="Open Sans Light" w:cs="Open Sans Light"/>
          <w:b/>
          <w:color w:val="303AB2"/>
        </w:rPr>
      </w:pPr>
    </w:p>
    <w:tbl>
      <w:tblPr>
        <w:tblStyle w:val="af4"/>
        <w:tblW w:w="9667" w:type="dxa"/>
        <w:tblInd w:w="-436" w:type="dxa"/>
        <w:tblLayout w:type="fixed"/>
        <w:tblLook w:val="0400" w:firstRow="0" w:lastRow="0" w:firstColumn="0" w:lastColumn="0" w:noHBand="0" w:noVBand="1"/>
      </w:tblPr>
      <w:tblGrid>
        <w:gridCol w:w="1319"/>
        <w:gridCol w:w="1464"/>
        <w:gridCol w:w="1471"/>
        <w:gridCol w:w="1275"/>
        <w:gridCol w:w="1418"/>
        <w:gridCol w:w="1417"/>
        <w:gridCol w:w="1303"/>
      </w:tblGrid>
      <w:tr w:rsidR="00A61464" w14:paraId="062DC631" w14:textId="77777777">
        <w:trPr>
          <w:trHeight w:val="651"/>
        </w:trPr>
        <w:tc>
          <w:tcPr>
            <w:tcW w:w="1319" w:type="dxa"/>
            <w:tcBorders>
              <w:top w:val="single" w:sz="8" w:space="0" w:color="2E74B5"/>
              <w:left w:val="single" w:sz="8" w:space="0" w:color="2E74B5"/>
              <w:bottom w:val="nil"/>
              <w:right w:val="single" w:sz="8" w:space="0" w:color="2E74B5"/>
            </w:tcBorders>
            <w:shd w:val="clear" w:color="auto" w:fill="9CC2E5"/>
            <w:vAlign w:val="center"/>
          </w:tcPr>
          <w:p w14:paraId="2DAE18EF" w14:textId="77777777" w:rsidR="00A61464" w:rsidRDefault="00000000">
            <w:pPr>
              <w:rPr>
                <w:rFonts w:ascii="Open Sans Light" w:eastAsia="Open Sans Light" w:hAnsi="Open Sans Light" w:cs="Open Sans Light"/>
                <w:sz w:val="18"/>
                <w:szCs w:val="18"/>
              </w:rPr>
            </w:pPr>
            <w:r>
              <w:rPr>
                <w:rFonts w:ascii="Open Sans Light" w:eastAsia="Open Sans Light" w:hAnsi="Open Sans Light" w:cs="Open Sans Light"/>
                <w:sz w:val="18"/>
                <w:szCs w:val="18"/>
              </w:rPr>
              <w:t>Provincia</w:t>
            </w:r>
          </w:p>
        </w:tc>
        <w:tc>
          <w:tcPr>
            <w:tcW w:w="1464" w:type="dxa"/>
            <w:tcBorders>
              <w:top w:val="single" w:sz="8" w:space="0" w:color="2E74B5"/>
              <w:left w:val="nil"/>
              <w:bottom w:val="nil"/>
              <w:right w:val="single" w:sz="8" w:space="0" w:color="2E74B5"/>
            </w:tcBorders>
            <w:shd w:val="clear" w:color="auto" w:fill="9CC2E5"/>
          </w:tcPr>
          <w:p w14:paraId="0AFF4153"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Salario medio InfoJobs (€/año) 2023</w:t>
            </w:r>
          </w:p>
        </w:tc>
        <w:tc>
          <w:tcPr>
            <w:tcW w:w="1471" w:type="dxa"/>
            <w:tcBorders>
              <w:top w:val="single" w:sz="8" w:space="0" w:color="2E74B5"/>
              <w:left w:val="nil"/>
              <w:bottom w:val="nil"/>
              <w:right w:val="single" w:sz="8" w:space="0" w:color="2E74B5"/>
            </w:tcBorders>
            <w:shd w:val="clear" w:color="auto" w:fill="9CC2E5"/>
          </w:tcPr>
          <w:p w14:paraId="7D79BEFA"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Salario medio InfoJobs (€/año) 2024</w:t>
            </w:r>
          </w:p>
        </w:tc>
        <w:tc>
          <w:tcPr>
            <w:tcW w:w="1275" w:type="dxa"/>
            <w:tcBorders>
              <w:top w:val="single" w:sz="8" w:space="0" w:color="2E74B5"/>
              <w:left w:val="nil"/>
              <w:bottom w:val="nil"/>
              <w:right w:val="single" w:sz="8" w:space="0" w:color="2E74B5"/>
            </w:tcBorders>
            <w:shd w:val="clear" w:color="auto" w:fill="9CC2E5"/>
          </w:tcPr>
          <w:p w14:paraId="42A07501"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 1 año (2024 vs. 2023)</w:t>
            </w:r>
          </w:p>
        </w:tc>
        <w:tc>
          <w:tcPr>
            <w:tcW w:w="1418" w:type="dxa"/>
            <w:tcBorders>
              <w:top w:val="single" w:sz="8" w:space="0" w:color="2E74B5"/>
              <w:left w:val="nil"/>
              <w:bottom w:val="nil"/>
              <w:right w:val="single" w:sz="8" w:space="0" w:color="2E74B5"/>
            </w:tcBorders>
            <w:shd w:val="clear" w:color="auto" w:fill="9CC2E5"/>
          </w:tcPr>
          <w:p w14:paraId="20B58EB1"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2023</w:t>
            </w:r>
          </w:p>
        </w:tc>
        <w:tc>
          <w:tcPr>
            <w:tcW w:w="1417" w:type="dxa"/>
            <w:tcBorders>
              <w:top w:val="single" w:sz="8" w:space="0" w:color="2E74B5"/>
              <w:left w:val="nil"/>
              <w:bottom w:val="nil"/>
              <w:right w:val="single" w:sz="8" w:space="0" w:color="2E74B5"/>
            </w:tcBorders>
            <w:shd w:val="clear" w:color="auto" w:fill="9CC2E5"/>
          </w:tcPr>
          <w:p w14:paraId="702FE248" w14:textId="77777777" w:rsidR="00A61464" w:rsidRDefault="00000000">
            <w:pPr>
              <w:jc w:val="center"/>
              <w:rPr>
                <w:rFonts w:ascii="Open Sans Light" w:eastAsia="Open Sans Light" w:hAnsi="Open Sans Light" w:cs="Open Sans Light"/>
                <w:sz w:val="18"/>
                <w:szCs w:val="18"/>
              </w:rPr>
            </w:pPr>
            <w:r>
              <w:rPr>
                <w:rFonts w:ascii="Open Sans Light" w:eastAsia="Open Sans Light" w:hAnsi="Open Sans Light" w:cs="Open Sans Light"/>
                <w:sz w:val="18"/>
                <w:szCs w:val="18"/>
              </w:rPr>
              <w:t xml:space="preserve"> 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2024</w:t>
            </w:r>
          </w:p>
        </w:tc>
        <w:tc>
          <w:tcPr>
            <w:tcW w:w="1303" w:type="dxa"/>
            <w:tcBorders>
              <w:top w:val="single" w:sz="8" w:space="0" w:color="2E74B5"/>
              <w:left w:val="nil"/>
              <w:bottom w:val="nil"/>
              <w:right w:val="single" w:sz="8" w:space="0" w:color="2E74B5"/>
            </w:tcBorders>
            <w:shd w:val="clear" w:color="auto" w:fill="9CC2E5"/>
          </w:tcPr>
          <w:p w14:paraId="7808D705" w14:textId="77777777" w:rsidR="00A61464" w:rsidRDefault="00000000">
            <w:pPr>
              <w:jc w:val="center"/>
              <w:rPr>
                <w:rFonts w:ascii="Open Sans Light" w:eastAsia="Open Sans Light" w:hAnsi="Open Sans Light" w:cs="Open Sans Light"/>
                <w:b/>
                <w:sz w:val="18"/>
                <w:szCs w:val="18"/>
              </w:rPr>
            </w:pPr>
            <w:r>
              <w:rPr>
                <w:rFonts w:ascii="Open Sans Light" w:eastAsia="Open Sans Light" w:hAnsi="Open Sans Light" w:cs="Open Sans Light"/>
                <w:b/>
                <w:sz w:val="18"/>
                <w:szCs w:val="18"/>
              </w:rPr>
              <w:t>% 1 año (2024 vs. 2023)</w:t>
            </w:r>
          </w:p>
        </w:tc>
      </w:tr>
      <w:tr w:rsidR="00A61464" w14:paraId="1798DBC6" w14:textId="77777777">
        <w:trPr>
          <w:trHeight w:val="132"/>
        </w:trPr>
        <w:tc>
          <w:tcPr>
            <w:tcW w:w="1319"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25190485"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Cantabria</w:t>
            </w:r>
          </w:p>
        </w:tc>
        <w:tc>
          <w:tcPr>
            <w:tcW w:w="1464" w:type="dxa"/>
            <w:tcBorders>
              <w:top w:val="single" w:sz="8" w:space="0" w:color="2E74B5"/>
              <w:left w:val="nil"/>
              <w:bottom w:val="single" w:sz="8" w:space="0" w:color="2E74B5"/>
              <w:right w:val="single" w:sz="8" w:space="0" w:color="2E74B5"/>
            </w:tcBorders>
            <w:shd w:val="clear" w:color="auto" w:fill="auto"/>
            <w:vAlign w:val="bottom"/>
          </w:tcPr>
          <w:p w14:paraId="4BCF171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26.614 €</w:t>
            </w:r>
          </w:p>
        </w:tc>
        <w:tc>
          <w:tcPr>
            <w:tcW w:w="1471" w:type="dxa"/>
            <w:tcBorders>
              <w:top w:val="single" w:sz="8" w:space="0" w:color="2E74B5"/>
              <w:left w:val="nil"/>
              <w:bottom w:val="single" w:sz="8" w:space="0" w:color="2E74B5"/>
              <w:right w:val="single" w:sz="8" w:space="0" w:color="2E74B5"/>
            </w:tcBorders>
            <w:shd w:val="clear" w:color="auto" w:fill="auto"/>
            <w:vAlign w:val="bottom"/>
          </w:tcPr>
          <w:p w14:paraId="62B4BC3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26.213 €</w:t>
            </w:r>
          </w:p>
        </w:tc>
        <w:tc>
          <w:tcPr>
            <w:tcW w:w="1275" w:type="dxa"/>
            <w:tcBorders>
              <w:top w:val="single" w:sz="8" w:space="0" w:color="2E74B5"/>
              <w:left w:val="nil"/>
              <w:bottom w:val="single" w:sz="8" w:space="0" w:color="2E74B5"/>
              <w:right w:val="single" w:sz="8" w:space="0" w:color="2E74B5"/>
            </w:tcBorders>
            <w:shd w:val="clear" w:color="auto" w:fill="auto"/>
            <w:vAlign w:val="bottom"/>
          </w:tcPr>
          <w:p w14:paraId="4AA5906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-1,5%</w:t>
            </w:r>
          </w:p>
        </w:tc>
        <w:tc>
          <w:tcPr>
            <w:tcW w:w="1418" w:type="dxa"/>
            <w:tcBorders>
              <w:top w:val="single" w:sz="8" w:space="0" w:color="2E74B5"/>
              <w:left w:val="nil"/>
              <w:bottom w:val="single" w:sz="8" w:space="0" w:color="2E74B5"/>
              <w:right w:val="single" w:sz="8" w:space="0" w:color="2E74B5"/>
            </w:tcBorders>
            <w:shd w:val="clear" w:color="auto" w:fill="auto"/>
            <w:vAlign w:val="bottom"/>
          </w:tcPr>
          <w:p w14:paraId="4CA1940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11,71 €</w:t>
            </w:r>
          </w:p>
        </w:tc>
        <w:tc>
          <w:tcPr>
            <w:tcW w:w="1417" w:type="dxa"/>
            <w:tcBorders>
              <w:top w:val="single" w:sz="8" w:space="0" w:color="2E74B5"/>
              <w:left w:val="nil"/>
              <w:bottom w:val="single" w:sz="8" w:space="0" w:color="2E74B5"/>
              <w:right w:val="single" w:sz="8" w:space="0" w:color="2E74B5"/>
            </w:tcBorders>
            <w:shd w:val="clear" w:color="auto" w:fill="auto"/>
            <w:vAlign w:val="bottom"/>
          </w:tcPr>
          <w:p w14:paraId="6DB813B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11,35 €</w:t>
            </w:r>
          </w:p>
        </w:tc>
        <w:tc>
          <w:tcPr>
            <w:tcW w:w="1303" w:type="dxa"/>
            <w:tcBorders>
              <w:top w:val="single" w:sz="8" w:space="0" w:color="2E74B5"/>
              <w:left w:val="nil"/>
              <w:bottom w:val="single" w:sz="8" w:space="0" w:color="2E74B5"/>
              <w:right w:val="single" w:sz="8" w:space="0" w:color="2E74B5"/>
            </w:tcBorders>
            <w:shd w:val="clear" w:color="auto" w:fill="auto"/>
            <w:vAlign w:val="bottom"/>
          </w:tcPr>
          <w:p w14:paraId="49D8A759"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-3,1%</w:t>
            </w:r>
          </w:p>
        </w:tc>
      </w:tr>
    </w:tbl>
    <w:p w14:paraId="5E33F79F" w14:textId="77777777" w:rsidR="00A61464" w:rsidRDefault="00A61464">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28"/>
          <w:szCs w:val="28"/>
        </w:rPr>
      </w:pPr>
    </w:p>
    <w:p w14:paraId="0AAF6D8D" w14:textId="77777777" w:rsidR="00A61464" w:rsidRDefault="00000000">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Variación anual de los salarios y del precio de la vivienda en alquiler por provincias en 2024</w:t>
      </w:r>
      <w:r>
        <w:t xml:space="preserve"> </w:t>
      </w:r>
      <w:r>
        <w:rPr>
          <w:noProof/>
        </w:rPr>
        <w:drawing>
          <wp:inline distT="0" distB="0" distL="0" distR="0" wp14:anchorId="34FFD3F9" wp14:editId="5573D843">
            <wp:extent cx="5792470" cy="3131389"/>
            <wp:effectExtent l="0" t="0" r="0" b="0"/>
            <wp:docPr id="2122072043" name="Gráfico 2122072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National" w:eastAsia="National" w:hAnsi="National" w:cs="National"/>
          <w:b/>
          <w:color w:val="303AB2"/>
          <w:sz w:val="28"/>
          <w:szCs w:val="28"/>
        </w:rPr>
        <w:t xml:space="preserve"> </w:t>
      </w:r>
    </w:p>
    <w:p w14:paraId="070A6516" w14:textId="77777777" w:rsidR="00A61464" w:rsidRDefault="00000000">
      <w:pPr>
        <w:pBdr>
          <w:top w:val="nil"/>
          <w:left w:val="nil"/>
          <w:bottom w:val="nil"/>
          <w:right w:val="nil"/>
          <w:between w:val="nil"/>
        </w:pBdr>
        <w:spacing w:line="276" w:lineRule="auto"/>
        <w:ind w:right="-574"/>
        <w:jc w:val="center"/>
        <w:rPr>
          <w:rFonts w:ascii="Open Sans Light" w:eastAsia="Open Sans Light" w:hAnsi="Open Sans Light" w:cs="Open Sans Light"/>
          <w:b/>
          <w:color w:val="303AB2"/>
          <w:sz w:val="20"/>
          <w:szCs w:val="20"/>
        </w:rPr>
      </w:pPr>
      <w:r>
        <w:rPr>
          <w:rFonts w:ascii="National" w:eastAsia="National" w:hAnsi="National" w:cs="National"/>
          <w:b/>
          <w:color w:val="303AB2"/>
          <w:sz w:val="30"/>
          <w:szCs w:val="30"/>
        </w:rPr>
        <w:t>Variación anual 2024 (%) del alquiler vs. el salario por provincia</w:t>
      </w:r>
    </w:p>
    <w:p w14:paraId="34D4AC93" w14:textId="77777777" w:rsidR="00A61464" w:rsidRDefault="00A61464">
      <w:pPr>
        <w:spacing w:line="276" w:lineRule="auto"/>
        <w:ind w:right="-574"/>
        <w:jc w:val="right"/>
        <w:rPr>
          <w:rFonts w:ascii="Open Sans Light" w:eastAsia="Open Sans Light" w:hAnsi="Open Sans Light" w:cs="Open Sans Light"/>
          <w:b/>
          <w:color w:val="303AB2"/>
        </w:rPr>
      </w:pPr>
    </w:p>
    <w:tbl>
      <w:tblPr>
        <w:tblStyle w:val="af5"/>
        <w:tblW w:w="9640" w:type="dxa"/>
        <w:tblInd w:w="-436" w:type="dxa"/>
        <w:tblLayout w:type="fixed"/>
        <w:tblLook w:val="0400" w:firstRow="0" w:lastRow="0" w:firstColumn="0" w:lastColumn="0" w:noHBand="0" w:noVBand="1"/>
      </w:tblPr>
      <w:tblGrid>
        <w:gridCol w:w="1277"/>
        <w:gridCol w:w="1417"/>
        <w:gridCol w:w="1560"/>
        <w:gridCol w:w="1275"/>
        <w:gridCol w:w="1418"/>
        <w:gridCol w:w="1276"/>
        <w:gridCol w:w="1417"/>
      </w:tblGrid>
      <w:tr w:rsidR="00A61464" w14:paraId="0ED8A2B0" w14:textId="77777777">
        <w:trPr>
          <w:trHeight w:val="822"/>
        </w:trPr>
        <w:tc>
          <w:tcPr>
            <w:tcW w:w="1277"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5DED43FD"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Provincia</w:t>
            </w:r>
          </w:p>
        </w:tc>
        <w:tc>
          <w:tcPr>
            <w:tcW w:w="1417" w:type="dxa"/>
            <w:tcBorders>
              <w:top w:val="single" w:sz="8" w:space="0" w:color="2E74B5"/>
              <w:left w:val="nil"/>
              <w:bottom w:val="single" w:sz="8" w:space="0" w:color="2E74B5"/>
              <w:right w:val="single" w:sz="8" w:space="0" w:color="2E74B5"/>
            </w:tcBorders>
            <w:shd w:val="clear" w:color="auto" w:fill="9CC2E5"/>
            <w:vAlign w:val="center"/>
          </w:tcPr>
          <w:p w14:paraId="725630C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sz w:val="18"/>
                <w:szCs w:val="18"/>
              </w:rPr>
              <w:t>Salario medio InfoJobs (€/año) 2023</w:t>
            </w:r>
          </w:p>
        </w:tc>
        <w:tc>
          <w:tcPr>
            <w:tcW w:w="1560" w:type="dxa"/>
            <w:tcBorders>
              <w:top w:val="single" w:sz="8" w:space="0" w:color="2E74B5"/>
              <w:left w:val="nil"/>
              <w:bottom w:val="single" w:sz="8" w:space="0" w:color="2E74B5"/>
              <w:right w:val="single" w:sz="8" w:space="0" w:color="2E74B5"/>
            </w:tcBorders>
            <w:shd w:val="clear" w:color="auto" w:fill="9CC2E5"/>
            <w:vAlign w:val="center"/>
          </w:tcPr>
          <w:p w14:paraId="6F9A236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sz w:val="18"/>
                <w:szCs w:val="18"/>
              </w:rPr>
              <w:t>Salario medio InfoJobs (€/año) 2024</w:t>
            </w:r>
          </w:p>
        </w:tc>
        <w:tc>
          <w:tcPr>
            <w:tcW w:w="1275" w:type="dxa"/>
            <w:tcBorders>
              <w:top w:val="single" w:sz="8" w:space="0" w:color="2E74B5"/>
              <w:left w:val="nil"/>
              <w:bottom w:val="single" w:sz="8" w:space="0" w:color="2E74B5"/>
              <w:right w:val="single" w:sz="8" w:space="0" w:color="2E74B5"/>
            </w:tcBorders>
            <w:shd w:val="clear" w:color="auto" w:fill="9CC2E5"/>
            <w:vAlign w:val="center"/>
          </w:tcPr>
          <w:p w14:paraId="074CE97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sz w:val="18"/>
                <w:szCs w:val="18"/>
              </w:rPr>
              <w:t>% 1 año (2024 vs. 2023)</w:t>
            </w:r>
          </w:p>
        </w:tc>
        <w:tc>
          <w:tcPr>
            <w:tcW w:w="1418" w:type="dxa"/>
            <w:tcBorders>
              <w:top w:val="single" w:sz="8" w:space="0" w:color="2E74B5"/>
              <w:left w:val="nil"/>
              <w:bottom w:val="single" w:sz="8" w:space="0" w:color="2E74B5"/>
              <w:right w:val="single" w:sz="8" w:space="0" w:color="2E74B5"/>
            </w:tcBorders>
            <w:shd w:val="clear" w:color="auto" w:fill="9CC2E5"/>
            <w:vAlign w:val="center"/>
          </w:tcPr>
          <w:p w14:paraId="2CA5DD0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sz w:val="18"/>
                <w:szCs w:val="18"/>
              </w:rPr>
              <w:t>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2023</w:t>
            </w:r>
          </w:p>
        </w:tc>
        <w:tc>
          <w:tcPr>
            <w:tcW w:w="1276" w:type="dxa"/>
            <w:tcBorders>
              <w:top w:val="single" w:sz="8" w:space="0" w:color="2E74B5"/>
              <w:left w:val="nil"/>
              <w:bottom w:val="single" w:sz="8" w:space="0" w:color="2E74B5"/>
              <w:right w:val="single" w:sz="8" w:space="0" w:color="2E74B5"/>
            </w:tcBorders>
            <w:shd w:val="clear" w:color="auto" w:fill="9CC2E5"/>
            <w:vAlign w:val="center"/>
          </w:tcPr>
          <w:p w14:paraId="721D9BC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sz w:val="18"/>
                <w:szCs w:val="18"/>
              </w:rPr>
              <w:t>Precio medio alquiler (€/m</w:t>
            </w:r>
            <w:r>
              <w:rPr>
                <w:rFonts w:ascii="Open Sans Light" w:eastAsia="Open Sans Light" w:hAnsi="Open Sans Light" w:cs="Open Sans Light"/>
                <w:sz w:val="18"/>
                <w:szCs w:val="18"/>
                <w:vertAlign w:val="superscript"/>
              </w:rPr>
              <w:t>2</w:t>
            </w:r>
            <w:r>
              <w:rPr>
                <w:rFonts w:ascii="Open Sans Light" w:eastAsia="Open Sans Light" w:hAnsi="Open Sans Light" w:cs="Open Sans Light"/>
                <w:sz w:val="18"/>
                <w:szCs w:val="18"/>
              </w:rPr>
              <w:t>) 2024</w:t>
            </w:r>
          </w:p>
        </w:tc>
        <w:tc>
          <w:tcPr>
            <w:tcW w:w="1417" w:type="dxa"/>
            <w:tcBorders>
              <w:top w:val="single" w:sz="8" w:space="0" w:color="2E74B5"/>
              <w:left w:val="nil"/>
              <w:bottom w:val="single" w:sz="8" w:space="0" w:color="2E74B5"/>
              <w:right w:val="single" w:sz="8" w:space="0" w:color="2E74B5"/>
            </w:tcBorders>
            <w:shd w:val="clear" w:color="auto" w:fill="9CC2E5"/>
            <w:vAlign w:val="center"/>
          </w:tcPr>
          <w:p w14:paraId="74EEF92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sz w:val="18"/>
                <w:szCs w:val="18"/>
              </w:rPr>
              <w:t>% 1 año (2024 vs. 2023)</w:t>
            </w:r>
          </w:p>
        </w:tc>
      </w:tr>
      <w:tr w:rsidR="00A61464" w14:paraId="73B4D487"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7E5EDDD"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Almería</w:t>
            </w:r>
          </w:p>
        </w:tc>
        <w:tc>
          <w:tcPr>
            <w:tcW w:w="1417" w:type="dxa"/>
            <w:tcBorders>
              <w:top w:val="nil"/>
              <w:left w:val="nil"/>
              <w:bottom w:val="single" w:sz="8" w:space="0" w:color="2E74B5"/>
              <w:right w:val="single" w:sz="8" w:space="0" w:color="2E74B5"/>
            </w:tcBorders>
            <w:shd w:val="clear" w:color="auto" w:fill="auto"/>
            <w:vAlign w:val="bottom"/>
          </w:tcPr>
          <w:p w14:paraId="3AE30C6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29.186 €</w:t>
            </w:r>
          </w:p>
        </w:tc>
        <w:tc>
          <w:tcPr>
            <w:tcW w:w="1560" w:type="dxa"/>
            <w:tcBorders>
              <w:top w:val="nil"/>
              <w:left w:val="nil"/>
              <w:bottom w:val="single" w:sz="8" w:space="0" w:color="2E74B5"/>
              <w:right w:val="single" w:sz="8" w:space="0" w:color="2E74B5"/>
            </w:tcBorders>
            <w:shd w:val="clear" w:color="auto" w:fill="auto"/>
            <w:vAlign w:val="bottom"/>
          </w:tcPr>
          <w:p w14:paraId="335FB27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27.594 €</w:t>
            </w:r>
          </w:p>
        </w:tc>
        <w:tc>
          <w:tcPr>
            <w:tcW w:w="1275" w:type="dxa"/>
            <w:tcBorders>
              <w:top w:val="nil"/>
              <w:left w:val="nil"/>
              <w:bottom w:val="single" w:sz="8" w:space="0" w:color="2E74B5"/>
              <w:right w:val="single" w:sz="8" w:space="0" w:color="2E74B5"/>
            </w:tcBorders>
            <w:shd w:val="clear" w:color="auto" w:fill="auto"/>
            <w:vAlign w:val="bottom"/>
          </w:tcPr>
          <w:p w14:paraId="794D8FE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-5,5%</w:t>
            </w:r>
          </w:p>
        </w:tc>
        <w:tc>
          <w:tcPr>
            <w:tcW w:w="1418" w:type="dxa"/>
            <w:tcBorders>
              <w:top w:val="nil"/>
              <w:left w:val="nil"/>
              <w:bottom w:val="single" w:sz="8" w:space="0" w:color="2E74B5"/>
              <w:right w:val="single" w:sz="8" w:space="0" w:color="2E74B5"/>
            </w:tcBorders>
            <w:shd w:val="clear" w:color="auto" w:fill="auto"/>
            <w:vAlign w:val="bottom"/>
          </w:tcPr>
          <w:p w14:paraId="2F95D47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8,21 €</w:t>
            </w:r>
          </w:p>
        </w:tc>
        <w:tc>
          <w:tcPr>
            <w:tcW w:w="1276" w:type="dxa"/>
            <w:tcBorders>
              <w:top w:val="nil"/>
              <w:left w:val="nil"/>
              <w:bottom w:val="single" w:sz="8" w:space="0" w:color="2E74B5"/>
              <w:right w:val="single" w:sz="8" w:space="0" w:color="2E74B5"/>
            </w:tcBorders>
            <w:shd w:val="clear" w:color="auto" w:fill="auto"/>
            <w:vAlign w:val="bottom"/>
          </w:tcPr>
          <w:p w14:paraId="220429A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8,90 €</w:t>
            </w:r>
          </w:p>
        </w:tc>
        <w:tc>
          <w:tcPr>
            <w:tcW w:w="1417" w:type="dxa"/>
            <w:tcBorders>
              <w:top w:val="nil"/>
              <w:left w:val="nil"/>
              <w:bottom w:val="single" w:sz="8" w:space="0" w:color="2E74B5"/>
              <w:right w:val="single" w:sz="8" w:space="0" w:color="2E74B5"/>
            </w:tcBorders>
            <w:shd w:val="clear" w:color="auto" w:fill="auto"/>
            <w:vAlign w:val="bottom"/>
          </w:tcPr>
          <w:p w14:paraId="14BEB86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8,4%</w:t>
            </w:r>
          </w:p>
        </w:tc>
      </w:tr>
      <w:tr w:rsidR="00A61464" w14:paraId="6687919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7B4A3713"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Cádiz</w:t>
            </w:r>
          </w:p>
        </w:tc>
        <w:tc>
          <w:tcPr>
            <w:tcW w:w="1417" w:type="dxa"/>
            <w:tcBorders>
              <w:top w:val="nil"/>
              <w:left w:val="nil"/>
              <w:bottom w:val="single" w:sz="8" w:space="0" w:color="2E74B5"/>
              <w:right w:val="single" w:sz="8" w:space="0" w:color="2E74B5"/>
            </w:tcBorders>
            <w:shd w:val="clear" w:color="auto" w:fill="auto"/>
            <w:vAlign w:val="bottom"/>
          </w:tcPr>
          <w:p w14:paraId="692FD3C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28.088 €</w:t>
            </w:r>
          </w:p>
        </w:tc>
        <w:tc>
          <w:tcPr>
            <w:tcW w:w="1560" w:type="dxa"/>
            <w:tcBorders>
              <w:top w:val="nil"/>
              <w:left w:val="nil"/>
              <w:bottom w:val="single" w:sz="8" w:space="0" w:color="2E74B5"/>
              <w:right w:val="single" w:sz="8" w:space="0" w:color="2E74B5"/>
            </w:tcBorders>
            <w:shd w:val="clear" w:color="auto" w:fill="auto"/>
            <w:vAlign w:val="bottom"/>
          </w:tcPr>
          <w:p w14:paraId="6ADD621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28.240 €</w:t>
            </w:r>
          </w:p>
        </w:tc>
        <w:tc>
          <w:tcPr>
            <w:tcW w:w="1275" w:type="dxa"/>
            <w:tcBorders>
              <w:top w:val="nil"/>
              <w:left w:val="nil"/>
              <w:bottom w:val="single" w:sz="8" w:space="0" w:color="2E74B5"/>
              <w:right w:val="single" w:sz="8" w:space="0" w:color="2E74B5"/>
            </w:tcBorders>
            <w:shd w:val="clear" w:color="auto" w:fill="auto"/>
            <w:vAlign w:val="bottom"/>
          </w:tcPr>
          <w:p w14:paraId="4A083D6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0,5%</w:t>
            </w:r>
          </w:p>
        </w:tc>
        <w:tc>
          <w:tcPr>
            <w:tcW w:w="1418" w:type="dxa"/>
            <w:tcBorders>
              <w:top w:val="nil"/>
              <w:left w:val="nil"/>
              <w:bottom w:val="single" w:sz="8" w:space="0" w:color="2E74B5"/>
              <w:right w:val="single" w:sz="8" w:space="0" w:color="2E74B5"/>
            </w:tcBorders>
            <w:shd w:val="clear" w:color="auto" w:fill="auto"/>
            <w:vAlign w:val="bottom"/>
          </w:tcPr>
          <w:p w14:paraId="3927A15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9,74 €</w:t>
            </w:r>
          </w:p>
        </w:tc>
        <w:tc>
          <w:tcPr>
            <w:tcW w:w="1276" w:type="dxa"/>
            <w:tcBorders>
              <w:top w:val="nil"/>
              <w:left w:val="nil"/>
              <w:bottom w:val="single" w:sz="8" w:space="0" w:color="2E74B5"/>
              <w:right w:val="single" w:sz="8" w:space="0" w:color="2E74B5"/>
            </w:tcBorders>
            <w:shd w:val="clear" w:color="auto" w:fill="auto"/>
            <w:vAlign w:val="bottom"/>
          </w:tcPr>
          <w:p w14:paraId="4066083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10,20 €</w:t>
            </w:r>
          </w:p>
        </w:tc>
        <w:tc>
          <w:tcPr>
            <w:tcW w:w="1417" w:type="dxa"/>
            <w:tcBorders>
              <w:top w:val="nil"/>
              <w:left w:val="nil"/>
              <w:bottom w:val="single" w:sz="8" w:space="0" w:color="2E74B5"/>
              <w:right w:val="single" w:sz="8" w:space="0" w:color="2E74B5"/>
            </w:tcBorders>
            <w:shd w:val="clear" w:color="auto" w:fill="auto"/>
            <w:vAlign w:val="bottom"/>
          </w:tcPr>
          <w:p w14:paraId="2555C58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4,7%</w:t>
            </w:r>
          </w:p>
        </w:tc>
      </w:tr>
      <w:tr w:rsidR="00A61464" w14:paraId="33F8E187"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79E8A3D1"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Córdoba</w:t>
            </w:r>
          </w:p>
        </w:tc>
        <w:tc>
          <w:tcPr>
            <w:tcW w:w="1417" w:type="dxa"/>
            <w:tcBorders>
              <w:top w:val="nil"/>
              <w:left w:val="nil"/>
              <w:bottom w:val="single" w:sz="8" w:space="0" w:color="2E74B5"/>
              <w:right w:val="single" w:sz="8" w:space="0" w:color="2E74B5"/>
            </w:tcBorders>
            <w:shd w:val="clear" w:color="auto" w:fill="auto"/>
            <w:vAlign w:val="bottom"/>
          </w:tcPr>
          <w:p w14:paraId="6CE18CF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29.644 €</w:t>
            </w:r>
          </w:p>
        </w:tc>
        <w:tc>
          <w:tcPr>
            <w:tcW w:w="1560" w:type="dxa"/>
            <w:tcBorders>
              <w:top w:val="nil"/>
              <w:left w:val="nil"/>
              <w:bottom w:val="single" w:sz="8" w:space="0" w:color="2E74B5"/>
              <w:right w:val="single" w:sz="8" w:space="0" w:color="2E74B5"/>
            </w:tcBorders>
            <w:shd w:val="clear" w:color="auto" w:fill="auto"/>
            <w:vAlign w:val="bottom"/>
          </w:tcPr>
          <w:p w14:paraId="23E9223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28.943 €</w:t>
            </w:r>
          </w:p>
        </w:tc>
        <w:tc>
          <w:tcPr>
            <w:tcW w:w="1275" w:type="dxa"/>
            <w:tcBorders>
              <w:top w:val="nil"/>
              <w:left w:val="nil"/>
              <w:bottom w:val="single" w:sz="8" w:space="0" w:color="2E74B5"/>
              <w:right w:val="single" w:sz="8" w:space="0" w:color="2E74B5"/>
            </w:tcBorders>
            <w:shd w:val="clear" w:color="auto" w:fill="auto"/>
            <w:vAlign w:val="bottom"/>
          </w:tcPr>
          <w:p w14:paraId="41D26D0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-2,4%</w:t>
            </w:r>
          </w:p>
        </w:tc>
        <w:tc>
          <w:tcPr>
            <w:tcW w:w="1418" w:type="dxa"/>
            <w:tcBorders>
              <w:top w:val="nil"/>
              <w:left w:val="nil"/>
              <w:bottom w:val="single" w:sz="8" w:space="0" w:color="2E74B5"/>
              <w:right w:val="single" w:sz="8" w:space="0" w:color="2E74B5"/>
            </w:tcBorders>
            <w:shd w:val="clear" w:color="auto" w:fill="auto"/>
            <w:vAlign w:val="bottom"/>
          </w:tcPr>
          <w:p w14:paraId="40AD5F3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7,64 €</w:t>
            </w:r>
          </w:p>
        </w:tc>
        <w:tc>
          <w:tcPr>
            <w:tcW w:w="1276" w:type="dxa"/>
            <w:tcBorders>
              <w:top w:val="nil"/>
              <w:left w:val="nil"/>
              <w:bottom w:val="single" w:sz="8" w:space="0" w:color="2E74B5"/>
              <w:right w:val="single" w:sz="8" w:space="0" w:color="2E74B5"/>
            </w:tcBorders>
            <w:shd w:val="clear" w:color="auto" w:fill="auto"/>
            <w:vAlign w:val="bottom"/>
          </w:tcPr>
          <w:p w14:paraId="562B7BC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8,16 €</w:t>
            </w:r>
          </w:p>
        </w:tc>
        <w:tc>
          <w:tcPr>
            <w:tcW w:w="1417" w:type="dxa"/>
            <w:tcBorders>
              <w:top w:val="nil"/>
              <w:left w:val="nil"/>
              <w:bottom w:val="single" w:sz="8" w:space="0" w:color="2E74B5"/>
              <w:right w:val="single" w:sz="8" w:space="0" w:color="2E74B5"/>
            </w:tcBorders>
            <w:shd w:val="clear" w:color="auto" w:fill="auto"/>
            <w:vAlign w:val="bottom"/>
          </w:tcPr>
          <w:p w14:paraId="5D3777B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6,8%</w:t>
            </w:r>
          </w:p>
        </w:tc>
      </w:tr>
      <w:tr w:rsidR="00A61464" w14:paraId="284A2051"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6DF0D267"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Granada</w:t>
            </w:r>
          </w:p>
        </w:tc>
        <w:tc>
          <w:tcPr>
            <w:tcW w:w="1417" w:type="dxa"/>
            <w:tcBorders>
              <w:top w:val="nil"/>
              <w:left w:val="nil"/>
              <w:bottom w:val="single" w:sz="8" w:space="0" w:color="2E74B5"/>
              <w:right w:val="single" w:sz="8" w:space="0" w:color="2E74B5"/>
            </w:tcBorders>
            <w:shd w:val="clear" w:color="auto" w:fill="auto"/>
            <w:vAlign w:val="bottom"/>
          </w:tcPr>
          <w:p w14:paraId="4AC4BBD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28.047 €</w:t>
            </w:r>
          </w:p>
        </w:tc>
        <w:tc>
          <w:tcPr>
            <w:tcW w:w="1560" w:type="dxa"/>
            <w:tcBorders>
              <w:top w:val="nil"/>
              <w:left w:val="nil"/>
              <w:bottom w:val="single" w:sz="8" w:space="0" w:color="2E74B5"/>
              <w:right w:val="single" w:sz="8" w:space="0" w:color="2E74B5"/>
            </w:tcBorders>
            <w:shd w:val="clear" w:color="auto" w:fill="auto"/>
            <w:vAlign w:val="bottom"/>
          </w:tcPr>
          <w:p w14:paraId="786816A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28.868 €</w:t>
            </w:r>
          </w:p>
        </w:tc>
        <w:tc>
          <w:tcPr>
            <w:tcW w:w="1275" w:type="dxa"/>
            <w:tcBorders>
              <w:top w:val="nil"/>
              <w:left w:val="nil"/>
              <w:bottom w:val="single" w:sz="8" w:space="0" w:color="2E74B5"/>
              <w:right w:val="single" w:sz="8" w:space="0" w:color="2E74B5"/>
            </w:tcBorders>
            <w:shd w:val="clear" w:color="auto" w:fill="auto"/>
            <w:vAlign w:val="bottom"/>
          </w:tcPr>
          <w:p w14:paraId="4C38F64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2,9%</w:t>
            </w:r>
          </w:p>
        </w:tc>
        <w:tc>
          <w:tcPr>
            <w:tcW w:w="1418" w:type="dxa"/>
            <w:tcBorders>
              <w:top w:val="nil"/>
              <w:left w:val="nil"/>
              <w:bottom w:val="single" w:sz="8" w:space="0" w:color="2E74B5"/>
              <w:right w:val="single" w:sz="8" w:space="0" w:color="2E74B5"/>
            </w:tcBorders>
            <w:shd w:val="clear" w:color="auto" w:fill="auto"/>
            <w:vAlign w:val="bottom"/>
          </w:tcPr>
          <w:p w14:paraId="404DE3A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9,07 €</w:t>
            </w:r>
          </w:p>
        </w:tc>
        <w:tc>
          <w:tcPr>
            <w:tcW w:w="1276" w:type="dxa"/>
            <w:tcBorders>
              <w:top w:val="nil"/>
              <w:left w:val="nil"/>
              <w:bottom w:val="single" w:sz="8" w:space="0" w:color="2E74B5"/>
              <w:right w:val="single" w:sz="8" w:space="0" w:color="2E74B5"/>
            </w:tcBorders>
            <w:shd w:val="clear" w:color="auto" w:fill="auto"/>
            <w:vAlign w:val="bottom"/>
          </w:tcPr>
          <w:p w14:paraId="07245FC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9,70 €</w:t>
            </w:r>
          </w:p>
        </w:tc>
        <w:tc>
          <w:tcPr>
            <w:tcW w:w="1417" w:type="dxa"/>
            <w:tcBorders>
              <w:top w:val="nil"/>
              <w:left w:val="nil"/>
              <w:bottom w:val="single" w:sz="8" w:space="0" w:color="2E74B5"/>
              <w:right w:val="single" w:sz="8" w:space="0" w:color="2E74B5"/>
            </w:tcBorders>
            <w:shd w:val="clear" w:color="auto" w:fill="auto"/>
            <w:vAlign w:val="bottom"/>
          </w:tcPr>
          <w:p w14:paraId="197B3FC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6,9%</w:t>
            </w:r>
          </w:p>
        </w:tc>
      </w:tr>
      <w:tr w:rsidR="00A61464" w14:paraId="4DD1D9D1"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EC67C4C"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Huelva</w:t>
            </w:r>
          </w:p>
        </w:tc>
        <w:tc>
          <w:tcPr>
            <w:tcW w:w="1417" w:type="dxa"/>
            <w:tcBorders>
              <w:top w:val="nil"/>
              <w:left w:val="nil"/>
              <w:bottom w:val="single" w:sz="8" w:space="0" w:color="2E74B5"/>
              <w:right w:val="single" w:sz="8" w:space="0" w:color="2E74B5"/>
            </w:tcBorders>
            <w:shd w:val="clear" w:color="auto" w:fill="auto"/>
            <w:vAlign w:val="bottom"/>
          </w:tcPr>
          <w:p w14:paraId="5F9B444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27.049 €</w:t>
            </w:r>
          </w:p>
        </w:tc>
        <w:tc>
          <w:tcPr>
            <w:tcW w:w="1560" w:type="dxa"/>
            <w:tcBorders>
              <w:top w:val="nil"/>
              <w:left w:val="nil"/>
              <w:bottom w:val="single" w:sz="8" w:space="0" w:color="2E74B5"/>
              <w:right w:val="single" w:sz="8" w:space="0" w:color="2E74B5"/>
            </w:tcBorders>
            <w:shd w:val="clear" w:color="auto" w:fill="auto"/>
            <w:vAlign w:val="bottom"/>
          </w:tcPr>
          <w:p w14:paraId="62973B5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28.404 €</w:t>
            </w:r>
          </w:p>
        </w:tc>
        <w:tc>
          <w:tcPr>
            <w:tcW w:w="1275" w:type="dxa"/>
            <w:tcBorders>
              <w:top w:val="nil"/>
              <w:left w:val="nil"/>
              <w:bottom w:val="single" w:sz="8" w:space="0" w:color="2E74B5"/>
              <w:right w:val="single" w:sz="8" w:space="0" w:color="2E74B5"/>
            </w:tcBorders>
            <w:shd w:val="clear" w:color="auto" w:fill="auto"/>
            <w:vAlign w:val="bottom"/>
          </w:tcPr>
          <w:p w14:paraId="5ECD94B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5,0%</w:t>
            </w:r>
          </w:p>
        </w:tc>
        <w:tc>
          <w:tcPr>
            <w:tcW w:w="1418" w:type="dxa"/>
            <w:tcBorders>
              <w:top w:val="nil"/>
              <w:left w:val="nil"/>
              <w:bottom w:val="single" w:sz="8" w:space="0" w:color="2E74B5"/>
              <w:right w:val="single" w:sz="8" w:space="0" w:color="2E74B5"/>
            </w:tcBorders>
            <w:shd w:val="clear" w:color="auto" w:fill="auto"/>
            <w:vAlign w:val="bottom"/>
          </w:tcPr>
          <w:p w14:paraId="0FCEE4D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9,97 €</w:t>
            </w:r>
          </w:p>
        </w:tc>
        <w:tc>
          <w:tcPr>
            <w:tcW w:w="1276" w:type="dxa"/>
            <w:tcBorders>
              <w:top w:val="nil"/>
              <w:left w:val="nil"/>
              <w:bottom w:val="single" w:sz="8" w:space="0" w:color="2E74B5"/>
              <w:right w:val="single" w:sz="8" w:space="0" w:color="2E74B5"/>
            </w:tcBorders>
            <w:shd w:val="clear" w:color="auto" w:fill="auto"/>
            <w:vAlign w:val="bottom"/>
          </w:tcPr>
          <w:p w14:paraId="0F2E7E2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9,87 €</w:t>
            </w:r>
          </w:p>
        </w:tc>
        <w:tc>
          <w:tcPr>
            <w:tcW w:w="1417" w:type="dxa"/>
            <w:tcBorders>
              <w:top w:val="nil"/>
              <w:left w:val="nil"/>
              <w:bottom w:val="single" w:sz="8" w:space="0" w:color="2E74B5"/>
              <w:right w:val="single" w:sz="8" w:space="0" w:color="2E74B5"/>
            </w:tcBorders>
            <w:shd w:val="clear" w:color="auto" w:fill="auto"/>
            <w:vAlign w:val="bottom"/>
          </w:tcPr>
          <w:p w14:paraId="05A95FE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-1,0%</w:t>
            </w:r>
          </w:p>
        </w:tc>
      </w:tr>
      <w:tr w:rsidR="00A61464" w14:paraId="346E2BCF"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69E1526"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Jaén</w:t>
            </w:r>
          </w:p>
        </w:tc>
        <w:tc>
          <w:tcPr>
            <w:tcW w:w="1417" w:type="dxa"/>
            <w:tcBorders>
              <w:top w:val="nil"/>
              <w:left w:val="nil"/>
              <w:bottom w:val="single" w:sz="8" w:space="0" w:color="2E74B5"/>
              <w:right w:val="single" w:sz="8" w:space="0" w:color="2E74B5"/>
            </w:tcBorders>
            <w:shd w:val="clear" w:color="auto" w:fill="auto"/>
            <w:vAlign w:val="bottom"/>
          </w:tcPr>
          <w:p w14:paraId="799E0DB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26.595 €</w:t>
            </w:r>
          </w:p>
        </w:tc>
        <w:tc>
          <w:tcPr>
            <w:tcW w:w="1560" w:type="dxa"/>
            <w:tcBorders>
              <w:top w:val="nil"/>
              <w:left w:val="nil"/>
              <w:bottom w:val="single" w:sz="8" w:space="0" w:color="2E74B5"/>
              <w:right w:val="single" w:sz="8" w:space="0" w:color="2E74B5"/>
            </w:tcBorders>
            <w:shd w:val="clear" w:color="auto" w:fill="auto"/>
            <w:vAlign w:val="bottom"/>
          </w:tcPr>
          <w:p w14:paraId="3F805D0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26.968 €</w:t>
            </w:r>
          </w:p>
        </w:tc>
        <w:tc>
          <w:tcPr>
            <w:tcW w:w="1275" w:type="dxa"/>
            <w:tcBorders>
              <w:top w:val="nil"/>
              <w:left w:val="nil"/>
              <w:bottom w:val="single" w:sz="8" w:space="0" w:color="2E74B5"/>
              <w:right w:val="single" w:sz="8" w:space="0" w:color="2E74B5"/>
            </w:tcBorders>
            <w:shd w:val="clear" w:color="auto" w:fill="auto"/>
            <w:vAlign w:val="bottom"/>
          </w:tcPr>
          <w:p w14:paraId="3A7D96A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1,4%</w:t>
            </w:r>
          </w:p>
        </w:tc>
        <w:tc>
          <w:tcPr>
            <w:tcW w:w="1418" w:type="dxa"/>
            <w:tcBorders>
              <w:top w:val="nil"/>
              <w:left w:val="nil"/>
              <w:bottom w:val="single" w:sz="8" w:space="0" w:color="2E74B5"/>
              <w:right w:val="single" w:sz="8" w:space="0" w:color="2E74B5"/>
            </w:tcBorders>
            <w:shd w:val="clear" w:color="auto" w:fill="auto"/>
            <w:vAlign w:val="bottom"/>
          </w:tcPr>
          <w:p w14:paraId="7F097EF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5,81 €</w:t>
            </w:r>
          </w:p>
        </w:tc>
        <w:tc>
          <w:tcPr>
            <w:tcW w:w="1276" w:type="dxa"/>
            <w:tcBorders>
              <w:top w:val="nil"/>
              <w:left w:val="nil"/>
              <w:bottom w:val="single" w:sz="8" w:space="0" w:color="2E74B5"/>
              <w:right w:val="single" w:sz="8" w:space="0" w:color="2E74B5"/>
            </w:tcBorders>
            <w:shd w:val="clear" w:color="auto" w:fill="auto"/>
            <w:vAlign w:val="bottom"/>
          </w:tcPr>
          <w:p w14:paraId="2A581AE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6,07 €</w:t>
            </w:r>
          </w:p>
        </w:tc>
        <w:tc>
          <w:tcPr>
            <w:tcW w:w="1417" w:type="dxa"/>
            <w:tcBorders>
              <w:top w:val="nil"/>
              <w:left w:val="nil"/>
              <w:bottom w:val="single" w:sz="8" w:space="0" w:color="2E74B5"/>
              <w:right w:val="single" w:sz="8" w:space="0" w:color="2E74B5"/>
            </w:tcBorders>
            <w:shd w:val="clear" w:color="auto" w:fill="auto"/>
            <w:vAlign w:val="bottom"/>
          </w:tcPr>
          <w:p w14:paraId="110CD5A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4,5%</w:t>
            </w:r>
          </w:p>
        </w:tc>
      </w:tr>
      <w:tr w:rsidR="00A61464" w14:paraId="4FCE5AF8"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193758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Málaga</w:t>
            </w:r>
          </w:p>
        </w:tc>
        <w:tc>
          <w:tcPr>
            <w:tcW w:w="1417" w:type="dxa"/>
            <w:tcBorders>
              <w:top w:val="nil"/>
              <w:left w:val="nil"/>
              <w:bottom w:val="single" w:sz="8" w:space="0" w:color="2E74B5"/>
              <w:right w:val="single" w:sz="8" w:space="0" w:color="2E74B5"/>
            </w:tcBorders>
            <w:shd w:val="clear" w:color="auto" w:fill="auto"/>
            <w:vAlign w:val="bottom"/>
          </w:tcPr>
          <w:p w14:paraId="110F660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27.418 €</w:t>
            </w:r>
          </w:p>
        </w:tc>
        <w:tc>
          <w:tcPr>
            <w:tcW w:w="1560" w:type="dxa"/>
            <w:tcBorders>
              <w:top w:val="nil"/>
              <w:left w:val="nil"/>
              <w:bottom w:val="single" w:sz="8" w:space="0" w:color="2E74B5"/>
              <w:right w:val="single" w:sz="8" w:space="0" w:color="2E74B5"/>
            </w:tcBorders>
            <w:shd w:val="clear" w:color="auto" w:fill="auto"/>
            <w:vAlign w:val="bottom"/>
          </w:tcPr>
          <w:p w14:paraId="16CABD3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28.911 €</w:t>
            </w:r>
          </w:p>
        </w:tc>
        <w:tc>
          <w:tcPr>
            <w:tcW w:w="1275" w:type="dxa"/>
            <w:tcBorders>
              <w:top w:val="nil"/>
              <w:left w:val="nil"/>
              <w:bottom w:val="single" w:sz="8" w:space="0" w:color="2E74B5"/>
              <w:right w:val="single" w:sz="8" w:space="0" w:color="2E74B5"/>
            </w:tcBorders>
            <w:shd w:val="clear" w:color="auto" w:fill="auto"/>
            <w:vAlign w:val="bottom"/>
          </w:tcPr>
          <w:p w14:paraId="7AC8D62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5,4%</w:t>
            </w:r>
          </w:p>
        </w:tc>
        <w:tc>
          <w:tcPr>
            <w:tcW w:w="1418" w:type="dxa"/>
            <w:tcBorders>
              <w:top w:val="nil"/>
              <w:left w:val="nil"/>
              <w:bottom w:val="single" w:sz="8" w:space="0" w:color="2E74B5"/>
              <w:right w:val="single" w:sz="8" w:space="0" w:color="2E74B5"/>
            </w:tcBorders>
            <w:shd w:val="clear" w:color="auto" w:fill="auto"/>
            <w:vAlign w:val="bottom"/>
          </w:tcPr>
          <w:p w14:paraId="05CD8EF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13,92 €</w:t>
            </w:r>
          </w:p>
        </w:tc>
        <w:tc>
          <w:tcPr>
            <w:tcW w:w="1276" w:type="dxa"/>
            <w:tcBorders>
              <w:top w:val="nil"/>
              <w:left w:val="nil"/>
              <w:bottom w:val="single" w:sz="8" w:space="0" w:color="2E74B5"/>
              <w:right w:val="single" w:sz="8" w:space="0" w:color="2E74B5"/>
            </w:tcBorders>
            <w:shd w:val="clear" w:color="auto" w:fill="auto"/>
            <w:vAlign w:val="bottom"/>
          </w:tcPr>
          <w:p w14:paraId="39F1AF4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14,79 €</w:t>
            </w:r>
          </w:p>
        </w:tc>
        <w:tc>
          <w:tcPr>
            <w:tcW w:w="1417" w:type="dxa"/>
            <w:tcBorders>
              <w:top w:val="nil"/>
              <w:left w:val="nil"/>
              <w:bottom w:val="single" w:sz="8" w:space="0" w:color="2E74B5"/>
              <w:right w:val="single" w:sz="8" w:space="0" w:color="2E74B5"/>
            </w:tcBorders>
            <w:shd w:val="clear" w:color="auto" w:fill="auto"/>
            <w:vAlign w:val="bottom"/>
          </w:tcPr>
          <w:p w14:paraId="07DD4C8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6,3%</w:t>
            </w:r>
          </w:p>
        </w:tc>
      </w:tr>
      <w:tr w:rsidR="00A61464" w14:paraId="0FF55BC8"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A84BA34"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Sevilla</w:t>
            </w:r>
          </w:p>
        </w:tc>
        <w:tc>
          <w:tcPr>
            <w:tcW w:w="1417" w:type="dxa"/>
            <w:tcBorders>
              <w:top w:val="nil"/>
              <w:left w:val="nil"/>
              <w:bottom w:val="single" w:sz="8" w:space="0" w:color="2E74B5"/>
              <w:right w:val="single" w:sz="8" w:space="0" w:color="2E74B5"/>
            </w:tcBorders>
            <w:shd w:val="clear" w:color="auto" w:fill="auto"/>
            <w:vAlign w:val="bottom"/>
          </w:tcPr>
          <w:p w14:paraId="10E83C2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25.842 €</w:t>
            </w:r>
          </w:p>
        </w:tc>
        <w:tc>
          <w:tcPr>
            <w:tcW w:w="1560" w:type="dxa"/>
            <w:tcBorders>
              <w:top w:val="nil"/>
              <w:left w:val="nil"/>
              <w:bottom w:val="single" w:sz="8" w:space="0" w:color="2E74B5"/>
              <w:right w:val="single" w:sz="8" w:space="0" w:color="2E74B5"/>
            </w:tcBorders>
            <w:shd w:val="clear" w:color="auto" w:fill="auto"/>
            <w:vAlign w:val="bottom"/>
          </w:tcPr>
          <w:p w14:paraId="38576C4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27.127 €</w:t>
            </w:r>
          </w:p>
        </w:tc>
        <w:tc>
          <w:tcPr>
            <w:tcW w:w="1275" w:type="dxa"/>
            <w:tcBorders>
              <w:top w:val="nil"/>
              <w:left w:val="nil"/>
              <w:bottom w:val="single" w:sz="8" w:space="0" w:color="2E74B5"/>
              <w:right w:val="single" w:sz="8" w:space="0" w:color="2E74B5"/>
            </w:tcBorders>
            <w:shd w:val="clear" w:color="auto" w:fill="auto"/>
            <w:vAlign w:val="bottom"/>
          </w:tcPr>
          <w:p w14:paraId="0CE25CD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5,0%</w:t>
            </w:r>
          </w:p>
        </w:tc>
        <w:tc>
          <w:tcPr>
            <w:tcW w:w="1418" w:type="dxa"/>
            <w:tcBorders>
              <w:top w:val="nil"/>
              <w:left w:val="nil"/>
              <w:bottom w:val="single" w:sz="8" w:space="0" w:color="2E74B5"/>
              <w:right w:val="single" w:sz="8" w:space="0" w:color="2E74B5"/>
            </w:tcBorders>
            <w:shd w:val="clear" w:color="auto" w:fill="auto"/>
            <w:vAlign w:val="bottom"/>
          </w:tcPr>
          <w:p w14:paraId="630FF3D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10,97 €</w:t>
            </w:r>
          </w:p>
        </w:tc>
        <w:tc>
          <w:tcPr>
            <w:tcW w:w="1276" w:type="dxa"/>
            <w:tcBorders>
              <w:top w:val="nil"/>
              <w:left w:val="nil"/>
              <w:bottom w:val="single" w:sz="8" w:space="0" w:color="2E74B5"/>
              <w:right w:val="single" w:sz="8" w:space="0" w:color="2E74B5"/>
            </w:tcBorders>
            <w:shd w:val="clear" w:color="auto" w:fill="auto"/>
            <w:vAlign w:val="bottom"/>
          </w:tcPr>
          <w:p w14:paraId="760ACCE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12,67 €</w:t>
            </w:r>
          </w:p>
        </w:tc>
        <w:tc>
          <w:tcPr>
            <w:tcW w:w="1417" w:type="dxa"/>
            <w:tcBorders>
              <w:top w:val="nil"/>
              <w:left w:val="nil"/>
              <w:bottom w:val="single" w:sz="8" w:space="0" w:color="2E74B5"/>
              <w:right w:val="single" w:sz="8" w:space="0" w:color="2E74B5"/>
            </w:tcBorders>
            <w:shd w:val="clear" w:color="auto" w:fill="auto"/>
            <w:vAlign w:val="bottom"/>
          </w:tcPr>
          <w:p w14:paraId="1764C56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15,5%</w:t>
            </w:r>
          </w:p>
        </w:tc>
      </w:tr>
      <w:tr w:rsidR="00A61464" w14:paraId="13CA374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2CEC1F3"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Huesca</w:t>
            </w:r>
          </w:p>
        </w:tc>
        <w:tc>
          <w:tcPr>
            <w:tcW w:w="1417" w:type="dxa"/>
            <w:tcBorders>
              <w:top w:val="nil"/>
              <w:left w:val="nil"/>
              <w:bottom w:val="single" w:sz="8" w:space="0" w:color="2E74B5"/>
              <w:right w:val="single" w:sz="8" w:space="0" w:color="2E74B5"/>
            </w:tcBorders>
            <w:shd w:val="clear" w:color="auto" w:fill="auto"/>
            <w:vAlign w:val="bottom"/>
          </w:tcPr>
          <w:p w14:paraId="60F36D4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25.660 €</w:t>
            </w:r>
          </w:p>
        </w:tc>
        <w:tc>
          <w:tcPr>
            <w:tcW w:w="1560" w:type="dxa"/>
            <w:tcBorders>
              <w:top w:val="nil"/>
              <w:left w:val="nil"/>
              <w:bottom w:val="single" w:sz="8" w:space="0" w:color="2E74B5"/>
              <w:right w:val="single" w:sz="8" w:space="0" w:color="2E74B5"/>
            </w:tcBorders>
            <w:shd w:val="clear" w:color="auto" w:fill="auto"/>
            <w:vAlign w:val="bottom"/>
          </w:tcPr>
          <w:p w14:paraId="75B3389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27.271 €</w:t>
            </w:r>
          </w:p>
        </w:tc>
        <w:tc>
          <w:tcPr>
            <w:tcW w:w="1275" w:type="dxa"/>
            <w:tcBorders>
              <w:top w:val="nil"/>
              <w:left w:val="nil"/>
              <w:bottom w:val="single" w:sz="8" w:space="0" w:color="2E74B5"/>
              <w:right w:val="single" w:sz="8" w:space="0" w:color="2E74B5"/>
            </w:tcBorders>
            <w:shd w:val="clear" w:color="auto" w:fill="auto"/>
            <w:vAlign w:val="bottom"/>
          </w:tcPr>
          <w:p w14:paraId="778FF5B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6,3%</w:t>
            </w:r>
          </w:p>
        </w:tc>
        <w:tc>
          <w:tcPr>
            <w:tcW w:w="1418" w:type="dxa"/>
            <w:tcBorders>
              <w:top w:val="nil"/>
              <w:left w:val="nil"/>
              <w:bottom w:val="single" w:sz="8" w:space="0" w:color="2E74B5"/>
              <w:right w:val="single" w:sz="8" w:space="0" w:color="2E74B5"/>
            </w:tcBorders>
            <w:shd w:val="clear" w:color="auto" w:fill="auto"/>
            <w:vAlign w:val="bottom"/>
          </w:tcPr>
          <w:p w14:paraId="68D2521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8,70 €</w:t>
            </w:r>
          </w:p>
        </w:tc>
        <w:tc>
          <w:tcPr>
            <w:tcW w:w="1276" w:type="dxa"/>
            <w:tcBorders>
              <w:top w:val="nil"/>
              <w:left w:val="nil"/>
              <w:bottom w:val="single" w:sz="8" w:space="0" w:color="2E74B5"/>
              <w:right w:val="single" w:sz="8" w:space="0" w:color="2E74B5"/>
            </w:tcBorders>
            <w:shd w:val="clear" w:color="auto" w:fill="auto"/>
            <w:vAlign w:val="bottom"/>
          </w:tcPr>
          <w:p w14:paraId="67A4D3E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10,06 €</w:t>
            </w:r>
          </w:p>
        </w:tc>
        <w:tc>
          <w:tcPr>
            <w:tcW w:w="1417" w:type="dxa"/>
            <w:tcBorders>
              <w:top w:val="nil"/>
              <w:left w:val="nil"/>
              <w:bottom w:val="single" w:sz="8" w:space="0" w:color="2E74B5"/>
              <w:right w:val="single" w:sz="8" w:space="0" w:color="2E74B5"/>
            </w:tcBorders>
            <w:shd w:val="clear" w:color="auto" w:fill="auto"/>
            <w:vAlign w:val="bottom"/>
          </w:tcPr>
          <w:p w14:paraId="3962866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15,6%</w:t>
            </w:r>
          </w:p>
        </w:tc>
      </w:tr>
      <w:tr w:rsidR="00A61464" w14:paraId="43910EC4" w14:textId="77777777">
        <w:trPr>
          <w:trHeight w:val="234"/>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FB7FBFB"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Teruel</w:t>
            </w:r>
          </w:p>
        </w:tc>
        <w:tc>
          <w:tcPr>
            <w:tcW w:w="1417" w:type="dxa"/>
            <w:tcBorders>
              <w:top w:val="nil"/>
              <w:left w:val="nil"/>
              <w:bottom w:val="single" w:sz="8" w:space="0" w:color="2E74B5"/>
              <w:right w:val="single" w:sz="8" w:space="0" w:color="2E74B5"/>
            </w:tcBorders>
            <w:shd w:val="clear" w:color="auto" w:fill="auto"/>
            <w:vAlign w:val="bottom"/>
          </w:tcPr>
          <w:p w14:paraId="604AADD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24.305 €</w:t>
            </w:r>
          </w:p>
        </w:tc>
        <w:tc>
          <w:tcPr>
            <w:tcW w:w="1560" w:type="dxa"/>
            <w:tcBorders>
              <w:top w:val="nil"/>
              <w:left w:val="nil"/>
              <w:bottom w:val="single" w:sz="8" w:space="0" w:color="2E74B5"/>
              <w:right w:val="single" w:sz="8" w:space="0" w:color="2E74B5"/>
            </w:tcBorders>
            <w:shd w:val="clear" w:color="auto" w:fill="auto"/>
            <w:vAlign w:val="bottom"/>
          </w:tcPr>
          <w:p w14:paraId="2BFAF86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25.285 €</w:t>
            </w:r>
          </w:p>
        </w:tc>
        <w:tc>
          <w:tcPr>
            <w:tcW w:w="1275" w:type="dxa"/>
            <w:tcBorders>
              <w:top w:val="nil"/>
              <w:left w:val="nil"/>
              <w:bottom w:val="single" w:sz="8" w:space="0" w:color="2E74B5"/>
              <w:right w:val="single" w:sz="8" w:space="0" w:color="2E74B5"/>
            </w:tcBorders>
            <w:shd w:val="clear" w:color="auto" w:fill="auto"/>
            <w:vAlign w:val="bottom"/>
          </w:tcPr>
          <w:p w14:paraId="56185A3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4,0%</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7F49BECD"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6,65 €</w:t>
            </w:r>
          </w:p>
        </w:tc>
        <w:tc>
          <w:tcPr>
            <w:tcW w:w="1276" w:type="dxa"/>
            <w:tcBorders>
              <w:top w:val="nil"/>
              <w:left w:val="nil"/>
              <w:bottom w:val="single" w:sz="8" w:space="0" w:color="2E74B5"/>
              <w:right w:val="single" w:sz="8" w:space="0" w:color="2E74B5"/>
            </w:tcBorders>
            <w:shd w:val="clear" w:color="auto" w:fill="auto"/>
            <w:vAlign w:val="bottom"/>
          </w:tcPr>
          <w:p w14:paraId="4B29C1F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6,51 €</w:t>
            </w:r>
          </w:p>
        </w:tc>
        <w:tc>
          <w:tcPr>
            <w:tcW w:w="1417" w:type="dxa"/>
            <w:tcBorders>
              <w:top w:val="nil"/>
              <w:left w:val="nil"/>
              <w:bottom w:val="single" w:sz="8" w:space="0" w:color="2E74B5"/>
              <w:right w:val="single" w:sz="8" w:space="0" w:color="2E74B5"/>
            </w:tcBorders>
            <w:shd w:val="clear" w:color="auto" w:fill="auto"/>
            <w:vAlign w:val="bottom"/>
          </w:tcPr>
          <w:p w14:paraId="1C033EE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-2,1%</w:t>
            </w:r>
          </w:p>
        </w:tc>
      </w:tr>
      <w:tr w:rsidR="00A61464" w14:paraId="1327CF8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EF04FCB"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Zaragoza</w:t>
            </w:r>
          </w:p>
        </w:tc>
        <w:tc>
          <w:tcPr>
            <w:tcW w:w="1417" w:type="dxa"/>
            <w:tcBorders>
              <w:top w:val="nil"/>
              <w:left w:val="nil"/>
              <w:bottom w:val="single" w:sz="8" w:space="0" w:color="2E74B5"/>
              <w:right w:val="single" w:sz="8" w:space="0" w:color="2E74B5"/>
            </w:tcBorders>
            <w:shd w:val="clear" w:color="auto" w:fill="auto"/>
            <w:vAlign w:val="bottom"/>
          </w:tcPr>
          <w:p w14:paraId="5431E96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25.304 €</w:t>
            </w:r>
          </w:p>
        </w:tc>
        <w:tc>
          <w:tcPr>
            <w:tcW w:w="1560" w:type="dxa"/>
            <w:tcBorders>
              <w:top w:val="nil"/>
              <w:left w:val="nil"/>
              <w:bottom w:val="single" w:sz="8" w:space="0" w:color="2E74B5"/>
              <w:right w:val="single" w:sz="8" w:space="0" w:color="2E74B5"/>
            </w:tcBorders>
            <w:shd w:val="clear" w:color="auto" w:fill="auto"/>
            <w:vAlign w:val="bottom"/>
          </w:tcPr>
          <w:p w14:paraId="19D2DE6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25.965 €</w:t>
            </w:r>
          </w:p>
        </w:tc>
        <w:tc>
          <w:tcPr>
            <w:tcW w:w="1275" w:type="dxa"/>
            <w:tcBorders>
              <w:top w:val="nil"/>
              <w:left w:val="nil"/>
              <w:bottom w:val="single" w:sz="8" w:space="0" w:color="2E74B5"/>
              <w:right w:val="single" w:sz="8" w:space="0" w:color="2E74B5"/>
            </w:tcBorders>
            <w:shd w:val="clear" w:color="auto" w:fill="auto"/>
            <w:vAlign w:val="bottom"/>
          </w:tcPr>
          <w:p w14:paraId="49AB80D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2,6%</w:t>
            </w:r>
          </w:p>
        </w:tc>
        <w:tc>
          <w:tcPr>
            <w:tcW w:w="1418" w:type="dxa"/>
            <w:tcBorders>
              <w:top w:val="nil"/>
              <w:left w:val="nil"/>
              <w:bottom w:val="single" w:sz="8" w:space="0" w:color="2E74B5"/>
              <w:right w:val="single" w:sz="8" w:space="0" w:color="2E74B5"/>
            </w:tcBorders>
            <w:shd w:val="clear" w:color="auto" w:fill="auto"/>
            <w:vAlign w:val="bottom"/>
          </w:tcPr>
          <w:p w14:paraId="537AAD5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9,68 €</w:t>
            </w:r>
          </w:p>
        </w:tc>
        <w:tc>
          <w:tcPr>
            <w:tcW w:w="1276" w:type="dxa"/>
            <w:tcBorders>
              <w:top w:val="nil"/>
              <w:left w:val="nil"/>
              <w:bottom w:val="single" w:sz="8" w:space="0" w:color="2E74B5"/>
              <w:right w:val="single" w:sz="8" w:space="0" w:color="2E74B5"/>
            </w:tcBorders>
            <w:shd w:val="clear" w:color="auto" w:fill="auto"/>
            <w:vAlign w:val="bottom"/>
          </w:tcPr>
          <w:p w14:paraId="2459D34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10,73 €</w:t>
            </w:r>
          </w:p>
        </w:tc>
        <w:tc>
          <w:tcPr>
            <w:tcW w:w="1417" w:type="dxa"/>
            <w:tcBorders>
              <w:top w:val="nil"/>
              <w:left w:val="nil"/>
              <w:bottom w:val="single" w:sz="8" w:space="0" w:color="2E74B5"/>
              <w:right w:val="single" w:sz="8" w:space="0" w:color="2E74B5"/>
            </w:tcBorders>
            <w:shd w:val="clear" w:color="auto" w:fill="auto"/>
            <w:vAlign w:val="bottom"/>
          </w:tcPr>
          <w:p w14:paraId="250A31D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10,8%</w:t>
            </w:r>
          </w:p>
        </w:tc>
      </w:tr>
      <w:tr w:rsidR="00A61464" w14:paraId="2AF1837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7951BC51"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lastRenderedPageBreak/>
              <w:t>Asturias</w:t>
            </w:r>
          </w:p>
        </w:tc>
        <w:tc>
          <w:tcPr>
            <w:tcW w:w="1417" w:type="dxa"/>
            <w:tcBorders>
              <w:top w:val="nil"/>
              <w:left w:val="nil"/>
              <w:bottom w:val="single" w:sz="8" w:space="0" w:color="2E74B5"/>
              <w:right w:val="single" w:sz="8" w:space="0" w:color="2E74B5"/>
            </w:tcBorders>
            <w:shd w:val="clear" w:color="auto" w:fill="auto"/>
            <w:vAlign w:val="bottom"/>
          </w:tcPr>
          <w:p w14:paraId="4FB271C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27.857 €</w:t>
            </w:r>
          </w:p>
        </w:tc>
        <w:tc>
          <w:tcPr>
            <w:tcW w:w="1560" w:type="dxa"/>
            <w:tcBorders>
              <w:top w:val="nil"/>
              <w:left w:val="nil"/>
              <w:bottom w:val="single" w:sz="8" w:space="0" w:color="2E74B5"/>
              <w:right w:val="single" w:sz="8" w:space="0" w:color="2E74B5"/>
            </w:tcBorders>
            <w:shd w:val="clear" w:color="auto" w:fill="auto"/>
            <w:vAlign w:val="bottom"/>
          </w:tcPr>
          <w:p w14:paraId="0BC4A16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27.675 €</w:t>
            </w:r>
          </w:p>
        </w:tc>
        <w:tc>
          <w:tcPr>
            <w:tcW w:w="1275" w:type="dxa"/>
            <w:tcBorders>
              <w:top w:val="nil"/>
              <w:left w:val="nil"/>
              <w:bottom w:val="single" w:sz="8" w:space="0" w:color="2E74B5"/>
              <w:right w:val="single" w:sz="8" w:space="0" w:color="2E74B5"/>
            </w:tcBorders>
            <w:shd w:val="clear" w:color="auto" w:fill="auto"/>
            <w:vAlign w:val="bottom"/>
          </w:tcPr>
          <w:p w14:paraId="11710E1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-0,7%</w:t>
            </w:r>
          </w:p>
        </w:tc>
        <w:tc>
          <w:tcPr>
            <w:tcW w:w="1418" w:type="dxa"/>
            <w:tcBorders>
              <w:top w:val="nil"/>
              <w:left w:val="nil"/>
              <w:bottom w:val="single" w:sz="8" w:space="0" w:color="2E74B5"/>
              <w:right w:val="single" w:sz="8" w:space="0" w:color="2E74B5"/>
            </w:tcBorders>
            <w:shd w:val="clear" w:color="auto" w:fill="auto"/>
            <w:vAlign w:val="bottom"/>
          </w:tcPr>
          <w:p w14:paraId="393747A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9,37 €</w:t>
            </w:r>
          </w:p>
        </w:tc>
        <w:tc>
          <w:tcPr>
            <w:tcW w:w="1276" w:type="dxa"/>
            <w:tcBorders>
              <w:top w:val="nil"/>
              <w:left w:val="nil"/>
              <w:bottom w:val="single" w:sz="8" w:space="0" w:color="2E74B5"/>
              <w:right w:val="single" w:sz="8" w:space="0" w:color="2E74B5"/>
            </w:tcBorders>
            <w:shd w:val="clear" w:color="auto" w:fill="auto"/>
            <w:vAlign w:val="bottom"/>
          </w:tcPr>
          <w:p w14:paraId="18C39DD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10,63 €</w:t>
            </w:r>
          </w:p>
        </w:tc>
        <w:tc>
          <w:tcPr>
            <w:tcW w:w="1417" w:type="dxa"/>
            <w:tcBorders>
              <w:top w:val="nil"/>
              <w:left w:val="nil"/>
              <w:bottom w:val="single" w:sz="8" w:space="0" w:color="2E74B5"/>
              <w:right w:val="single" w:sz="8" w:space="0" w:color="2E74B5"/>
            </w:tcBorders>
            <w:shd w:val="clear" w:color="auto" w:fill="auto"/>
            <w:vAlign w:val="bottom"/>
          </w:tcPr>
          <w:p w14:paraId="238B1D5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13,4%</w:t>
            </w:r>
          </w:p>
        </w:tc>
      </w:tr>
      <w:tr w:rsidR="00A61464" w14:paraId="63025C75"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E4C9B63"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Illes Balears</w:t>
            </w:r>
          </w:p>
        </w:tc>
        <w:tc>
          <w:tcPr>
            <w:tcW w:w="1417" w:type="dxa"/>
            <w:tcBorders>
              <w:top w:val="nil"/>
              <w:left w:val="nil"/>
              <w:bottom w:val="single" w:sz="8" w:space="0" w:color="2E74B5"/>
              <w:right w:val="single" w:sz="8" w:space="0" w:color="2E74B5"/>
            </w:tcBorders>
            <w:shd w:val="clear" w:color="auto" w:fill="auto"/>
            <w:vAlign w:val="bottom"/>
          </w:tcPr>
          <w:p w14:paraId="2BF1D8D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25.727 €</w:t>
            </w:r>
          </w:p>
        </w:tc>
        <w:tc>
          <w:tcPr>
            <w:tcW w:w="1560" w:type="dxa"/>
            <w:tcBorders>
              <w:top w:val="nil"/>
              <w:left w:val="nil"/>
              <w:bottom w:val="single" w:sz="8" w:space="0" w:color="2E74B5"/>
              <w:right w:val="single" w:sz="8" w:space="0" w:color="2E74B5"/>
            </w:tcBorders>
            <w:shd w:val="clear" w:color="auto" w:fill="auto"/>
            <w:vAlign w:val="bottom"/>
          </w:tcPr>
          <w:p w14:paraId="7817981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27.327 €</w:t>
            </w:r>
          </w:p>
        </w:tc>
        <w:tc>
          <w:tcPr>
            <w:tcW w:w="1275" w:type="dxa"/>
            <w:tcBorders>
              <w:top w:val="nil"/>
              <w:left w:val="nil"/>
              <w:bottom w:val="single" w:sz="8" w:space="0" w:color="2E74B5"/>
              <w:right w:val="single" w:sz="8" w:space="0" w:color="2E74B5"/>
            </w:tcBorders>
            <w:shd w:val="clear" w:color="auto" w:fill="auto"/>
            <w:vAlign w:val="bottom"/>
          </w:tcPr>
          <w:p w14:paraId="3C31FC0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6,2%</w:t>
            </w:r>
          </w:p>
        </w:tc>
        <w:tc>
          <w:tcPr>
            <w:tcW w:w="1418" w:type="dxa"/>
            <w:tcBorders>
              <w:top w:val="nil"/>
              <w:left w:val="nil"/>
              <w:bottom w:val="single" w:sz="8" w:space="0" w:color="2E74B5"/>
              <w:right w:val="single" w:sz="8" w:space="0" w:color="2E74B5"/>
            </w:tcBorders>
            <w:shd w:val="clear" w:color="auto" w:fill="auto"/>
            <w:vAlign w:val="bottom"/>
          </w:tcPr>
          <w:p w14:paraId="649F4EF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16,90 €</w:t>
            </w:r>
          </w:p>
        </w:tc>
        <w:tc>
          <w:tcPr>
            <w:tcW w:w="1276" w:type="dxa"/>
            <w:tcBorders>
              <w:top w:val="nil"/>
              <w:left w:val="nil"/>
              <w:bottom w:val="single" w:sz="8" w:space="0" w:color="2E74B5"/>
              <w:right w:val="single" w:sz="8" w:space="0" w:color="2E74B5"/>
            </w:tcBorders>
            <w:shd w:val="clear" w:color="auto" w:fill="auto"/>
            <w:vAlign w:val="bottom"/>
          </w:tcPr>
          <w:p w14:paraId="4EA56E8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17,45 €</w:t>
            </w:r>
          </w:p>
        </w:tc>
        <w:tc>
          <w:tcPr>
            <w:tcW w:w="1417" w:type="dxa"/>
            <w:tcBorders>
              <w:top w:val="nil"/>
              <w:left w:val="nil"/>
              <w:bottom w:val="single" w:sz="8" w:space="0" w:color="2E74B5"/>
              <w:right w:val="single" w:sz="8" w:space="0" w:color="2E74B5"/>
            </w:tcBorders>
            <w:shd w:val="clear" w:color="auto" w:fill="auto"/>
            <w:vAlign w:val="bottom"/>
          </w:tcPr>
          <w:p w14:paraId="3B8E73E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3,3%</w:t>
            </w:r>
          </w:p>
        </w:tc>
      </w:tr>
      <w:tr w:rsidR="00A61464" w14:paraId="7EB02D5D"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6CA1DD07"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Las Palmas</w:t>
            </w:r>
          </w:p>
        </w:tc>
        <w:tc>
          <w:tcPr>
            <w:tcW w:w="1417" w:type="dxa"/>
            <w:tcBorders>
              <w:top w:val="nil"/>
              <w:left w:val="nil"/>
              <w:bottom w:val="single" w:sz="8" w:space="0" w:color="2E74B5"/>
              <w:right w:val="single" w:sz="8" w:space="0" w:color="2E74B5"/>
            </w:tcBorders>
            <w:shd w:val="clear" w:color="auto" w:fill="auto"/>
            <w:vAlign w:val="bottom"/>
          </w:tcPr>
          <w:p w14:paraId="18A93E4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23.519 €</w:t>
            </w:r>
          </w:p>
        </w:tc>
        <w:tc>
          <w:tcPr>
            <w:tcW w:w="1560" w:type="dxa"/>
            <w:tcBorders>
              <w:top w:val="nil"/>
              <w:left w:val="nil"/>
              <w:bottom w:val="single" w:sz="8" w:space="0" w:color="2E74B5"/>
              <w:right w:val="single" w:sz="8" w:space="0" w:color="2E74B5"/>
            </w:tcBorders>
            <w:shd w:val="clear" w:color="auto" w:fill="auto"/>
          </w:tcPr>
          <w:p w14:paraId="2FC79AB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b/>
                <w:color w:val="000000"/>
                <w:sz w:val="18"/>
                <w:szCs w:val="18"/>
              </w:rPr>
              <w:t>-</w:t>
            </w:r>
          </w:p>
        </w:tc>
        <w:tc>
          <w:tcPr>
            <w:tcW w:w="1275" w:type="dxa"/>
            <w:tcBorders>
              <w:top w:val="nil"/>
              <w:left w:val="nil"/>
              <w:bottom w:val="single" w:sz="8" w:space="0" w:color="2E74B5"/>
              <w:right w:val="single" w:sz="8" w:space="0" w:color="2E74B5"/>
            </w:tcBorders>
            <w:shd w:val="clear" w:color="auto" w:fill="auto"/>
          </w:tcPr>
          <w:p w14:paraId="17862AC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c>
          <w:tcPr>
            <w:tcW w:w="1418" w:type="dxa"/>
            <w:tcBorders>
              <w:top w:val="nil"/>
              <w:left w:val="nil"/>
              <w:bottom w:val="single" w:sz="8" w:space="0" w:color="2E74B5"/>
              <w:right w:val="single" w:sz="8" w:space="0" w:color="2E74B5"/>
            </w:tcBorders>
            <w:shd w:val="clear" w:color="auto" w:fill="auto"/>
            <w:vAlign w:val="bottom"/>
          </w:tcPr>
          <w:p w14:paraId="1124E4A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12,91 €</w:t>
            </w:r>
          </w:p>
        </w:tc>
        <w:tc>
          <w:tcPr>
            <w:tcW w:w="1276" w:type="dxa"/>
            <w:tcBorders>
              <w:top w:val="nil"/>
              <w:left w:val="nil"/>
              <w:bottom w:val="single" w:sz="8" w:space="0" w:color="2E74B5"/>
              <w:right w:val="single" w:sz="8" w:space="0" w:color="2E74B5"/>
            </w:tcBorders>
            <w:shd w:val="clear" w:color="auto" w:fill="auto"/>
          </w:tcPr>
          <w:p w14:paraId="4F64768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b/>
                <w:color w:val="000000"/>
                <w:sz w:val="18"/>
                <w:szCs w:val="18"/>
              </w:rPr>
              <w:t>-</w:t>
            </w:r>
          </w:p>
        </w:tc>
        <w:tc>
          <w:tcPr>
            <w:tcW w:w="1417" w:type="dxa"/>
            <w:tcBorders>
              <w:top w:val="nil"/>
              <w:left w:val="nil"/>
              <w:bottom w:val="single" w:sz="8" w:space="0" w:color="2E74B5"/>
              <w:right w:val="single" w:sz="8" w:space="0" w:color="2E74B5"/>
            </w:tcBorders>
            <w:shd w:val="clear" w:color="auto" w:fill="auto"/>
          </w:tcPr>
          <w:p w14:paraId="5C247BD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r>
      <w:tr w:rsidR="00A61464" w14:paraId="5439C60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7C93A74"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Santa Cruz de Tenerife</w:t>
            </w:r>
          </w:p>
        </w:tc>
        <w:tc>
          <w:tcPr>
            <w:tcW w:w="1417" w:type="dxa"/>
            <w:tcBorders>
              <w:top w:val="nil"/>
              <w:left w:val="nil"/>
              <w:bottom w:val="single" w:sz="8" w:space="0" w:color="2E74B5"/>
              <w:right w:val="single" w:sz="8" w:space="0" w:color="2E74B5"/>
            </w:tcBorders>
            <w:shd w:val="clear" w:color="auto" w:fill="auto"/>
            <w:vAlign w:val="bottom"/>
          </w:tcPr>
          <w:p w14:paraId="0DD43CC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24.283 €</w:t>
            </w:r>
          </w:p>
        </w:tc>
        <w:tc>
          <w:tcPr>
            <w:tcW w:w="1560" w:type="dxa"/>
            <w:tcBorders>
              <w:top w:val="nil"/>
              <w:left w:val="nil"/>
              <w:bottom w:val="single" w:sz="8" w:space="0" w:color="2E74B5"/>
              <w:right w:val="single" w:sz="8" w:space="0" w:color="2E74B5"/>
            </w:tcBorders>
            <w:shd w:val="clear" w:color="auto" w:fill="auto"/>
          </w:tcPr>
          <w:p w14:paraId="222B459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b/>
                <w:color w:val="000000"/>
                <w:sz w:val="18"/>
                <w:szCs w:val="18"/>
              </w:rPr>
              <w:t>-</w:t>
            </w:r>
          </w:p>
        </w:tc>
        <w:tc>
          <w:tcPr>
            <w:tcW w:w="1275" w:type="dxa"/>
            <w:tcBorders>
              <w:top w:val="nil"/>
              <w:left w:val="nil"/>
              <w:bottom w:val="single" w:sz="8" w:space="0" w:color="2E74B5"/>
              <w:right w:val="single" w:sz="8" w:space="0" w:color="2E74B5"/>
            </w:tcBorders>
            <w:shd w:val="clear" w:color="auto" w:fill="auto"/>
          </w:tcPr>
          <w:p w14:paraId="7119F31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c>
          <w:tcPr>
            <w:tcW w:w="1418" w:type="dxa"/>
            <w:tcBorders>
              <w:top w:val="nil"/>
              <w:left w:val="nil"/>
              <w:bottom w:val="single" w:sz="8" w:space="0" w:color="2E74B5"/>
              <w:right w:val="single" w:sz="8" w:space="0" w:color="2E74B5"/>
            </w:tcBorders>
            <w:shd w:val="clear" w:color="auto" w:fill="auto"/>
            <w:vAlign w:val="bottom"/>
          </w:tcPr>
          <w:p w14:paraId="0B8FCAD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12,62 €</w:t>
            </w:r>
          </w:p>
        </w:tc>
        <w:tc>
          <w:tcPr>
            <w:tcW w:w="1276" w:type="dxa"/>
            <w:tcBorders>
              <w:top w:val="nil"/>
              <w:left w:val="nil"/>
              <w:bottom w:val="single" w:sz="8" w:space="0" w:color="2E74B5"/>
              <w:right w:val="single" w:sz="8" w:space="0" w:color="2E74B5"/>
            </w:tcBorders>
            <w:shd w:val="clear" w:color="auto" w:fill="auto"/>
          </w:tcPr>
          <w:p w14:paraId="266676E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b/>
                <w:color w:val="000000"/>
                <w:sz w:val="18"/>
                <w:szCs w:val="18"/>
              </w:rPr>
              <w:t>-</w:t>
            </w:r>
          </w:p>
        </w:tc>
        <w:tc>
          <w:tcPr>
            <w:tcW w:w="1417" w:type="dxa"/>
            <w:tcBorders>
              <w:top w:val="nil"/>
              <w:left w:val="nil"/>
              <w:bottom w:val="single" w:sz="8" w:space="0" w:color="2E74B5"/>
              <w:right w:val="single" w:sz="8" w:space="0" w:color="2E74B5"/>
            </w:tcBorders>
            <w:shd w:val="clear" w:color="auto" w:fill="auto"/>
          </w:tcPr>
          <w:p w14:paraId="43EC1DA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r>
      <w:tr w:rsidR="00A61464" w14:paraId="0171D310"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76E4C16"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Cantabria</w:t>
            </w:r>
          </w:p>
        </w:tc>
        <w:tc>
          <w:tcPr>
            <w:tcW w:w="1417" w:type="dxa"/>
            <w:tcBorders>
              <w:top w:val="nil"/>
              <w:left w:val="nil"/>
              <w:bottom w:val="single" w:sz="8" w:space="0" w:color="2E74B5"/>
              <w:right w:val="single" w:sz="8" w:space="0" w:color="2E74B5"/>
            </w:tcBorders>
            <w:shd w:val="clear" w:color="auto" w:fill="auto"/>
            <w:vAlign w:val="bottom"/>
          </w:tcPr>
          <w:p w14:paraId="6D69D08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26.614 €</w:t>
            </w:r>
          </w:p>
        </w:tc>
        <w:tc>
          <w:tcPr>
            <w:tcW w:w="1560" w:type="dxa"/>
            <w:tcBorders>
              <w:top w:val="nil"/>
              <w:left w:val="nil"/>
              <w:bottom w:val="single" w:sz="8" w:space="0" w:color="2E74B5"/>
              <w:right w:val="single" w:sz="8" w:space="0" w:color="2E74B5"/>
            </w:tcBorders>
            <w:shd w:val="clear" w:color="auto" w:fill="auto"/>
            <w:vAlign w:val="bottom"/>
          </w:tcPr>
          <w:p w14:paraId="0F7140B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26.213 €</w:t>
            </w:r>
          </w:p>
        </w:tc>
        <w:tc>
          <w:tcPr>
            <w:tcW w:w="1275" w:type="dxa"/>
            <w:tcBorders>
              <w:top w:val="nil"/>
              <w:left w:val="nil"/>
              <w:bottom w:val="single" w:sz="8" w:space="0" w:color="2E74B5"/>
              <w:right w:val="single" w:sz="8" w:space="0" w:color="2E74B5"/>
            </w:tcBorders>
            <w:shd w:val="clear" w:color="auto" w:fill="auto"/>
            <w:vAlign w:val="bottom"/>
          </w:tcPr>
          <w:p w14:paraId="06CC10D6"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-1,5%</w:t>
            </w:r>
          </w:p>
        </w:tc>
        <w:tc>
          <w:tcPr>
            <w:tcW w:w="1418" w:type="dxa"/>
            <w:tcBorders>
              <w:top w:val="nil"/>
              <w:left w:val="nil"/>
              <w:bottom w:val="single" w:sz="8" w:space="0" w:color="2E74B5"/>
              <w:right w:val="single" w:sz="8" w:space="0" w:color="2E74B5"/>
            </w:tcBorders>
            <w:shd w:val="clear" w:color="auto" w:fill="auto"/>
            <w:vAlign w:val="bottom"/>
          </w:tcPr>
          <w:p w14:paraId="5DAE943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11,71 €</w:t>
            </w:r>
          </w:p>
        </w:tc>
        <w:tc>
          <w:tcPr>
            <w:tcW w:w="1276" w:type="dxa"/>
            <w:tcBorders>
              <w:top w:val="nil"/>
              <w:left w:val="nil"/>
              <w:bottom w:val="single" w:sz="8" w:space="0" w:color="2E74B5"/>
              <w:right w:val="single" w:sz="8" w:space="0" w:color="2E74B5"/>
            </w:tcBorders>
            <w:shd w:val="clear" w:color="auto" w:fill="auto"/>
            <w:vAlign w:val="bottom"/>
          </w:tcPr>
          <w:p w14:paraId="0D79F8B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11,35 €</w:t>
            </w:r>
          </w:p>
        </w:tc>
        <w:tc>
          <w:tcPr>
            <w:tcW w:w="1417" w:type="dxa"/>
            <w:tcBorders>
              <w:top w:val="nil"/>
              <w:left w:val="nil"/>
              <w:bottom w:val="single" w:sz="8" w:space="0" w:color="2E74B5"/>
              <w:right w:val="single" w:sz="8" w:space="0" w:color="2E74B5"/>
            </w:tcBorders>
            <w:shd w:val="clear" w:color="auto" w:fill="auto"/>
            <w:vAlign w:val="bottom"/>
          </w:tcPr>
          <w:p w14:paraId="1B46AD4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-3,1%</w:t>
            </w:r>
          </w:p>
        </w:tc>
      </w:tr>
      <w:tr w:rsidR="00A61464" w14:paraId="55265DC6" w14:textId="77777777">
        <w:trPr>
          <w:trHeight w:val="234"/>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6BAB9A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Ávila</w:t>
            </w:r>
          </w:p>
        </w:tc>
        <w:tc>
          <w:tcPr>
            <w:tcW w:w="1417" w:type="dxa"/>
            <w:tcBorders>
              <w:top w:val="nil"/>
              <w:left w:val="nil"/>
              <w:bottom w:val="single" w:sz="8" w:space="0" w:color="2E74B5"/>
              <w:right w:val="single" w:sz="8" w:space="0" w:color="2E74B5"/>
            </w:tcBorders>
            <w:shd w:val="clear" w:color="auto" w:fill="auto"/>
            <w:vAlign w:val="bottom"/>
          </w:tcPr>
          <w:p w14:paraId="446FD41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24.586 €</w:t>
            </w:r>
          </w:p>
        </w:tc>
        <w:tc>
          <w:tcPr>
            <w:tcW w:w="1560" w:type="dxa"/>
            <w:tcBorders>
              <w:top w:val="nil"/>
              <w:left w:val="nil"/>
              <w:bottom w:val="single" w:sz="8" w:space="0" w:color="2E74B5"/>
              <w:right w:val="single" w:sz="8" w:space="0" w:color="2E74B5"/>
            </w:tcBorders>
            <w:shd w:val="clear" w:color="auto" w:fill="auto"/>
            <w:vAlign w:val="bottom"/>
          </w:tcPr>
          <w:p w14:paraId="1127643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26.040 €</w:t>
            </w:r>
          </w:p>
        </w:tc>
        <w:tc>
          <w:tcPr>
            <w:tcW w:w="1275" w:type="dxa"/>
            <w:tcBorders>
              <w:top w:val="nil"/>
              <w:left w:val="nil"/>
              <w:bottom w:val="single" w:sz="8" w:space="0" w:color="2E74B5"/>
              <w:right w:val="single" w:sz="8" w:space="0" w:color="2E74B5"/>
            </w:tcBorders>
            <w:shd w:val="clear" w:color="auto" w:fill="auto"/>
            <w:vAlign w:val="bottom"/>
          </w:tcPr>
          <w:p w14:paraId="2F3C271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5,9%</w:t>
            </w:r>
          </w:p>
        </w:tc>
        <w:tc>
          <w:tcPr>
            <w:tcW w:w="1418" w:type="dxa"/>
            <w:tcBorders>
              <w:top w:val="nil"/>
              <w:left w:val="nil"/>
              <w:bottom w:val="single" w:sz="8" w:space="0" w:color="2E74B5"/>
              <w:right w:val="single" w:sz="8" w:space="0" w:color="2E74B5"/>
            </w:tcBorders>
            <w:shd w:val="clear" w:color="auto" w:fill="auto"/>
            <w:vAlign w:val="bottom"/>
          </w:tcPr>
          <w:p w14:paraId="31B53F8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   €</w:t>
            </w:r>
          </w:p>
        </w:tc>
        <w:tc>
          <w:tcPr>
            <w:tcW w:w="1276" w:type="dxa"/>
            <w:tcBorders>
              <w:top w:val="nil"/>
              <w:left w:val="nil"/>
              <w:bottom w:val="single" w:sz="8" w:space="0" w:color="2E74B5"/>
              <w:right w:val="single" w:sz="8" w:space="0" w:color="2E74B5"/>
            </w:tcBorders>
            <w:shd w:val="clear" w:color="auto" w:fill="auto"/>
            <w:vAlign w:val="bottom"/>
          </w:tcPr>
          <w:p w14:paraId="1153F10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7,40 €</w:t>
            </w:r>
          </w:p>
        </w:tc>
        <w:tc>
          <w:tcPr>
            <w:tcW w:w="1417" w:type="dxa"/>
            <w:tcBorders>
              <w:top w:val="nil"/>
              <w:left w:val="nil"/>
              <w:bottom w:val="single" w:sz="8" w:space="0" w:color="2E74B5"/>
              <w:right w:val="single" w:sz="8" w:space="0" w:color="2E74B5"/>
            </w:tcBorders>
            <w:shd w:val="clear" w:color="auto" w:fill="auto"/>
            <w:vAlign w:val="bottom"/>
          </w:tcPr>
          <w:p w14:paraId="5C521CC3" w14:textId="77777777" w:rsidR="00A61464" w:rsidRDefault="00A61464">
            <w:pPr>
              <w:jc w:val="center"/>
              <w:rPr>
                <w:rFonts w:ascii="Open Sans Light" w:eastAsia="Open Sans Light" w:hAnsi="Open Sans Light" w:cs="Open Sans Light"/>
                <w:b/>
                <w:color w:val="000000"/>
                <w:sz w:val="18"/>
                <w:szCs w:val="18"/>
              </w:rPr>
            </w:pPr>
          </w:p>
        </w:tc>
      </w:tr>
      <w:tr w:rsidR="00A61464" w14:paraId="1B1185F5"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BE85537"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Burgos</w:t>
            </w:r>
          </w:p>
        </w:tc>
        <w:tc>
          <w:tcPr>
            <w:tcW w:w="1417" w:type="dxa"/>
            <w:tcBorders>
              <w:top w:val="nil"/>
              <w:left w:val="nil"/>
              <w:bottom w:val="single" w:sz="8" w:space="0" w:color="2E74B5"/>
              <w:right w:val="single" w:sz="8" w:space="0" w:color="2E74B5"/>
            </w:tcBorders>
            <w:shd w:val="clear" w:color="auto" w:fill="auto"/>
            <w:vAlign w:val="bottom"/>
          </w:tcPr>
          <w:p w14:paraId="5B19E21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26.181 €</w:t>
            </w:r>
          </w:p>
        </w:tc>
        <w:tc>
          <w:tcPr>
            <w:tcW w:w="1560" w:type="dxa"/>
            <w:tcBorders>
              <w:top w:val="nil"/>
              <w:left w:val="nil"/>
              <w:bottom w:val="single" w:sz="8" w:space="0" w:color="2E74B5"/>
              <w:right w:val="single" w:sz="8" w:space="0" w:color="2E74B5"/>
            </w:tcBorders>
            <w:shd w:val="clear" w:color="auto" w:fill="auto"/>
            <w:vAlign w:val="bottom"/>
          </w:tcPr>
          <w:p w14:paraId="0B04692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26.556 €</w:t>
            </w:r>
          </w:p>
        </w:tc>
        <w:tc>
          <w:tcPr>
            <w:tcW w:w="1275" w:type="dxa"/>
            <w:tcBorders>
              <w:top w:val="nil"/>
              <w:left w:val="nil"/>
              <w:bottom w:val="single" w:sz="8" w:space="0" w:color="2E74B5"/>
              <w:right w:val="single" w:sz="8" w:space="0" w:color="2E74B5"/>
            </w:tcBorders>
            <w:shd w:val="clear" w:color="auto" w:fill="auto"/>
            <w:vAlign w:val="bottom"/>
          </w:tcPr>
          <w:p w14:paraId="43429EE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1,4%</w:t>
            </w:r>
          </w:p>
        </w:tc>
        <w:tc>
          <w:tcPr>
            <w:tcW w:w="1418" w:type="dxa"/>
            <w:tcBorders>
              <w:top w:val="nil"/>
              <w:left w:val="nil"/>
              <w:bottom w:val="single" w:sz="8" w:space="0" w:color="2E74B5"/>
              <w:right w:val="single" w:sz="8" w:space="0" w:color="2E74B5"/>
            </w:tcBorders>
            <w:shd w:val="clear" w:color="auto" w:fill="auto"/>
            <w:vAlign w:val="bottom"/>
          </w:tcPr>
          <w:p w14:paraId="6DD63A4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8,65 €</w:t>
            </w:r>
          </w:p>
        </w:tc>
        <w:tc>
          <w:tcPr>
            <w:tcW w:w="1276" w:type="dxa"/>
            <w:tcBorders>
              <w:top w:val="nil"/>
              <w:left w:val="nil"/>
              <w:bottom w:val="single" w:sz="8" w:space="0" w:color="2E74B5"/>
              <w:right w:val="single" w:sz="8" w:space="0" w:color="2E74B5"/>
            </w:tcBorders>
            <w:shd w:val="clear" w:color="auto" w:fill="auto"/>
            <w:vAlign w:val="bottom"/>
          </w:tcPr>
          <w:p w14:paraId="4E86075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9,11 €</w:t>
            </w:r>
          </w:p>
        </w:tc>
        <w:tc>
          <w:tcPr>
            <w:tcW w:w="1417" w:type="dxa"/>
            <w:tcBorders>
              <w:top w:val="nil"/>
              <w:left w:val="nil"/>
              <w:bottom w:val="single" w:sz="8" w:space="0" w:color="2E74B5"/>
              <w:right w:val="single" w:sz="8" w:space="0" w:color="2E74B5"/>
            </w:tcBorders>
            <w:shd w:val="clear" w:color="auto" w:fill="auto"/>
            <w:vAlign w:val="bottom"/>
          </w:tcPr>
          <w:p w14:paraId="06D456C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5,3%</w:t>
            </w:r>
          </w:p>
        </w:tc>
      </w:tr>
      <w:tr w:rsidR="00A61464" w14:paraId="58818C1C"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A4CB8F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León</w:t>
            </w:r>
          </w:p>
        </w:tc>
        <w:tc>
          <w:tcPr>
            <w:tcW w:w="1417" w:type="dxa"/>
            <w:tcBorders>
              <w:top w:val="nil"/>
              <w:left w:val="nil"/>
              <w:bottom w:val="single" w:sz="8" w:space="0" w:color="2E74B5"/>
              <w:right w:val="single" w:sz="8" w:space="0" w:color="2E74B5"/>
            </w:tcBorders>
            <w:shd w:val="clear" w:color="auto" w:fill="auto"/>
            <w:vAlign w:val="bottom"/>
          </w:tcPr>
          <w:p w14:paraId="3C5F73C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22.450 €</w:t>
            </w:r>
          </w:p>
        </w:tc>
        <w:tc>
          <w:tcPr>
            <w:tcW w:w="1560" w:type="dxa"/>
            <w:tcBorders>
              <w:top w:val="nil"/>
              <w:left w:val="nil"/>
              <w:bottom w:val="single" w:sz="8" w:space="0" w:color="2E74B5"/>
              <w:right w:val="single" w:sz="8" w:space="0" w:color="2E74B5"/>
            </w:tcBorders>
            <w:shd w:val="clear" w:color="auto" w:fill="auto"/>
            <w:vAlign w:val="bottom"/>
          </w:tcPr>
          <w:p w14:paraId="34E87F2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25.849 €</w:t>
            </w:r>
          </w:p>
        </w:tc>
        <w:tc>
          <w:tcPr>
            <w:tcW w:w="1275" w:type="dxa"/>
            <w:tcBorders>
              <w:top w:val="nil"/>
              <w:left w:val="nil"/>
              <w:bottom w:val="single" w:sz="8" w:space="0" w:color="2E74B5"/>
              <w:right w:val="single" w:sz="8" w:space="0" w:color="2E74B5"/>
            </w:tcBorders>
            <w:shd w:val="clear" w:color="auto" w:fill="auto"/>
            <w:vAlign w:val="bottom"/>
          </w:tcPr>
          <w:p w14:paraId="5663561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15,1%</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3BEB4092"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7,07 €</w:t>
            </w:r>
          </w:p>
        </w:tc>
        <w:tc>
          <w:tcPr>
            <w:tcW w:w="1276" w:type="dxa"/>
            <w:tcBorders>
              <w:top w:val="nil"/>
              <w:left w:val="nil"/>
              <w:bottom w:val="single" w:sz="8" w:space="0" w:color="2E74B5"/>
              <w:right w:val="single" w:sz="8" w:space="0" w:color="2E74B5"/>
            </w:tcBorders>
            <w:shd w:val="clear" w:color="auto" w:fill="auto"/>
            <w:vAlign w:val="bottom"/>
          </w:tcPr>
          <w:p w14:paraId="4B18F70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7,82 €</w:t>
            </w:r>
          </w:p>
        </w:tc>
        <w:tc>
          <w:tcPr>
            <w:tcW w:w="1417" w:type="dxa"/>
            <w:tcBorders>
              <w:top w:val="nil"/>
              <w:left w:val="nil"/>
              <w:bottom w:val="single" w:sz="8" w:space="0" w:color="2E74B5"/>
              <w:right w:val="single" w:sz="8" w:space="0" w:color="2E74B5"/>
            </w:tcBorders>
            <w:shd w:val="clear" w:color="auto" w:fill="auto"/>
            <w:vAlign w:val="bottom"/>
          </w:tcPr>
          <w:p w14:paraId="17CAC20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10,6%</w:t>
            </w:r>
          </w:p>
        </w:tc>
      </w:tr>
      <w:tr w:rsidR="00A61464" w14:paraId="5242131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7CE8EFA6"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Palencia</w:t>
            </w:r>
          </w:p>
        </w:tc>
        <w:tc>
          <w:tcPr>
            <w:tcW w:w="1417" w:type="dxa"/>
            <w:tcBorders>
              <w:top w:val="nil"/>
              <w:left w:val="nil"/>
              <w:bottom w:val="single" w:sz="8" w:space="0" w:color="2E74B5"/>
              <w:right w:val="single" w:sz="8" w:space="0" w:color="2E74B5"/>
            </w:tcBorders>
            <w:shd w:val="clear" w:color="auto" w:fill="auto"/>
            <w:vAlign w:val="bottom"/>
          </w:tcPr>
          <w:p w14:paraId="0F3EBF9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22.968 €</w:t>
            </w:r>
          </w:p>
        </w:tc>
        <w:tc>
          <w:tcPr>
            <w:tcW w:w="1560" w:type="dxa"/>
            <w:tcBorders>
              <w:top w:val="nil"/>
              <w:left w:val="nil"/>
              <w:bottom w:val="single" w:sz="8" w:space="0" w:color="2E74B5"/>
              <w:right w:val="single" w:sz="8" w:space="0" w:color="2E74B5"/>
            </w:tcBorders>
            <w:shd w:val="clear" w:color="auto" w:fill="auto"/>
            <w:vAlign w:val="bottom"/>
          </w:tcPr>
          <w:p w14:paraId="75481F1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24.327 €</w:t>
            </w:r>
          </w:p>
        </w:tc>
        <w:tc>
          <w:tcPr>
            <w:tcW w:w="1275" w:type="dxa"/>
            <w:tcBorders>
              <w:top w:val="nil"/>
              <w:left w:val="nil"/>
              <w:bottom w:val="single" w:sz="8" w:space="0" w:color="2E74B5"/>
              <w:right w:val="single" w:sz="8" w:space="0" w:color="2E74B5"/>
            </w:tcBorders>
            <w:shd w:val="clear" w:color="auto" w:fill="auto"/>
            <w:vAlign w:val="bottom"/>
          </w:tcPr>
          <w:p w14:paraId="6ADD105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5,9%</w:t>
            </w:r>
          </w:p>
        </w:tc>
        <w:tc>
          <w:tcPr>
            <w:tcW w:w="1418" w:type="dxa"/>
            <w:tcBorders>
              <w:top w:val="nil"/>
              <w:left w:val="nil"/>
              <w:bottom w:val="single" w:sz="8" w:space="0" w:color="2E74B5"/>
              <w:right w:val="single" w:sz="8" w:space="0" w:color="2E74B5"/>
            </w:tcBorders>
            <w:shd w:val="clear" w:color="auto" w:fill="auto"/>
            <w:vAlign w:val="bottom"/>
          </w:tcPr>
          <w:p w14:paraId="3DC8BDE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6,82 €</w:t>
            </w:r>
          </w:p>
        </w:tc>
        <w:tc>
          <w:tcPr>
            <w:tcW w:w="1276" w:type="dxa"/>
            <w:tcBorders>
              <w:top w:val="nil"/>
              <w:left w:val="nil"/>
              <w:bottom w:val="single" w:sz="8" w:space="0" w:color="2E74B5"/>
              <w:right w:val="single" w:sz="8" w:space="0" w:color="2E74B5"/>
            </w:tcBorders>
            <w:shd w:val="clear" w:color="auto" w:fill="auto"/>
            <w:vAlign w:val="bottom"/>
          </w:tcPr>
          <w:p w14:paraId="592B5C0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8,15 €</w:t>
            </w:r>
          </w:p>
        </w:tc>
        <w:tc>
          <w:tcPr>
            <w:tcW w:w="1417" w:type="dxa"/>
            <w:tcBorders>
              <w:top w:val="nil"/>
              <w:left w:val="nil"/>
              <w:bottom w:val="single" w:sz="8" w:space="0" w:color="2E74B5"/>
              <w:right w:val="single" w:sz="8" w:space="0" w:color="2E74B5"/>
            </w:tcBorders>
            <w:shd w:val="clear" w:color="auto" w:fill="auto"/>
            <w:vAlign w:val="bottom"/>
          </w:tcPr>
          <w:p w14:paraId="6F7763F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19,5%</w:t>
            </w:r>
          </w:p>
        </w:tc>
      </w:tr>
      <w:tr w:rsidR="00A61464" w14:paraId="3AED4E6A"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BE3C4B4"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Salamanca</w:t>
            </w:r>
          </w:p>
        </w:tc>
        <w:tc>
          <w:tcPr>
            <w:tcW w:w="1417" w:type="dxa"/>
            <w:tcBorders>
              <w:top w:val="nil"/>
              <w:left w:val="nil"/>
              <w:bottom w:val="single" w:sz="8" w:space="0" w:color="2E74B5"/>
              <w:right w:val="single" w:sz="8" w:space="0" w:color="2E74B5"/>
            </w:tcBorders>
            <w:shd w:val="clear" w:color="auto" w:fill="auto"/>
            <w:vAlign w:val="bottom"/>
          </w:tcPr>
          <w:p w14:paraId="7BFE1BA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25.685 €</w:t>
            </w:r>
          </w:p>
        </w:tc>
        <w:tc>
          <w:tcPr>
            <w:tcW w:w="1560" w:type="dxa"/>
            <w:tcBorders>
              <w:top w:val="nil"/>
              <w:left w:val="nil"/>
              <w:bottom w:val="single" w:sz="8" w:space="0" w:color="2E74B5"/>
              <w:right w:val="single" w:sz="8" w:space="0" w:color="2E74B5"/>
            </w:tcBorders>
            <w:shd w:val="clear" w:color="auto" w:fill="auto"/>
            <w:vAlign w:val="bottom"/>
          </w:tcPr>
          <w:p w14:paraId="5E78F0C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24.609 €</w:t>
            </w:r>
          </w:p>
        </w:tc>
        <w:tc>
          <w:tcPr>
            <w:tcW w:w="1275" w:type="dxa"/>
            <w:tcBorders>
              <w:top w:val="nil"/>
              <w:left w:val="nil"/>
              <w:bottom w:val="single" w:sz="8" w:space="0" w:color="2E74B5"/>
              <w:right w:val="single" w:sz="8" w:space="0" w:color="2E74B5"/>
            </w:tcBorders>
            <w:shd w:val="clear" w:color="auto" w:fill="auto"/>
            <w:vAlign w:val="bottom"/>
          </w:tcPr>
          <w:p w14:paraId="60BAB56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-4,2%</w:t>
            </w:r>
          </w:p>
        </w:tc>
        <w:tc>
          <w:tcPr>
            <w:tcW w:w="1418" w:type="dxa"/>
            <w:tcBorders>
              <w:top w:val="nil"/>
              <w:left w:val="nil"/>
              <w:bottom w:val="single" w:sz="8" w:space="0" w:color="2E74B5"/>
              <w:right w:val="single" w:sz="8" w:space="0" w:color="2E74B5"/>
            </w:tcBorders>
            <w:shd w:val="clear" w:color="auto" w:fill="auto"/>
            <w:vAlign w:val="bottom"/>
          </w:tcPr>
          <w:p w14:paraId="75CEDEF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9,13 €</w:t>
            </w:r>
          </w:p>
        </w:tc>
        <w:tc>
          <w:tcPr>
            <w:tcW w:w="1276" w:type="dxa"/>
            <w:tcBorders>
              <w:top w:val="nil"/>
              <w:left w:val="nil"/>
              <w:bottom w:val="single" w:sz="8" w:space="0" w:color="2E74B5"/>
              <w:right w:val="single" w:sz="8" w:space="0" w:color="2E74B5"/>
            </w:tcBorders>
            <w:shd w:val="clear" w:color="auto" w:fill="auto"/>
            <w:vAlign w:val="bottom"/>
          </w:tcPr>
          <w:p w14:paraId="1C4D087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9,58 €</w:t>
            </w:r>
          </w:p>
        </w:tc>
        <w:tc>
          <w:tcPr>
            <w:tcW w:w="1417" w:type="dxa"/>
            <w:tcBorders>
              <w:top w:val="nil"/>
              <w:left w:val="nil"/>
              <w:bottom w:val="single" w:sz="8" w:space="0" w:color="2E74B5"/>
              <w:right w:val="single" w:sz="8" w:space="0" w:color="2E74B5"/>
            </w:tcBorders>
            <w:shd w:val="clear" w:color="auto" w:fill="auto"/>
            <w:vAlign w:val="bottom"/>
          </w:tcPr>
          <w:p w14:paraId="524BA45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4,9%</w:t>
            </w:r>
          </w:p>
        </w:tc>
      </w:tr>
      <w:tr w:rsidR="00A61464" w14:paraId="4D8DD6F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CE60F0D"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Segovia</w:t>
            </w:r>
          </w:p>
        </w:tc>
        <w:tc>
          <w:tcPr>
            <w:tcW w:w="1417" w:type="dxa"/>
            <w:tcBorders>
              <w:top w:val="nil"/>
              <w:left w:val="nil"/>
              <w:bottom w:val="single" w:sz="8" w:space="0" w:color="2E74B5"/>
              <w:right w:val="single" w:sz="8" w:space="0" w:color="2E74B5"/>
            </w:tcBorders>
            <w:shd w:val="clear" w:color="auto" w:fill="auto"/>
            <w:vAlign w:val="bottom"/>
          </w:tcPr>
          <w:p w14:paraId="60DC37B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24.085 €</w:t>
            </w:r>
          </w:p>
        </w:tc>
        <w:tc>
          <w:tcPr>
            <w:tcW w:w="1560" w:type="dxa"/>
            <w:tcBorders>
              <w:top w:val="nil"/>
              <w:left w:val="nil"/>
              <w:bottom w:val="single" w:sz="8" w:space="0" w:color="2E74B5"/>
              <w:right w:val="single" w:sz="8" w:space="0" w:color="2E74B5"/>
            </w:tcBorders>
            <w:shd w:val="clear" w:color="auto" w:fill="auto"/>
            <w:vAlign w:val="bottom"/>
          </w:tcPr>
          <w:p w14:paraId="7B51768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23.983 €</w:t>
            </w:r>
          </w:p>
        </w:tc>
        <w:tc>
          <w:tcPr>
            <w:tcW w:w="1275" w:type="dxa"/>
            <w:tcBorders>
              <w:top w:val="nil"/>
              <w:left w:val="nil"/>
              <w:bottom w:val="single" w:sz="8" w:space="0" w:color="2E74B5"/>
              <w:right w:val="single" w:sz="8" w:space="0" w:color="2E74B5"/>
            </w:tcBorders>
            <w:shd w:val="clear" w:color="auto" w:fill="auto"/>
            <w:vAlign w:val="bottom"/>
          </w:tcPr>
          <w:p w14:paraId="7F3E566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-0,4%</w:t>
            </w:r>
          </w:p>
        </w:tc>
        <w:tc>
          <w:tcPr>
            <w:tcW w:w="1418" w:type="dxa"/>
            <w:tcBorders>
              <w:top w:val="nil"/>
              <w:left w:val="nil"/>
              <w:bottom w:val="single" w:sz="8" w:space="0" w:color="2E74B5"/>
              <w:right w:val="single" w:sz="8" w:space="0" w:color="2E74B5"/>
            </w:tcBorders>
            <w:shd w:val="clear" w:color="auto" w:fill="auto"/>
            <w:vAlign w:val="bottom"/>
          </w:tcPr>
          <w:p w14:paraId="1586142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10,16 €</w:t>
            </w:r>
          </w:p>
        </w:tc>
        <w:tc>
          <w:tcPr>
            <w:tcW w:w="1276" w:type="dxa"/>
            <w:tcBorders>
              <w:top w:val="nil"/>
              <w:left w:val="nil"/>
              <w:bottom w:val="single" w:sz="8" w:space="0" w:color="2E74B5"/>
              <w:right w:val="single" w:sz="8" w:space="0" w:color="2E74B5"/>
            </w:tcBorders>
            <w:shd w:val="clear" w:color="auto" w:fill="auto"/>
            <w:vAlign w:val="bottom"/>
          </w:tcPr>
          <w:p w14:paraId="53BECD9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10,25 €</w:t>
            </w:r>
          </w:p>
        </w:tc>
        <w:tc>
          <w:tcPr>
            <w:tcW w:w="1417" w:type="dxa"/>
            <w:tcBorders>
              <w:top w:val="nil"/>
              <w:left w:val="nil"/>
              <w:bottom w:val="single" w:sz="8" w:space="0" w:color="2E74B5"/>
              <w:right w:val="single" w:sz="8" w:space="0" w:color="2E74B5"/>
            </w:tcBorders>
            <w:shd w:val="clear" w:color="auto" w:fill="auto"/>
            <w:vAlign w:val="bottom"/>
          </w:tcPr>
          <w:p w14:paraId="59E1FC0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0,9%</w:t>
            </w:r>
          </w:p>
        </w:tc>
      </w:tr>
      <w:tr w:rsidR="00A61464" w14:paraId="2697AB5D"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57D377F"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Soria</w:t>
            </w:r>
          </w:p>
        </w:tc>
        <w:tc>
          <w:tcPr>
            <w:tcW w:w="1417" w:type="dxa"/>
            <w:tcBorders>
              <w:top w:val="nil"/>
              <w:left w:val="nil"/>
              <w:bottom w:val="single" w:sz="8" w:space="0" w:color="2E74B5"/>
              <w:right w:val="single" w:sz="8" w:space="0" w:color="2E74B5"/>
            </w:tcBorders>
            <w:shd w:val="clear" w:color="auto" w:fill="auto"/>
            <w:vAlign w:val="bottom"/>
          </w:tcPr>
          <w:p w14:paraId="3FC6D496"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25.550 €</w:t>
            </w:r>
          </w:p>
        </w:tc>
        <w:tc>
          <w:tcPr>
            <w:tcW w:w="1560" w:type="dxa"/>
            <w:tcBorders>
              <w:top w:val="nil"/>
              <w:left w:val="nil"/>
              <w:bottom w:val="single" w:sz="8" w:space="0" w:color="2E74B5"/>
              <w:right w:val="single" w:sz="8" w:space="0" w:color="2E74B5"/>
            </w:tcBorders>
            <w:shd w:val="clear" w:color="auto" w:fill="auto"/>
            <w:vAlign w:val="bottom"/>
          </w:tcPr>
          <w:p w14:paraId="49D642F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25.922 €</w:t>
            </w:r>
          </w:p>
        </w:tc>
        <w:tc>
          <w:tcPr>
            <w:tcW w:w="1275" w:type="dxa"/>
            <w:tcBorders>
              <w:top w:val="nil"/>
              <w:left w:val="nil"/>
              <w:bottom w:val="single" w:sz="8" w:space="0" w:color="2E74B5"/>
              <w:right w:val="single" w:sz="8" w:space="0" w:color="2E74B5"/>
            </w:tcBorders>
            <w:shd w:val="clear" w:color="auto" w:fill="auto"/>
            <w:vAlign w:val="bottom"/>
          </w:tcPr>
          <w:p w14:paraId="3BD44B6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1,5%</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5A5DC5C6"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w:t>
            </w:r>
          </w:p>
        </w:tc>
        <w:tc>
          <w:tcPr>
            <w:tcW w:w="1276" w:type="dxa"/>
            <w:tcBorders>
              <w:top w:val="nil"/>
              <w:left w:val="nil"/>
              <w:bottom w:val="single" w:sz="8" w:space="0" w:color="2E74B5"/>
              <w:right w:val="single" w:sz="8" w:space="0" w:color="2E74B5"/>
            </w:tcBorders>
            <w:shd w:val="clear" w:color="auto" w:fill="auto"/>
            <w:vAlign w:val="bottom"/>
          </w:tcPr>
          <w:p w14:paraId="5A79137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8,75 €</w:t>
            </w:r>
          </w:p>
        </w:tc>
        <w:tc>
          <w:tcPr>
            <w:tcW w:w="1417" w:type="dxa"/>
            <w:tcBorders>
              <w:top w:val="nil"/>
              <w:left w:val="nil"/>
              <w:bottom w:val="single" w:sz="8" w:space="0" w:color="2E74B5"/>
              <w:right w:val="single" w:sz="8" w:space="0" w:color="2E74B5"/>
            </w:tcBorders>
            <w:shd w:val="clear" w:color="auto" w:fill="auto"/>
            <w:vAlign w:val="bottom"/>
          </w:tcPr>
          <w:p w14:paraId="71ECDAE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r>
      <w:tr w:rsidR="00A61464" w14:paraId="4F1F014A"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395CC9A"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Valladolid</w:t>
            </w:r>
          </w:p>
        </w:tc>
        <w:tc>
          <w:tcPr>
            <w:tcW w:w="1417" w:type="dxa"/>
            <w:tcBorders>
              <w:top w:val="nil"/>
              <w:left w:val="nil"/>
              <w:bottom w:val="single" w:sz="8" w:space="0" w:color="2E74B5"/>
              <w:right w:val="single" w:sz="8" w:space="0" w:color="2E74B5"/>
            </w:tcBorders>
            <w:shd w:val="clear" w:color="auto" w:fill="auto"/>
            <w:vAlign w:val="bottom"/>
          </w:tcPr>
          <w:p w14:paraId="44D7042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23.813 €</w:t>
            </w:r>
          </w:p>
        </w:tc>
        <w:tc>
          <w:tcPr>
            <w:tcW w:w="1560" w:type="dxa"/>
            <w:tcBorders>
              <w:top w:val="nil"/>
              <w:left w:val="nil"/>
              <w:bottom w:val="single" w:sz="8" w:space="0" w:color="2E74B5"/>
              <w:right w:val="single" w:sz="8" w:space="0" w:color="2E74B5"/>
            </w:tcBorders>
            <w:shd w:val="clear" w:color="auto" w:fill="auto"/>
            <w:vAlign w:val="bottom"/>
          </w:tcPr>
          <w:p w14:paraId="07C79F6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24.843 €</w:t>
            </w:r>
          </w:p>
        </w:tc>
        <w:tc>
          <w:tcPr>
            <w:tcW w:w="1275" w:type="dxa"/>
            <w:tcBorders>
              <w:top w:val="nil"/>
              <w:left w:val="nil"/>
              <w:bottom w:val="single" w:sz="8" w:space="0" w:color="2E74B5"/>
              <w:right w:val="single" w:sz="8" w:space="0" w:color="2E74B5"/>
            </w:tcBorders>
            <w:shd w:val="clear" w:color="auto" w:fill="auto"/>
            <w:vAlign w:val="bottom"/>
          </w:tcPr>
          <w:p w14:paraId="103A9AE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4,3%</w:t>
            </w:r>
          </w:p>
        </w:tc>
        <w:tc>
          <w:tcPr>
            <w:tcW w:w="1418" w:type="dxa"/>
            <w:tcBorders>
              <w:top w:val="nil"/>
              <w:left w:val="nil"/>
              <w:bottom w:val="single" w:sz="8" w:space="0" w:color="2E74B5"/>
              <w:right w:val="single" w:sz="8" w:space="0" w:color="2E74B5"/>
            </w:tcBorders>
            <w:shd w:val="clear" w:color="auto" w:fill="auto"/>
            <w:vAlign w:val="bottom"/>
          </w:tcPr>
          <w:p w14:paraId="3354F55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8,23 €</w:t>
            </w:r>
          </w:p>
        </w:tc>
        <w:tc>
          <w:tcPr>
            <w:tcW w:w="1276" w:type="dxa"/>
            <w:tcBorders>
              <w:top w:val="nil"/>
              <w:left w:val="nil"/>
              <w:bottom w:val="single" w:sz="8" w:space="0" w:color="2E74B5"/>
              <w:right w:val="single" w:sz="8" w:space="0" w:color="2E74B5"/>
            </w:tcBorders>
            <w:shd w:val="clear" w:color="auto" w:fill="auto"/>
            <w:vAlign w:val="bottom"/>
          </w:tcPr>
          <w:p w14:paraId="5D54121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8,73 €</w:t>
            </w:r>
          </w:p>
        </w:tc>
        <w:tc>
          <w:tcPr>
            <w:tcW w:w="1417" w:type="dxa"/>
            <w:tcBorders>
              <w:top w:val="nil"/>
              <w:left w:val="nil"/>
              <w:bottom w:val="single" w:sz="8" w:space="0" w:color="2E74B5"/>
              <w:right w:val="single" w:sz="8" w:space="0" w:color="2E74B5"/>
            </w:tcBorders>
            <w:shd w:val="clear" w:color="auto" w:fill="auto"/>
            <w:vAlign w:val="bottom"/>
          </w:tcPr>
          <w:p w14:paraId="7D48061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6,1%</w:t>
            </w:r>
          </w:p>
        </w:tc>
      </w:tr>
      <w:tr w:rsidR="00A61464" w14:paraId="2DE42317"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738158CF"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Zamora</w:t>
            </w:r>
          </w:p>
        </w:tc>
        <w:tc>
          <w:tcPr>
            <w:tcW w:w="1417" w:type="dxa"/>
            <w:tcBorders>
              <w:top w:val="nil"/>
              <w:left w:val="nil"/>
              <w:bottom w:val="single" w:sz="8" w:space="0" w:color="2E74B5"/>
              <w:right w:val="single" w:sz="8" w:space="0" w:color="2E74B5"/>
            </w:tcBorders>
            <w:shd w:val="clear" w:color="auto" w:fill="auto"/>
            <w:vAlign w:val="bottom"/>
          </w:tcPr>
          <w:p w14:paraId="4438F0B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26.203 €</w:t>
            </w:r>
          </w:p>
        </w:tc>
        <w:tc>
          <w:tcPr>
            <w:tcW w:w="1560" w:type="dxa"/>
            <w:tcBorders>
              <w:top w:val="nil"/>
              <w:left w:val="nil"/>
              <w:bottom w:val="single" w:sz="8" w:space="0" w:color="2E74B5"/>
              <w:right w:val="single" w:sz="8" w:space="0" w:color="2E74B5"/>
            </w:tcBorders>
            <w:shd w:val="clear" w:color="auto" w:fill="auto"/>
            <w:vAlign w:val="bottom"/>
          </w:tcPr>
          <w:p w14:paraId="5778601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25.506 €</w:t>
            </w:r>
          </w:p>
        </w:tc>
        <w:tc>
          <w:tcPr>
            <w:tcW w:w="1275" w:type="dxa"/>
            <w:tcBorders>
              <w:top w:val="nil"/>
              <w:left w:val="nil"/>
              <w:bottom w:val="single" w:sz="8" w:space="0" w:color="2E74B5"/>
              <w:right w:val="single" w:sz="8" w:space="0" w:color="2E74B5"/>
            </w:tcBorders>
            <w:shd w:val="clear" w:color="auto" w:fill="auto"/>
            <w:vAlign w:val="bottom"/>
          </w:tcPr>
          <w:p w14:paraId="400B65F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-2,7%</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10538821"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w:t>
            </w:r>
          </w:p>
        </w:tc>
        <w:tc>
          <w:tcPr>
            <w:tcW w:w="1276" w:type="dxa"/>
            <w:tcBorders>
              <w:top w:val="nil"/>
              <w:left w:val="nil"/>
              <w:bottom w:val="single" w:sz="8" w:space="0" w:color="2E74B5"/>
              <w:right w:val="single" w:sz="8" w:space="0" w:color="2E74B5"/>
            </w:tcBorders>
            <w:shd w:val="clear" w:color="auto" w:fill="auto"/>
            <w:vAlign w:val="bottom"/>
          </w:tcPr>
          <w:p w14:paraId="6F9A13D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7,77 €</w:t>
            </w:r>
          </w:p>
        </w:tc>
        <w:tc>
          <w:tcPr>
            <w:tcW w:w="1417" w:type="dxa"/>
            <w:tcBorders>
              <w:top w:val="nil"/>
              <w:left w:val="nil"/>
              <w:bottom w:val="single" w:sz="8" w:space="0" w:color="2E74B5"/>
              <w:right w:val="single" w:sz="8" w:space="0" w:color="2E74B5"/>
            </w:tcBorders>
            <w:shd w:val="clear" w:color="auto" w:fill="auto"/>
            <w:vAlign w:val="bottom"/>
          </w:tcPr>
          <w:p w14:paraId="04F7B4E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w:t>
            </w:r>
          </w:p>
        </w:tc>
      </w:tr>
      <w:tr w:rsidR="00A61464" w14:paraId="66390CBF"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422F808"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Albacete</w:t>
            </w:r>
          </w:p>
        </w:tc>
        <w:tc>
          <w:tcPr>
            <w:tcW w:w="1417" w:type="dxa"/>
            <w:tcBorders>
              <w:top w:val="nil"/>
              <w:left w:val="nil"/>
              <w:bottom w:val="single" w:sz="8" w:space="0" w:color="2E74B5"/>
              <w:right w:val="single" w:sz="8" w:space="0" w:color="2E74B5"/>
            </w:tcBorders>
            <w:shd w:val="clear" w:color="auto" w:fill="auto"/>
            <w:vAlign w:val="bottom"/>
          </w:tcPr>
          <w:p w14:paraId="6C921A1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27.532 €</w:t>
            </w:r>
          </w:p>
        </w:tc>
        <w:tc>
          <w:tcPr>
            <w:tcW w:w="1560" w:type="dxa"/>
            <w:tcBorders>
              <w:top w:val="nil"/>
              <w:left w:val="nil"/>
              <w:bottom w:val="single" w:sz="8" w:space="0" w:color="2E74B5"/>
              <w:right w:val="single" w:sz="8" w:space="0" w:color="2E74B5"/>
            </w:tcBorders>
            <w:shd w:val="clear" w:color="auto" w:fill="auto"/>
            <w:vAlign w:val="bottom"/>
          </w:tcPr>
          <w:p w14:paraId="3C00576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26.438 €</w:t>
            </w:r>
          </w:p>
        </w:tc>
        <w:tc>
          <w:tcPr>
            <w:tcW w:w="1275" w:type="dxa"/>
            <w:tcBorders>
              <w:top w:val="nil"/>
              <w:left w:val="nil"/>
              <w:bottom w:val="single" w:sz="8" w:space="0" w:color="2E74B5"/>
              <w:right w:val="single" w:sz="8" w:space="0" w:color="2E74B5"/>
            </w:tcBorders>
            <w:shd w:val="clear" w:color="auto" w:fill="auto"/>
            <w:vAlign w:val="bottom"/>
          </w:tcPr>
          <w:p w14:paraId="7426AD5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-4,0%</w:t>
            </w:r>
          </w:p>
        </w:tc>
        <w:tc>
          <w:tcPr>
            <w:tcW w:w="1418" w:type="dxa"/>
            <w:tcBorders>
              <w:top w:val="nil"/>
              <w:left w:val="nil"/>
              <w:bottom w:val="single" w:sz="8" w:space="0" w:color="2E74B5"/>
              <w:right w:val="single" w:sz="8" w:space="0" w:color="2E74B5"/>
            </w:tcBorders>
            <w:shd w:val="clear" w:color="auto" w:fill="auto"/>
            <w:vAlign w:val="bottom"/>
          </w:tcPr>
          <w:p w14:paraId="0AD5AE8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6,54 €</w:t>
            </w:r>
          </w:p>
        </w:tc>
        <w:tc>
          <w:tcPr>
            <w:tcW w:w="1276" w:type="dxa"/>
            <w:tcBorders>
              <w:top w:val="nil"/>
              <w:left w:val="nil"/>
              <w:bottom w:val="single" w:sz="8" w:space="0" w:color="2E74B5"/>
              <w:right w:val="single" w:sz="8" w:space="0" w:color="2E74B5"/>
            </w:tcBorders>
            <w:shd w:val="clear" w:color="auto" w:fill="auto"/>
            <w:vAlign w:val="bottom"/>
          </w:tcPr>
          <w:p w14:paraId="4295B16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7,20 €</w:t>
            </w:r>
          </w:p>
        </w:tc>
        <w:tc>
          <w:tcPr>
            <w:tcW w:w="1417" w:type="dxa"/>
            <w:tcBorders>
              <w:top w:val="nil"/>
              <w:left w:val="nil"/>
              <w:bottom w:val="single" w:sz="8" w:space="0" w:color="2E74B5"/>
              <w:right w:val="single" w:sz="8" w:space="0" w:color="2E74B5"/>
            </w:tcBorders>
            <w:shd w:val="clear" w:color="auto" w:fill="auto"/>
            <w:vAlign w:val="bottom"/>
          </w:tcPr>
          <w:p w14:paraId="03C2E0D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10,1%</w:t>
            </w:r>
          </w:p>
        </w:tc>
      </w:tr>
      <w:tr w:rsidR="00A61464" w14:paraId="6DC8D6A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5AAD766"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Ciudad Real</w:t>
            </w:r>
          </w:p>
        </w:tc>
        <w:tc>
          <w:tcPr>
            <w:tcW w:w="1417" w:type="dxa"/>
            <w:tcBorders>
              <w:top w:val="nil"/>
              <w:left w:val="nil"/>
              <w:bottom w:val="single" w:sz="8" w:space="0" w:color="2E74B5"/>
              <w:right w:val="single" w:sz="8" w:space="0" w:color="2E74B5"/>
            </w:tcBorders>
            <w:shd w:val="clear" w:color="auto" w:fill="auto"/>
            <w:vAlign w:val="bottom"/>
          </w:tcPr>
          <w:p w14:paraId="76163FF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28.256 €</w:t>
            </w:r>
          </w:p>
        </w:tc>
        <w:tc>
          <w:tcPr>
            <w:tcW w:w="1560" w:type="dxa"/>
            <w:tcBorders>
              <w:top w:val="nil"/>
              <w:left w:val="nil"/>
              <w:bottom w:val="single" w:sz="8" w:space="0" w:color="2E74B5"/>
              <w:right w:val="single" w:sz="8" w:space="0" w:color="2E74B5"/>
            </w:tcBorders>
            <w:shd w:val="clear" w:color="auto" w:fill="auto"/>
            <w:vAlign w:val="bottom"/>
          </w:tcPr>
          <w:p w14:paraId="4EA1C83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27.001 €</w:t>
            </w:r>
          </w:p>
        </w:tc>
        <w:tc>
          <w:tcPr>
            <w:tcW w:w="1275" w:type="dxa"/>
            <w:tcBorders>
              <w:top w:val="nil"/>
              <w:left w:val="nil"/>
              <w:bottom w:val="single" w:sz="8" w:space="0" w:color="2E74B5"/>
              <w:right w:val="single" w:sz="8" w:space="0" w:color="2E74B5"/>
            </w:tcBorders>
            <w:shd w:val="clear" w:color="auto" w:fill="auto"/>
            <w:vAlign w:val="bottom"/>
          </w:tcPr>
          <w:p w14:paraId="2F8BCBC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-4,4%</w:t>
            </w:r>
          </w:p>
        </w:tc>
        <w:tc>
          <w:tcPr>
            <w:tcW w:w="1418" w:type="dxa"/>
            <w:tcBorders>
              <w:top w:val="nil"/>
              <w:left w:val="nil"/>
              <w:bottom w:val="single" w:sz="8" w:space="0" w:color="2E74B5"/>
              <w:right w:val="single" w:sz="8" w:space="0" w:color="2E74B5"/>
            </w:tcBorders>
            <w:shd w:val="clear" w:color="auto" w:fill="auto"/>
            <w:vAlign w:val="bottom"/>
          </w:tcPr>
          <w:p w14:paraId="2114DE7E"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5,70 €</w:t>
            </w:r>
          </w:p>
        </w:tc>
        <w:tc>
          <w:tcPr>
            <w:tcW w:w="1276" w:type="dxa"/>
            <w:tcBorders>
              <w:top w:val="nil"/>
              <w:left w:val="nil"/>
              <w:bottom w:val="single" w:sz="8" w:space="0" w:color="2E74B5"/>
              <w:right w:val="single" w:sz="8" w:space="0" w:color="2E74B5"/>
            </w:tcBorders>
            <w:shd w:val="clear" w:color="auto" w:fill="auto"/>
            <w:vAlign w:val="bottom"/>
          </w:tcPr>
          <w:p w14:paraId="38A85BC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6,28 €</w:t>
            </w:r>
          </w:p>
        </w:tc>
        <w:tc>
          <w:tcPr>
            <w:tcW w:w="1417" w:type="dxa"/>
            <w:tcBorders>
              <w:top w:val="nil"/>
              <w:left w:val="nil"/>
              <w:bottom w:val="single" w:sz="8" w:space="0" w:color="2E74B5"/>
              <w:right w:val="single" w:sz="8" w:space="0" w:color="2E74B5"/>
            </w:tcBorders>
            <w:shd w:val="clear" w:color="auto" w:fill="auto"/>
            <w:vAlign w:val="bottom"/>
          </w:tcPr>
          <w:p w14:paraId="2DD55FC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10,2%</w:t>
            </w:r>
          </w:p>
        </w:tc>
      </w:tr>
      <w:tr w:rsidR="00A61464" w14:paraId="2317BD10"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CE05BDA"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Cuenca</w:t>
            </w:r>
          </w:p>
        </w:tc>
        <w:tc>
          <w:tcPr>
            <w:tcW w:w="1417" w:type="dxa"/>
            <w:tcBorders>
              <w:top w:val="nil"/>
              <w:left w:val="nil"/>
              <w:bottom w:val="single" w:sz="8" w:space="0" w:color="2E74B5"/>
              <w:right w:val="single" w:sz="8" w:space="0" w:color="2E74B5"/>
            </w:tcBorders>
            <w:shd w:val="clear" w:color="auto" w:fill="auto"/>
            <w:vAlign w:val="bottom"/>
          </w:tcPr>
          <w:p w14:paraId="56308C3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21.328 €</w:t>
            </w:r>
          </w:p>
        </w:tc>
        <w:tc>
          <w:tcPr>
            <w:tcW w:w="1560" w:type="dxa"/>
            <w:tcBorders>
              <w:top w:val="nil"/>
              <w:left w:val="nil"/>
              <w:bottom w:val="single" w:sz="8" w:space="0" w:color="2E74B5"/>
              <w:right w:val="single" w:sz="8" w:space="0" w:color="2E74B5"/>
            </w:tcBorders>
            <w:shd w:val="clear" w:color="auto" w:fill="auto"/>
            <w:vAlign w:val="bottom"/>
          </w:tcPr>
          <w:p w14:paraId="1F80FC6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20.415 €</w:t>
            </w:r>
          </w:p>
        </w:tc>
        <w:tc>
          <w:tcPr>
            <w:tcW w:w="1275" w:type="dxa"/>
            <w:tcBorders>
              <w:top w:val="nil"/>
              <w:left w:val="nil"/>
              <w:bottom w:val="single" w:sz="8" w:space="0" w:color="2E74B5"/>
              <w:right w:val="single" w:sz="8" w:space="0" w:color="2E74B5"/>
            </w:tcBorders>
            <w:shd w:val="clear" w:color="auto" w:fill="auto"/>
            <w:vAlign w:val="bottom"/>
          </w:tcPr>
          <w:p w14:paraId="325F685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-4,3%</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113192B1"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6,79 €</w:t>
            </w:r>
          </w:p>
        </w:tc>
        <w:tc>
          <w:tcPr>
            <w:tcW w:w="1276" w:type="dxa"/>
            <w:tcBorders>
              <w:top w:val="nil"/>
              <w:left w:val="nil"/>
              <w:bottom w:val="single" w:sz="8" w:space="0" w:color="2E74B5"/>
              <w:right w:val="single" w:sz="8" w:space="0" w:color="2E74B5"/>
            </w:tcBorders>
            <w:shd w:val="clear" w:color="auto" w:fill="auto"/>
            <w:vAlign w:val="bottom"/>
          </w:tcPr>
          <w:p w14:paraId="35D54AA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7,30 €</w:t>
            </w:r>
          </w:p>
        </w:tc>
        <w:tc>
          <w:tcPr>
            <w:tcW w:w="1417" w:type="dxa"/>
            <w:tcBorders>
              <w:top w:val="nil"/>
              <w:left w:val="nil"/>
              <w:bottom w:val="single" w:sz="8" w:space="0" w:color="2E74B5"/>
              <w:right w:val="single" w:sz="8" w:space="0" w:color="2E74B5"/>
            </w:tcBorders>
            <w:shd w:val="clear" w:color="auto" w:fill="auto"/>
            <w:vAlign w:val="bottom"/>
          </w:tcPr>
          <w:p w14:paraId="529E6F1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7,5%</w:t>
            </w:r>
          </w:p>
        </w:tc>
      </w:tr>
      <w:tr w:rsidR="00A61464" w14:paraId="795A4939"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60BCD924"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Guadalajara</w:t>
            </w:r>
          </w:p>
        </w:tc>
        <w:tc>
          <w:tcPr>
            <w:tcW w:w="1417" w:type="dxa"/>
            <w:tcBorders>
              <w:top w:val="nil"/>
              <w:left w:val="nil"/>
              <w:bottom w:val="single" w:sz="8" w:space="0" w:color="2E74B5"/>
              <w:right w:val="single" w:sz="8" w:space="0" w:color="2E74B5"/>
            </w:tcBorders>
            <w:shd w:val="clear" w:color="auto" w:fill="auto"/>
            <w:vAlign w:val="bottom"/>
          </w:tcPr>
          <w:p w14:paraId="47E31B1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23.610 €</w:t>
            </w:r>
          </w:p>
        </w:tc>
        <w:tc>
          <w:tcPr>
            <w:tcW w:w="1560" w:type="dxa"/>
            <w:tcBorders>
              <w:top w:val="nil"/>
              <w:left w:val="nil"/>
              <w:bottom w:val="single" w:sz="8" w:space="0" w:color="2E74B5"/>
              <w:right w:val="single" w:sz="8" w:space="0" w:color="2E74B5"/>
            </w:tcBorders>
            <w:shd w:val="clear" w:color="auto" w:fill="auto"/>
            <w:vAlign w:val="bottom"/>
          </w:tcPr>
          <w:p w14:paraId="6E93E3A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25.591 €</w:t>
            </w:r>
          </w:p>
        </w:tc>
        <w:tc>
          <w:tcPr>
            <w:tcW w:w="1275" w:type="dxa"/>
            <w:tcBorders>
              <w:top w:val="nil"/>
              <w:left w:val="nil"/>
              <w:bottom w:val="single" w:sz="8" w:space="0" w:color="2E74B5"/>
              <w:right w:val="single" w:sz="8" w:space="0" w:color="2E74B5"/>
            </w:tcBorders>
            <w:shd w:val="clear" w:color="auto" w:fill="auto"/>
            <w:vAlign w:val="bottom"/>
          </w:tcPr>
          <w:p w14:paraId="3A9064E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8,4%</w:t>
            </w:r>
          </w:p>
        </w:tc>
        <w:tc>
          <w:tcPr>
            <w:tcW w:w="1418" w:type="dxa"/>
            <w:tcBorders>
              <w:top w:val="nil"/>
              <w:left w:val="nil"/>
              <w:bottom w:val="single" w:sz="8" w:space="0" w:color="2E74B5"/>
              <w:right w:val="single" w:sz="8" w:space="0" w:color="2E74B5"/>
            </w:tcBorders>
            <w:shd w:val="clear" w:color="auto" w:fill="auto"/>
            <w:vAlign w:val="bottom"/>
          </w:tcPr>
          <w:p w14:paraId="507B4AB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8,22 €</w:t>
            </w:r>
          </w:p>
        </w:tc>
        <w:tc>
          <w:tcPr>
            <w:tcW w:w="1276" w:type="dxa"/>
            <w:tcBorders>
              <w:top w:val="nil"/>
              <w:left w:val="nil"/>
              <w:bottom w:val="single" w:sz="8" w:space="0" w:color="2E74B5"/>
              <w:right w:val="single" w:sz="8" w:space="0" w:color="2E74B5"/>
            </w:tcBorders>
            <w:shd w:val="clear" w:color="auto" w:fill="auto"/>
            <w:vAlign w:val="bottom"/>
          </w:tcPr>
          <w:p w14:paraId="24EEC1D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8,08 €</w:t>
            </w:r>
          </w:p>
        </w:tc>
        <w:tc>
          <w:tcPr>
            <w:tcW w:w="1417" w:type="dxa"/>
            <w:tcBorders>
              <w:top w:val="nil"/>
              <w:left w:val="nil"/>
              <w:bottom w:val="single" w:sz="8" w:space="0" w:color="2E74B5"/>
              <w:right w:val="single" w:sz="8" w:space="0" w:color="2E74B5"/>
            </w:tcBorders>
            <w:shd w:val="clear" w:color="auto" w:fill="auto"/>
            <w:vAlign w:val="bottom"/>
          </w:tcPr>
          <w:p w14:paraId="768F7A7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-1,7%</w:t>
            </w:r>
          </w:p>
        </w:tc>
      </w:tr>
      <w:tr w:rsidR="00A61464" w14:paraId="74772A0D"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17B804D3"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Toledo</w:t>
            </w:r>
          </w:p>
        </w:tc>
        <w:tc>
          <w:tcPr>
            <w:tcW w:w="1417" w:type="dxa"/>
            <w:tcBorders>
              <w:top w:val="nil"/>
              <w:left w:val="nil"/>
              <w:bottom w:val="single" w:sz="8" w:space="0" w:color="2E74B5"/>
              <w:right w:val="single" w:sz="8" w:space="0" w:color="2E74B5"/>
            </w:tcBorders>
            <w:shd w:val="clear" w:color="auto" w:fill="auto"/>
            <w:vAlign w:val="bottom"/>
          </w:tcPr>
          <w:p w14:paraId="099DC28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23.176 €</w:t>
            </w:r>
          </w:p>
        </w:tc>
        <w:tc>
          <w:tcPr>
            <w:tcW w:w="1560" w:type="dxa"/>
            <w:tcBorders>
              <w:top w:val="nil"/>
              <w:left w:val="nil"/>
              <w:bottom w:val="single" w:sz="8" w:space="0" w:color="2E74B5"/>
              <w:right w:val="single" w:sz="8" w:space="0" w:color="2E74B5"/>
            </w:tcBorders>
            <w:shd w:val="clear" w:color="auto" w:fill="auto"/>
            <w:vAlign w:val="bottom"/>
          </w:tcPr>
          <w:p w14:paraId="043CB7D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23.671 €</w:t>
            </w:r>
          </w:p>
        </w:tc>
        <w:tc>
          <w:tcPr>
            <w:tcW w:w="1275" w:type="dxa"/>
            <w:tcBorders>
              <w:top w:val="nil"/>
              <w:left w:val="nil"/>
              <w:bottom w:val="single" w:sz="8" w:space="0" w:color="2E74B5"/>
              <w:right w:val="single" w:sz="8" w:space="0" w:color="2E74B5"/>
            </w:tcBorders>
            <w:shd w:val="clear" w:color="auto" w:fill="auto"/>
            <w:vAlign w:val="bottom"/>
          </w:tcPr>
          <w:p w14:paraId="28669F0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2,1%</w:t>
            </w:r>
          </w:p>
        </w:tc>
        <w:tc>
          <w:tcPr>
            <w:tcW w:w="1418" w:type="dxa"/>
            <w:tcBorders>
              <w:top w:val="nil"/>
              <w:left w:val="nil"/>
              <w:bottom w:val="single" w:sz="8" w:space="0" w:color="2E74B5"/>
              <w:right w:val="single" w:sz="8" w:space="0" w:color="2E74B5"/>
            </w:tcBorders>
            <w:shd w:val="clear" w:color="auto" w:fill="auto"/>
            <w:vAlign w:val="bottom"/>
          </w:tcPr>
          <w:p w14:paraId="03EFD88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7,57 €</w:t>
            </w:r>
          </w:p>
        </w:tc>
        <w:tc>
          <w:tcPr>
            <w:tcW w:w="1276" w:type="dxa"/>
            <w:tcBorders>
              <w:top w:val="nil"/>
              <w:left w:val="nil"/>
              <w:bottom w:val="single" w:sz="8" w:space="0" w:color="2E74B5"/>
              <w:right w:val="single" w:sz="8" w:space="0" w:color="2E74B5"/>
            </w:tcBorders>
            <w:shd w:val="clear" w:color="auto" w:fill="auto"/>
            <w:vAlign w:val="bottom"/>
          </w:tcPr>
          <w:p w14:paraId="2351F4E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8,23 €</w:t>
            </w:r>
          </w:p>
        </w:tc>
        <w:tc>
          <w:tcPr>
            <w:tcW w:w="1417" w:type="dxa"/>
            <w:tcBorders>
              <w:top w:val="nil"/>
              <w:left w:val="nil"/>
              <w:bottom w:val="single" w:sz="8" w:space="0" w:color="2E74B5"/>
              <w:right w:val="single" w:sz="8" w:space="0" w:color="2E74B5"/>
            </w:tcBorders>
            <w:shd w:val="clear" w:color="auto" w:fill="auto"/>
            <w:vAlign w:val="bottom"/>
          </w:tcPr>
          <w:p w14:paraId="1A2E120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8,7%</w:t>
            </w:r>
          </w:p>
        </w:tc>
      </w:tr>
      <w:tr w:rsidR="00A61464" w14:paraId="5EA4811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1A9530CE"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Barcelona</w:t>
            </w:r>
          </w:p>
        </w:tc>
        <w:tc>
          <w:tcPr>
            <w:tcW w:w="1417" w:type="dxa"/>
            <w:tcBorders>
              <w:top w:val="nil"/>
              <w:left w:val="nil"/>
              <w:bottom w:val="single" w:sz="8" w:space="0" w:color="2E74B5"/>
              <w:right w:val="single" w:sz="8" w:space="0" w:color="2E74B5"/>
            </w:tcBorders>
            <w:shd w:val="clear" w:color="auto" w:fill="auto"/>
            <w:vAlign w:val="bottom"/>
          </w:tcPr>
          <w:p w14:paraId="687E20E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26.336 €</w:t>
            </w:r>
          </w:p>
        </w:tc>
        <w:tc>
          <w:tcPr>
            <w:tcW w:w="1560" w:type="dxa"/>
            <w:tcBorders>
              <w:top w:val="nil"/>
              <w:left w:val="nil"/>
              <w:bottom w:val="single" w:sz="8" w:space="0" w:color="2E74B5"/>
              <w:right w:val="single" w:sz="8" w:space="0" w:color="2E74B5"/>
            </w:tcBorders>
            <w:shd w:val="clear" w:color="auto" w:fill="auto"/>
            <w:vAlign w:val="bottom"/>
          </w:tcPr>
          <w:p w14:paraId="49C053F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27.198 €</w:t>
            </w:r>
          </w:p>
        </w:tc>
        <w:tc>
          <w:tcPr>
            <w:tcW w:w="1275" w:type="dxa"/>
            <w:tcBorders>
              <w:top w:val="nil"/>
              <w:left w:val="nil"/>
              <w:bottom w:val="single" w:sz="8" w:space="0" w:color="2E74B5"/>
              <w:right w:val="single" w:sz="8" w:space="0" w:color="2E74B5"/>
            </w:tcBorders>
            <w:shd w:val="clear" w:color="auto" w:fill="auto"/>
            <w:vAlign w:val="bottom"/>
          </w:tcPr>
          <w:p w14:paraId="7262311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3,3%</w:t>
            </w:r>
          </w:p>
        </w:tc>
        <w:tc>
          <w:tcPr>
            <w:tcW w:w="1418" w:type="dxa"/>
            <w:tcBorders>
              <w:top w:val="nil"/>
              <w:left w:val="nil"/>
              <w:bottom w:val="single" w:sz="8" w:space="0" w:color="2E74B5"/>
              <w:right w:val="single" w:sz="8" w:space="0" w:color="2E74B5"/>
            </w:tcBorders>
            <w:shd w:val="clear" w:color="auto" w:fill="auto"/>
            <w:vAlign w:val="bottom"/>
          </w:tcPr>
          <w:p w14:paraId="3C0199E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17,76 €</w:t>
            </w:r>
          </w:p>
        </w:tc>
        <w:tc>
          <w:tcPr>
            <w:tcW w:w="1276" w:type="dxa"/>
            <w:tcBorders>
              <w:top w:val="nil"/>
              <w:left w:val="nil"/>
              <w:bottom w:val="single" w:sz="8" w:space="0" w:color="2E74B5"/>
              <w:right w:val="single" w:sz="8" w:space="0" w:color="2E74B5"/>
            </w:tcBorders>
            <w:shd w:val="clear" w:color="auto" w:fill="auto"/>
            <w:vAlign w:val="bottom"/>
          </w:tcPr>
          <w:p w14:paraId="2479A09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20,06 €</w:t>
            </w:r>
          </w:p>
        </w:tc>
        <w:tc>
          <w:tcPr>
            <w:tcW w:w="1417" w:type="dxa"/>
            <w:tcBorders>
              <w:top w:val="nil"/>
              <w:left w:val="nil"/>
              <w:bottom w:val="single" w:sz="8" w:space="0" w:color="2E74B5"/>
              <w:right w:val="single" w:sz="8" w:space="0" w:color="2E74B5"/>
            </w:tcBorders>
            <w:shd w:val="clear" w:color="auto" w:fill="auto"/>
            <w:vAlign w:val="bottom"/>
          </w:tcPr>
          <w:p w14:paraId="69117AE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13,0%</w:t>
            </w:r>
          </w:p>
        </w:tc>
      </w:tr>
      <w:tr w:rsidR="00A61464" w14:paraId="505C9F8A"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67F8A698"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Girona</w:t>
            </w:r>
          </w:p>
        </w:tc>
        <w:tc>
          <w:tcPr>
            <w:tcW w:w="1417" w:type="dxa"/>
            <w:tcBorders>
              <w:top w:val="nil"/>
              <w:left w:val="nil"/>
              <w:bottom w:val="single" w:sz="8" w:space="0" w:color="2E74B5"/>
              <w:right w:val="single" w:sz="8" w:space="0" w:color="2E74B5"/>
            </w:tcBorders>
            <w:shd w:val="clear" w:color="auto" w:fill="auto"/>
            <w:vAlign w:val="bottom"/>
          </w:tcPr>
          <w:p w14:paraId="491BF64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25.440 €</w:t>
            </w:r>
          </w:p>
        </w:tc>
        <w:tc>
          <w:tcPr>
            <w:tcW w:w="1560" w:type="dxa"/>
            <w:tcBorders>
              <w:top w:val="nil"/>
              <w:left w:val="nil"/>
              <w:bottom w:val="single" w:sz="8" w:space="0" w:color="2E74B5"/>
              <w:right w:val="single" w:sz="8" w:space="0" w:color="2E74B5"/>
            </w:tcBorders>
            <w:shd w:val="clear" w:color="auto" w:fill="auto"/>
            <w:vAlign w:val="bottom"/>
          </w:tcPr>
          <w:p w14:paraId="50C2D7B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25.211 €</w:t>
            </w:r>
          </w:p>
        </w:tc>
        <w:tc>
          <w:tcPr>
            <w:tcW w:w="1275" w:type="dxa"/>
            <w:tcBorders>
              <w:top w:val="nil"/>
              <w:left w:val="nil"/>
              <w:bottom w:val="single" w:sz="8" w:space="0" w:color="2E74B5"/>
              <w:right w:val="single" w:sz="8" w:space="0" w:color="2E74B5"/>
            </w:tcBorders>
            <w:shd w:val="clear" w:color="auto" w:fill="auto"/>
            <w:vAlign w:val="bottom"/>
          </w:tcPr>
          <w:p w14:paraId="5DDA082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-0,9%</w:t>
            </w:r>
          </w:p>
        </w:tc>
        <w:tc>
          <w:tcPr>
            <w:tcW w:w="1418" w:type="dxa"/>
            <w:tcBorders>
              <w:top w:val="nil"/>
              <w:left w:val="nil"/>
              <w:bottom w:val="single" w:sz="8" w:space="0" w:color="2E74B5"/>
              <w:right w:val="single" w:sz="8" w:space="0" w:color="2E74B5"/>
            </w:tcBorders>
            <w:shd w:val="clear" w:color="auto" w:fill="auto"/>
            <w:vAlign w:val="bottom"/>
          </w:tcPr>
          <w:p w14:paraId="1077B25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12,74 €</w:t>
            </w:r>
          </w:p>
        </w:tc>
        <w:tc>
          <w:tcPr>
            <w:tcW w:w="1276" w:type="dxa"/>
            <w:tcBorders>
              <w:top w:val="nil"/>
              <w:left w:val="nil"/>
              <w:bottom w:val="single" w:sz="8" w:space="0" w:color="2E74B5"/>
              <w:right w:val="single" w:sz="8" w:space="0" w:color="2E74B5"/>
            </w:tcBorders>
            <w:shd w:val="clear" w:color="auto" w:fill="auto"/>
            <w:vAlign w:val="bottom"/>
          </w:tcPr>
          <w:p w14:paraId="5B02465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14,37 €</w:t>
            </w:r>
          </w:p>
        </w:tc>
        <w:tc>
          <w:tcPr>
            <w:tcW w:w="1417" w:type="dxa"/>
            <w:tcBorders>
              <w:top w:val="nil"/>
              <w:left w:val="nil"/>
              <w:bottom w:val="single" w:sz="8" w:space="0" w:color="2E74B5"/>
              <w:right w:val="single" w:sz="8" w:space="0" w:color="2E74B5"/>
            </w:tcBorders>
            <w:shd w:val="clear" w:color="auto" w:fill="auto"/>
            <w:vAlign w:val="bottom"/>
          </w:tcPr>
          <w:p w14:paraId="015260E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12,8%</w:t>
            </w:r>
          </w:p>
        </w:tc>
      </w:tr>
      <w:tr w:rsidR="00A61464" w14:paraId="1DA66F6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C614342"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Lleida</w:t>
            </w:r>
          </w:p>
        </w:tc>
        <w:tc>
          <w:tcPr>
            <w:tcW w:w="1417" w:type="dxa"/>
            <w:tcBorders>
              <w:top w:val="nil"/>
              <w:left w:val="nil"/>
              <w:bottom w:val="single" w:sz="8" w:space="0" w:color="2E74B5"/>
              <w:right w:val="single" w:sz="8" w:space="0" w:color="2E74B5"/>
            </w:tcBorders>
            <w:shd w:val="clear" w:color="auto" w:fill="auto"/>
            <w:vAlign w:val="bottom"/>
          </w:tcPr>
          <w:p w14:paraId="0A5DFCE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26.065 €</w:t>
            </w:r>
          </w:p>
        </w:tc>
        <w:tc>
          <w:tcPr>
            <w:tcW w:w="1560" w:type="dxa"/>
            <w:tcBorders>
              <w:top w:val="nil"/>
              <w:left w:val="nil"/>
              <w:bottom w:val="single" w:sz="8" w:space="0" w:color="2E74B5"/>
              <w:right w:val="single" w:sz="8" w:space="0" w:color="2E74B5"/>
            </w:tcBorders>
            <w:shd w:val="clear" w:color="auto" w:fill="auto"/>
            <w:vAlign w:val="bottom"/>
          </w:tcPr>
          <w:p w14:paraId="52BC70D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26.159 €</w:t>
            </w:r>
          </w:p>
        </w:tc>
        <w:tc>
          <w:tcPr>
            <w:tcW w:w="1275" w:type="dxa"/>
            <w:tcBorders>
              <w:top w:val="nil"/>
              <w:left w:val="nil"/>
              <w:bottom w:val="single" w:sz="8" w:space="0" w:color="2E74B5"/>
              <w:right w:val="single" w:sz="8" w:space="0" w:color="2E74B5"/>
            </w:tcBorders>
            <w:shd w:val="clear" w:color="auto" w:fill="auto"/>
            <w:vAlign w:val="bottom"/>
          </w:tcPr>
          <w:p w14:paraId="22423ED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0,4%</w:t>
            </w:r>
          </w:p>
        </w:tc>
        <w:tc>
          <w:tcPr>
            <w:tcW w:w="1418" w:type="dxa"/>
            <w:tcBorders>
              <w:top w:val="nil"/>
              <w:left w:val="nil"/>
              <w:bottom w:val="single" w:sz="8" w:space="0" w:color="2E74B5"/>
              <w:right w:val="single" w:sz="8" w:space="0" w:color="2E74B5"/>
            </w:tcBorders>
            <w:shd w:val="clear" w:color="auto" w:fill="auto"/>
            <w:vAlign w:val="bottom"/>
          </w:tcPr>
          <w:p w14:paraId="6271FAFF"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7,95 €</w:t>
            </w:r>
          </w:p>
        </w:tc>
        <w:tc>
          <w:tcPr>
            <w:tcW w:w="1276" w:type="dxa"/>
            <w:tcBorders>
              <w:top w:val="nil"/>
              <w:left w:val="nil"/>
              <w:bottom w:val="single" w:sz="8" w:space="0" w:color="2E74B5"/>
              <w:right w:val="single" w:sz="8" w:space="0" w:color="2E74B5"/>
            </w:tcBorders>
            <w:shd w:val="clear" w:color="auto" w:fill="auto"/>
            <w:vAlign w:val="bottom"/>
          </w:tcPr>
          <w:p w14:paraId="49B7059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8,62 €</w:t>
            </w:r>
          </w:p>
        </w:tc>
        <w:tc>
          <w:tcPr>
            <w:tcW w:w="1417" w:type="dxa"/>
            <w:tcBorders>
              <w:top w:val="nil"/>
              <w:left w:val="nil"/>
              <w:bottom w:val="single" w:sz="8" w:space="0" w:color="2E74B5"/>
              <w:right w:val="single" w:sz="8" w:space="0" w:color="2E74B5"/>
            </w:tcBorders>
            <w:shd w:val="clear" w:color="auto" w:fill="auto"/>
            <w:vAlign w:val="bottom"/>
          </w:tcPr>
          <w:p w14:paraId="0D5F575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8,4%</w:t>
            </w:r>
          </w:p>
        </w:tc>
      </w:tr>
      <w:tr w:rsidR="00A61464" w14:paraId="37BAAD2A"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150BE715"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Tarragona</w:t>
            </w:r>
          </w:p>
        </w:tc>
        <w:tc>
          <w:tcPr>
            <w:tcW w:w="1417" w:type="dxa"/>
            <w:tcBorders>
              <w:top w:val="nil"/>
              <w:left w:val="nil"/>
              <w:bottom w:val="single" w:sz="8" w:space="0" w:color="2E74B5"/>
              <w:right w:val="single" w:sz="8" w:space="0" w:color="2E74B5"/>
            </w:tcBorders>
            <w:shd w:val="clear" w:color="auto" w:fill="auto"/>
            <w:vAlign w:val="bottom"/>
          </w:tcPr>
          <w:p w14:paraId="04ACDA5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26.180 €</w:t>
            </w:r>
          </w:p>
        </w:tc>
        <w:tc>
          <w:tcPr>
            <w:tcW w:w="1560" w:type="dxa"/>
            <w:tcBorders>
              <w:top w:val="nil"/>
              <w:left w:val="nil"/>
              <w:bottom w:val="single" w:sz="8" w:space="0" w:color="2E74B5"/>
              <w:right w:val="single" w:sz="8" w:space="0" w:color="2E74B5"/>
            </w:tcBorders>
            <w:shd w:val="clear" w:color="auto" w:fill="auto"/>
            <w:vAlign w:val="bottom"/>
          </w:tcPr>
          <w:p w14:paraId="7641CB1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26.123 €</w:t>
            </w:r>
          </w:p>
        </w:tc>
        <w:tc>
          <w:tcPr>
            <w:tcW w:w="1275" w:type="dxa"/>
            <w:tcBorders>
              <w:top w:val="nil"/>
              <w:left w:val="nil"/>
              <w:bottom w:val="single" w:sz="8" w:space="0" w:color="2E74B5"/>
              <w:right w:val="single" w:sz="8" w:space="0" w:color="2E74B5"/>
            </w:tcBorders>
            <w:shd w:val="clear" w:color="auto" w:fill="auto"/>
            <w:vAlign w:val="bottom"/>
          </w:tcPr>
          <w:p w14:paraId="55184E9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-0,2%</w:t>
            </w:r>
          </w:p>
        </w:tc>
        <w:tc>
          <w:tcPr>
            <w:tcW w:w="1418" w:type="dxa"/>
            <w:tcBorders>
              <w:top w:val="nil"/>
              <w:left w:val="nil"/>
              <w:bottom w:val="single" w:sz="8" w:space="0" w:color="2E74B5"/>
              <w:right w:val="single" w:sz="8" w:space="0" w:color="2E74B5"/>
            </w:tcBorders>
            <w:shd w:val="clear" w:color="auto" w:fill="auto"/>
            <w:vAlign w:val="bottom"/>
          </w:tcPr>
          <w:p w14:paraId="208C348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9,81 €</w:t>
            </w:r>
          </w:p>
        </w:tc>
        <w:tc>
          <w:tcPr>
            <w:tcW w:w="1276" w:type="dxa"/>
            <w:tcBorders>
              <w:top w:val="nil"/>
              <w:left w:val="nil"/>
              <w:bottom w:val="single" w:sz="8" w:space="0" w:color="2E74B5"/>
              <w:right w:val="single" w:sz="8" w:space="0" w:color="2E74B5"/>
            </w:tcBorders>
            <w:shd w:val="clear" w:color="auto" w:fill="auto"/>
            <w:vAlign w:val="bottom"/>
          </w:tcPr>
          <w:p w14:paraId="3DC6E21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10,17 €</w:t>
            </w:r>
          </w:p>
        </w:tc>
        <w:tc>
          <w:tcPr>
            <w:tcW w:w="1417" w:type="dxa"/>
            <w:tcBorders>
              <w:top w:val="nil"/>
              <w:left w:val="nil"/>
              <w:bottom w:val="single" w:sz="8" w:space="0" w:color="2E74B5"/>
              <w:right w:val="single" w:sz="8" w:space="0" w:color="2E74B5"/>
            </w:tcBorders>
            <w:shd w:val="clear" w:color="auto" w:fill="auto"/>
            <w:vAlign w:val="bottom"/>
          </w:tcPr>
          <w:p w14:paraId="11DBC90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3,7%</w:t>
            </w:r>
          </w:p>
        </w:tc>
      </w:tr>
      <w:tr w:rsidR="00A61464" w14:paraId="165F050D"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F91E586"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Alicante/Alacant</w:t>
            </w:r>
          </w:p>
        </w:tc>
        <w:tc>
          <w:tcPr>
            <w:tcW w:w="1417" w:type="dxa"/>
            <w:tcBorders>
              <w:top w:val="nil"/>
              <w:left w:val="nil"/>
              <w:bottom w:val="single" w:sz="8" w:space="0" w:color="2E74B5"/>
              <w:right w:val="single" w:sz="8" w:space="0" w:color="2E74B5"/>
            </w:tcBorders>
            <w:shd w:val="clear" w:color="auto" w:fill="auto"/>
            <w:vAlign w:val="bottom"/>
          </w:tcPr>
          <w:p w14:paraId="6B1F012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27.348 €</w:t>
            </w:r>
          </w:p>
        </w:tc>
        <w:tc>
          <w:tcPr>
            <w:tcW w:w="1560" w:type="dxa"/>
            <w:tcBorders>
              <w:top w:val="nil"/>
              <w:left w:val="nil"/>
              <w:bottom w:val="single" w:sz="8" w:space="0" w:color="2E74B5"/>
              <w:right w:val="single" w:sz="8" w:space="0" w:color="2E74B5"/>
            </w:tcBorders>
            <w:shd w:val="clear" w:color="auto" w:fill="auto"/>
            <w:vAlign w:val="bottom"/>
          </w:tcPr>
          <w:p w14:paraId="1F7CD75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26.634 €</w:t>
            </w:r>
          </w:p>
        </w:tc>
        <w:tc>
          <w:tcPr>
            <w:tcW w:w="1275" w:type="dxa"/>
            <w:tcBorders>
              <w:top w:val="nil"/>
              <w:left w:val="nil"/>
              <w:bottom w:val="single" w:sz="8" w:space="0" w:color="2E74B5"/>
              <w:right w:val="single" w:sz="8" w:space="0" w:color="2E74B5"/>
            </w:tcBorders>
            <w:shd w:val="clear" w:color="auto" w:fill="auto"/>
            <w:vAlign w:val="bottom"/>
          </w:tcPr>
          <w:p w14:paraId="135EF7A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-2,6%</w:t>
            </w:r>
          </w:p>
        </w:tc>
        <w:tc>
          <w:tcPr>
            <w:tcW w:w="1418" w:type="dxa"/>
            <w:tcBorders>
              <w:top w:val="nil"/>
              <w:left w:val="nil"/>
              <w:bottom w:val="single" w:sz="8" w:space="0" w:color="2E74B5"/>
              <w:right w:val="single" w:sz="8" w:space="0" w:color="2E74B5"/>
            </w:tcBorders>
            <w:shd w:val="clear" w:color="auto" w:fill="auto"/>
            <w:vAlign w:val="bottom"/>
          </w:tcPr>
          <w:p w14:paraId="3D4FBEF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11,02 €</w:t>
            </w:r>
          </w:p>
        </w:tc>
        <w:tc>
          <w:tcPr>
            <w:tcW w:w="1276" w:type="dxa"/>
            <w:tcBorders>
              <w:top w:val="nil"/>
              <w:left w:val="nil"/>
              <w:bottom w:val="single" w:sz="8" w:space="0" w:color="2E74B5"/>
              <w:right w:val="single" w:sz="8" w:space="0" w:color="2E74B5"/>
            </w:tcBorders>
            <w:shd w:val="clear" w:color="auto" w:fill="auto"/>
            <w:vAlign w:val="bottom"/>
          </w:tcPr>
          <w:p w14:paraId="375D3EB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11,88 €</w:t>
            </w:r>
          </w:p>
        </w:tc>
        <w:tc>
          <w:tcPr>
            <w:tcW w:w="1417" w:type="dxa"/>
            <w:tcBorders>
              <w:top w:val="nil"/>
              <w:left w:val="nil"/>
              <w:bottom w:val="single" w:sz="8" w:space="0" w:color="2E74B5"/>
              <w:right w:val="single" w:sz="8" w:space="0" w:color="2E74B5"/>
            </w:tcBorders>
            <w:shd w:val="clear" w:color="auto" w:fill="auto"/>
            <w:vAlign w:val="bottom"/>
          </w:tcPr>
          <w:p w14:paraId="0F3C463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7,8%</w:t>
            </w:r>
          </w:p>
        </w:tc>
      </w:tr>
      <w:tr w:rsidR="00A61464" w14:paraId="4C973214"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6517F5D"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Castellón/Castelló</w:t>
            </w:r>
          </w:p>
        </w:tc>
        <w:tc>
          <w:tcPr>
            <w:tcW w:w="1417" w:type="dxa"/>
            <w:tcBorders>
              <w:top w:val="nil"/>
              <w:left w:val="nil"/>
              <w:bottom w:val="single" w:sz="8" w:space="0" w:color="2E74B5"/>
              <w:right w:val="single" w:sz="8" w:space="0" w:color="2E74B5"/>
            </w:tcBorders>
            <w:shd w:val="clear" w:color="auto" w:fill="auto"/>
            <w:vAlign w:val="bottom"/>
          </w:tcPr>
          <w:p w14:paraId="0F90031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26.787 €</w:t>
            </w:r>
          </w:p>
        </w:tc>
        <w:tc>
          <w:tcPr>
            <w:tcW w:w="1560" w:type="dxa"/>
            <w:tcBorders>
              <w:top w:val="nil"/>
              <w:left w:val="nil"/>
              <w:bottom w:val="single" w:sz="8" w:space="0" w:color="2E74B5"/>
              <w:right w:val="single" w:sz="8" w:space="0" w:color="2E74B5"/>
            </w:tcBorders>
            <w:shd w:val="clear" w:color="auto" w:fill="auto"/>
            <w:vAlign w:val="bottom"/>
          </w:tcPr>
          <w:p w14:paraId="22D3E10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27.895 €</w:t>
            </w:r>
          </w:p>
        </w:tc>
        <w:tc>
          <w:tcPr>
            <w:tcW w:w="1275" w:type="dxa"/>
            <w:tcBorders>
              <w:top w:val="nil"/>
              <w:left w:val="nil"/>
              <w:bottom w:val="single" w:sz="8" w:space="0" w:color="2E74B5"/>
              <w:right w:val="single" w:sz="8" w:space="0" w:color="2E74B5"/>
            </w:tcBorders>
            <w:shd w:val="clear" w:color="auto" w:fill="auto"/>
            <w:vAlign w:val="bottom"/>
          </w:tcPr>
          <w:p w14:paraId="356B8DB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4,1%</w:t>
            </w:r>
          </w:p>
        </w:tc>
        <w:tc>
          <w:tcPr>
            <w:tcW w:w="1418" w:type="dxa"/>
            <w:tcBorders>
              <w:top w:val="nil"/>
              <w:left w:val="nil"/>
              <w:bottom w:val="single" w:sz="8" w:space="0" w:color="2E74B5"/>
              <w:right w:val="single" w:sz="8" w:space="0" w:color="2E74B5"/>
            </w:tcBorders>
            <w:shd w:val="clear" w:color="auto" w:fill="auto"/>
            <w:vAlign w:val="bottom"/>
          </w:tcPr>
          <w:p w14:paraId="7A27D78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7,89 €</w:t>
            </w:r>
          </w:p>
        </w:tc>
        <w:tc>
          <w:tcPr>
            <w:tcW w:w="1276" w:type="dxa"/>
            <w:tcBorders>
              <w:top w:val="nil"/>
              <w:left w:val="nil"/>
              <w:bottom w:val="single" w:sz="8" w:space="0" w:color="2E74B5"/>
              <w:right w:val="single" w:sz="8" w:space="0" w:color="2E74B5"/>
            </w:tcBorders>
            <w:shd w:val="clear" w:color="auto" w:fill="auto"/>
            <w:vAlign w:val="bottom"/>
          </w:tcPr>
          <w:p w14:paraId="6585400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8,81 €</w:t>
            </w:r>
          </w:p>
        </w:tc>
        <w:tc>
          <w:tcPr>
            <w:tcW w:w="1417" w:type="dxa"/>
            <w:tcBorders>
              <w:top w:val="nil"/>
              <w:left w:val="nil"/>
              <w:bottom w:val="single" w:sz="8" w:space="0" w:color="2E74B5"/>
              <w:right w:val="single" w:sz="8" w:space="0" w:color="2E74B5"/>
            </w:tcBorders>
            <w:shd w:val="clear" w:color="auto" w:fill="auto"/>
            <w:vAlign w:val="bottom"/>
          </w:tcPr>
          <w:p w14:paraId="43F5ED2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11,7%</w:t>
            </w:r>
          </w:p>
        </w:tc>
      </w:tr>
      <w:tr w:rsidR="00A61464" w14:paraId="301F7135"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F69055A"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Valencia/València</w:t>
            </w:r>
          </w:p>
        </w:tc>
        <w:tc>
          <w:tcPr>
            <w:tcW w:w="1417" w:type="dxa"/>
            <w:tcBorders>
              <w:top w:val="nil"/>
              <w:left w:val="nil"/>
              <w:bottom w:val="single" w:sz="8" w:space="0" w:color="2E74B5"/>
              <w:right w:val="single" w:sz="8" w:space="0" w:color="2E74B5"/>
            </w:tcBorders>
            <w:shd w:val="clear" w:color="auto" w:fill="auto"/>
            <w:vAlign w:val="bottom"/>
          </w:tcPr>
          <w:p w14:paraId="5AFF309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24.648 €</w:t>
            </w:r>
          </w:p>
        </w:tc>
        <w:tc>
          <w:tcPr>
            <w:tcW w:w="1560" w:type="dxa"/>
            <w:tcBorders>
              <w:top w:val="nil"/>
              <w:left w:val="nil"/>
              <w:bottom w:val="single" w:sz="8" w:space="0" w:color="2E74B5"/>
              <w:right w:val="single" w:sz="8" w:space="0" w:color="2E74B5"/>
            </w:tcBorders>
            <w:shd w:val="clear" w:color="auto" w:fill="auto"/>
            <w:vAlign w:val="bottom"/>
          </w:tcPr>
          <w:p w14:paraId="0AF854C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25.802 €</w:t>
            </w:r>
          </w:p>
        </w:tc>
        <w:tc>
          <w:tcPr>
            <w:tcW w:w="1275" w:type="dxa"/>
            <w:tcBorders>
              <w:top w:val="nil"/>
              <w:left w:val="nil"/>
              <w:bottom w:val="single" w:sz="8" w:space="0" w:color="2E74B5"/>
              <w:right w:val="single" w:sz="8" w:space="0" w:color="2E74B5"/>
            </w:tcBorders>
            <w:shd w:val="clear" w:color="auto" w:fill="auto"/>
            <w:vAlign w:val="bottom"/>
          </w:tcPr>
          <w:p w14:paraId="73D9C93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4,7%</w:t>
            </w:r>
          </w:p>
        </w:tc>
        <w:tc>
          <w:tcPr>
            <w:tcW w:w="1418" w:type="dxa"/>
            <w:tcBorders>
              <w:top w:val="nil"/>
              <w:left w:val="nil"/>
              <w:bottom w:val="single" w:sz="8" w:space="0" w:color="2E74B5"/>
              <w:right w:val="single" w:sz="8" w:space="0" w:color="2E74B5"/>
            </w:tcBorders>
            <w:shd w:val="clear" w:color="auto" w:fill="auto"/>
            <w:vAlign w:val="bottom"/>
          </w:tcPr>
          <w:p w14:paraId="0508F1D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12,92 €</w:t>
            </w:r>
          </w:p>
        </w:tc>
        <w:tc>
          <w:tcPr>
            <w:tcW w:w="1276" w:type="dxa"/>
            <w:tcBorders>
              <w:top w:val="nil"/>
              <w:left w:val="nil"/>
              <w:bottom w:val="single" w:sz="8" w:space="0" w:color="2E74B5"/>
              <w:right w:val="single" w:sz="8" w:space="0" w:color="2E74B5"/>
            </w:tcBorders>
            <w:shd w:val="clear" w:color="auto" w:fill="auto"/>
            <w:vAlign w:val="bottom"/>
          </w:tcPr>
          <w:p w14:paraId="4331804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14,19 €</w:t>
            </w:r>
          </w:p>
        </w:tc>
        <w:tc>
          <w:tcPr>
            <w:tcW w:w="1417" w:type="dxa"/>
            <w:tcBorders>
              <w:top w:val="nil"/>
              <w:left w:val="nil"/>
              <w:bottom w:val="single" w:sz="8" w:space="0" w:color="2E74B5"/>
              <w:right w:val="single" w:sz="8" w:space="0" w:color="2E74B5"/>
            </w:tcBorders>
            <w:shd w:val="clear" w:color="auto" w:fill="auto"/>
            <w:vAlign w:val="bottom"/>
          </w:tcPr>
          <w:p w14:paraId="5D12AA6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9,8%</w:t>
            </w:r>
          </w:p>
        </w:tc>
      </w:tr>
      <w:tr w:rsidR="00A61464" w14:paraId="798DF898"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146BE8B"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Badajoz</w:t>
            </w:r>
          </w:p>
        </w:tc>
        <w:tc>
          <w:tcPr>
            <w:tcW w:w="1417" w:type="dxa"/>
            <w:tcBorders>
              <w:top w:val="nil"/>
              <w:left w:val="nil"/>
              <w:bottom w:val="single" w:sz="8" w:space="0" w:color="2E74B5"/>
              <w:right w:val="single" w:sz="8" w:space="0" w:color="2E74B5"/>
            </w:tcBorders>
            <w:shd w:val="clear" w:color="auto" w:fill="auto"/>
            <w:vAlign w:val="bottom"/>
          </w:tcPr>
          <w:p w14:paraId="5208AE7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26.461 €</w:t>
            </w:r>
          </w:p>
        </w:tc>
        <w:tc>
          <w:tcPr>
            <w:tcW w:w="1560" w:type="dxa"/>
            <w:tcBorders>
              <w:top w:val="nil"/>
              <w:left w:val="nil"/>
              <w:bottom w:val="single" w:sz="8" w:space="0" w:color="2E74B5"/>
              <w:right w:val="single" w:sz="8" w:space="0" w:color="2E74B5"/>
            </w:tcBorders>
            <w:shd w:val="clear" w:color="auto" w:fill="auto"/>
            <w:vAlign w:val="bottom"/>
          </w:tcPr>
          <w:p w14:paraId="321AE30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23.421 €</w:t>
            </w:r>
          </w:p>
        </w:tc>
        <w:tc>
          <w:tcPr>
            <w:tcW w:w="1275" w:type="dxa"/>
            <w:tcBorders>
              <w:top w:val="nil"/>
              <w:left w:val="nil"/>
              <w:bottom w:val="single" w:sz="8" w:space="0" w:color="2E74B5"/>
              <w:right w:val="single" w:sz="8" w:space="0" w:color="2E74B5"/>
            </w:tcBorders>
            <w:shd w:val="clear" w:color="auto" w:fill="auto"/>
            <w:vAlign w:val="bottom"/>
          </w:tcPr>
          <w:p w14:paraId="4C835EE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-11,5%</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66DD8176"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6,42 €</w:t>
            </w:r>
          </w:p>
        </w:tc>
        <w:tc>
          <w:tcPr>
            <w:tcW w:w="1276" w:type="dxa"/>
            <w:tcBorders>
              <w:top w:val="nil"/>
              <w:left w:val="nil"/>
              <w:bottom w:val="single" w:sz="8" w:space="0" w:color="2E74B5"/>
              <w:right w:val="single" w:sz="8" w:space="0" w:color="2E74B5"/>
            </w:tcBorders>
            <w:shd w:val="clear" w:color="auto" w:fill="auto"/>
            <w:vAlign w:val="bottom"/>
          </w:tcPr>
          <w:p w14:paraId="5ABC842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6,77 €</w:t>
            </w:r>
          </w:p>
        </w:tc>
        <w:tc>
          <w:tcPr>
            <w:tcW w:w="1417" w:type="dxa"/>
            <w:tcBorders>
              <w:top w:val="nil"/>
              <w:left w:val="nil"/>
              <w:bottom w:val="single" w:sz="8" w:space="0" w:color="2E74B5"/>
              <w:right w:val="single" w:sz="8" w:space="0" w:color="2E74B5"/>
            </w:tcBorders>
            <w:shd w:val="clear" w:color="auto" w:fill="auto"/>
            <w:vAlign w:val="bottom"/>
          </w:tcPr>
          <w:p w14:paraId="0D25ADEC"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5,5%</w:t>
            </w:r>
          </w:p>
        </w:tc>
      </w:tr>
      <w:tr w:rsidR="00A61464" w14:paraId="50847A07"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686D275"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Cáceres</w:t>
            </w:r>
          </w:p>
        </w:tc>
        <w:tc>
          <w:tcPr>
            <w:tcW w:w="1417" w:type="dxa"/>
            <w:tcBorders>
              <w:top w:val="nil"/>
              <w:left w:val="nil"/>
              <w:bottom w:val="single" w:sz="8" w:space="0" w:color="2E74B5"/>
              <w:right w:val="single" w:sz="8" w:space="0" w:color="2E74B5"/>
            </w:tcBorders>
            <w:shd w:val="clear" w:color="auto" w:fill="auto"/>
            <w:vAlign w:val="bottom"/>
          </w:tcPr>
          <w:p w14:paraId="0D44BA6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27.608 €</w:t>
            </w:r>
          </w:p>
        </w:tc>
        <w:tc>
          <w:tcPr>
            <w:tcW w:w="1560" w:type="dxa"/>
            <w:tcBorders>
              <w:top w:val="nil"/>
              <w:left w:val="nil"/>
              <w:bottom w:val="single" w:sz="8" w:space="0" w:color="2E74B5"/>
              <w:right w:val="single" w:sz="8" w:space="0" w:color="2E74B5"/>
            </w:tcBorders>
            <w:shd w:val="clear" w:color="auto" w:fill="auto"/>
            <w:vAlign w:val="bottom"/>
          </w:tcPr>
          <w:p w14:paraId="20B0E55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25.658 €</w:t>
            </w:r>
          </w:p>
        </w:tc>
        <w:tc>
          <w:tcPr>
            <w:tcW w:w="1275" w:type="dxa"/>
            <w:tcBorders>
              <w:top w:val="nil"/>
              <w:left w:val="nil"/>
              <w:bottom w:val="single" w:sz="8" w:space="0" w:color="2E74B5"/>
              <w:right w:val="single" w:sz="8" w:space="0" w:color="2E74B5"/>
            </w:tcBorders>
            <w:shd w:val="clear" w:color="auto" w:fill="auto"/>
            <w:vAlign w:val="bottom"/>
          </w:tcPr>
          <w:p w14:paraId="3D5A996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-7,1%</w:t>
            </w:r>
          </w:p>
        </w:tc>
        <w:tc>
          <w:tcPr>
            <w:tcW w:w="1418" w:type="dxa"/>
            <w:tcBorders>
              <w:top w:val="nil"/>
              <w:left w:val="nil"/>
              <w:bottom w:val="single" w:sz="8" w:space="0" w:color="2E74B5"/>
              <w:right w:val="single" w:sz="8" w:space="0" w:color="2E74B5"/>
            </w:tcBorders>
            <w:shd w:val="clear" w:color="auto" w:fill="auto"/>
            <w:vAlign w:val="bottom"/>
          </w:tcPr>
          <w:p w14:paraId="57BC3F7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6,09 €</w:t>
            </w:r>
          </w:p>
        </w:tc>
        <w:tc>
          <w:tcPr>
            <w:tcW w:w="1276" w:type="dxa"/>
            <w:tcBorders>
              <w:top w:val="nil"/>
              <w:left w:val="nil"/>
              <w:bottom w:val="single" w:sz="8" w:space="0" w:color="2E74B5"/>
              <w:right w:val="single" w:sz="8" w:space="0" w:color="2E74B5"/>
            </w:tcBorders>
            <w:shd w:val="clear" w:color="auto" w:fill="auto"/>
            <w:vAlign w:val="bottom"/>
          </w:tcPr>
          <w:p w14:paraId="6BDA93E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6,88 €</w:t>
            </w:r>
          </w:p>
        </w:tc>
        <w:tc>
          <w:tcPr>
            <w:tcW w:w="1417" w:type="dxa"/>
            <w:tcBorders>
              <w:top w:val="nil"/>
              <w:left w:val="nil"/>
              <w:bottom w:val="single" w:sz="8" w:space="0" w:color="2E74B5"/>
              <w:right w:val="single" w:sz="8" w:space="0" w:color="2E74B5"/>
            </w:tcBorders>
            <w:shd w:val="clear" w:color="auto" w:fill="auto"/>
            <w:vAlign w:val="bottom"/>
          </w:tcPr>
          <w:p w14:paraId="3B6944E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13,0%</w:t>
            </w:r>
          </w:p>
        </w:tc>
      </w:tr>
      <w:tr w:rsidR="00A61464" w14:paraId="6667C0F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54A35EA"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A Coruña</w:t>
            </w:r>
          </w:p>
        </w:tc>
        <w:tc>
          <w:tcPr>
            <w:tcW w:w="1417" w:type="dxa"/>
            <w:tcBorders>
              <w:top w:val="nil"/>
              <w:left w:val="nil"/>
              <w:bottom w:val="single" w:sz="8" w:space="0" w:color="2E74B5"/>
              <w:right w:val="single" w:sz="8" w:space="0" w:color="2E74B5"/>
            </w:tcBorders>
            <w:shd w:val="clear" w:color="auto" w:fill="auto"/>
            <w:vAlign w:val="bottom"/>
          </w:tcPr>
          <w:p w14:paraId="0B02FD8B"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24.921 €</w:t>
            </w:r>
          </w:p>
        </w:tc>
        <w:tc>
          <w:tcPr>
            <w:tcW w:w="1560" w:type="dxa"/>
            <w:tcBorders>
              <w:top w:val="nil"/>
              <w:left w:val="nil"/>
              <w:bottom w:val="single" w:sz="8" w:space="0" w:color="2E74B5"/>
              <w:right w:val="single" w:sz="8" w:space="0" w:color="2E74B5"/>
            </w:tcBorders>
            <w:shd w:val="clear" w:color="auto" w:fill="auto"/>
            <w:vAlign w:val="bottom"/>
          </w:tcPr>
          <w:p w14:paraId="0CC5856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25.057 €</w:t>
            </w:r>
          </w:p>
        </w:tc>
        <w:tc>
          <w:tcPr>
            <w:tcW w:w="1275" w:type="dxa"/>
            <w:tcBorders>
              <w:top w:val="nil"/>
              <w:left w:val="nil"/>
              <w:bottom w:val="single" w:sz="8" w:space="0" w:color="2E74B5"/>
              <w:right w:val="single" w:sz="8" w:space="0" w:color="2E74B5"/>
            </w:tcBorders>
            <w:shd w:val="clear" w:color="auto" w:fill="auto"/>
            <w:vAlign w:val="bottom"/>
          </w:tcPr>
          <w:p w14:paraId="109C8ED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0,5%</w:t>
            </w:r>
          </w:p>
        </w:tc>
        <w:tc>
          <w:tcPr>
            <w:tcW w:w="1418" w:type="dxa"/>
            <w:tcBorders>
              <w:top w:val="single" w:sz="8" w:space="0" w:color="2E74B5"/>
              <w:left w:val="single" w:sz="8" w:space="0" w:color="2E74B5"/>
              <w:bottom w:val="single" w:sz="8" w:space="0" w:color="2E74B5"/>
              <w:right w:val="single" w:sz="8" w:space="0" w:color="2E74B5"/>
            </w:tcBorders>
            <w:shd w:val="clear" w:color="auto" w:fill="auto"/>
            <w:vAlign w:val="bottom"/>
          </w:tcPr>
          <w:p w14:paraId="61200187" w14:textId="77777777" w:rsidR="00A61464" w:rsidRDefault="00000000">
            <w:pPr>
              <w:jc w:val="center"/>
              <w:rPr>
                <w:rFonts w:ascii="Open Sans Light" w:eastAsia="Open Sans Light" w:hAnsi="Open Sans Light" w:cs="Open Sans Light"/>
                <w:b/>
                <w:color w:val="FF0000"/>
                <w:sz w:val="18"/>
                <w:szCs w:val="18"/>
              </w:rPr>
            </w:pPr>
            <w:r>
              <w:rPr>
                <w:rFonts w:ascii="Open Sans Light" w:eastAsia="Open Sans Light" w:hAnsi="Open Sans Light" w:cs="Open Sans Light"/>
                <w:color w:val="000000"/>
                <w:sz w:val="18"/>
                <w:szCs w:val="18"/>
              </w:rPr>
              <w:t>8,41 €</w:t>
            </w:r>
          </w:p>
        </w:tc>
        <w:tc>
          <w:tcPr>
            <w:tcW w:w="1276" w:type="dxa"/>
            <w:tcBorders>
              <w:top w:val="nil"/>
              <w:left w:val="nil"/>
              <w:bottom w:val="single" w:sz="8" w:space="0" w:color="2E74B5"/>
              <w:right w:val="single" w:sz="8" w:space="0" w:color="2E74B5"/>
            </w:tcBorders>
            <w:shd w:val="clear" w:color="auto" w:fill="auto"/>
            <w:vAlign w:val="bottom"/>
          </w:tcPr>
          <w:p w14:paraId="23E77FD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9,38 €</w:t>
            </w:r>
          </w:p>
        </w:tc>
        <w:tc>
          <w:tcPr>
            <w:tcW w:w="1417" w:type="dxa"/>
            <w:tcBorders>
              <w:top w:val="nil"/>
              <w:left w:val="nil"/>
              <w:bottom w:val="single" w:sz="8" w:space="0" w:color="2E74B5"/>
              <w:right w:val="single" w:sz="8" w:space="0" w:color="2E74B5"/>
            </w:tcBorders>
            <w:shd w:val="clear" w:color="auto" w:fill="auto"/>
            <w:vAlign w:val="bottom"/>
          </w:tcPr>
          <w:p w14:paraId="031F64B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11,5%</w:t>
            </w:r>
          </w:p>
        </w:tc>
      </w:tr>
      <w:tr w:rsidR="00A61464" w14:paraId="0FA44180"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5634ABB"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Lugo</w:t>
            </w:r>
          </w:p>
        </w:tc>
        <w:tc>
          <w:tcPr>
            <w:tcW w:w="1417" w:type="dxa"/>
            <w:tcBorders>
              <w:top w:val="nil"/>
              <w:left w:val="nil"/>
              <w:bottom w:val="single" w:sz="8" w:space="0" w:color="2E74B5"/>
              <w:right w:val="single" w:sz="8" w:space="0" w:color="2E74B5"/>
            </w:tcBorders>
            <w:shd w:val="clear" w:color="auto" w:fill="auto"/>
            <w:vAlign w:val="bottom"/>
          </w:tcPr>
          <w:p w14:paraId="3D36C7D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25.043 €</w:t>
            </w:r>
          </w:p>
        </w:tc>
        <w:tc>
          <w:tcPr>
            <w:tcW w:w="1560" w:type="dxa"/>
            <w:tcBorders>
              <w:top w:val="nil"/>
              <w:left w:val="nil"/>
              <w:bottom w:val="single" w:sz="8" w:space="0" w:color="2E74B5"/>
              <w:right w:val="single" w:sz="8" w:space="0" w:color="2E74B5"/>
            </w:tcBorders>
            <w:shd w:val="clear" w:color="auto" w:fill="auto"/>
            <w:vAlign w:val="bottom"/>
          </w:tcPr>
          <w:p w14:paraId="799D701F"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24.303 €</w:t>
            </w:r>
          </w:p>
        </w:tc>
        <w:tc>
          <w:tcPr>
            <w:tcW w:w="1275" w:type="dxa"/>
            <w:tcBorders>
              <w:top w:val="nil"/>
              <w:left w:val="nil"/>
              <w:bottom w:val="single" w:sz="8" w:space="0" w:color="2E74B5"/>
              <w:right w:val="single" w:sz="8" w:space="0" w:color="2E74B5"/>
            </w:tcBorders>
            <w:shd w:val="clear" w:color="auto" w:fill="auto"/>
            <w:vAlign w:val="bottom"/>
          </w:tcPr>
          <w:p w14:paraId="27E3607B"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-3,0%</w:t>
            </w:r>
          </w:p>
        </w:tc>
        <w:tc>
          <w:tcPr>
            <w:tcW w:w="1418" w:type="dxa"/>
            <w:tcBorders>
              <w:top w:val="nil"/>
              <w:left w:val="nil"/>
              <w:bottom w:val="single" w:sz="8" w:space="0" w:color="2E74B5"/>
              <w:right w:val="single" w:sz="8" w:space="0" w:color="2E74B5"/>
            </w:tcBorders>
            <w:shd w:val="clear" w:color="auto" w:fill="auto"/>
            <w:vAlign w:val="bottom"/>
          </w:tcPr>
          <w:p w14:paraId="58F9150A"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6,86 €</w:t>
            </w:r>
          </w:p>
        </w:tc>
        <w:tc>
          <w:tcPr>
            <w:tcW w:w="1276" w:type="dxa"/>
            <w:tcBorders>
              <w:top w:val="nil"/>
              <w:left w:val="nil"/>
              <w:bottom w:val="single" w:sz="8" w:space="0" w:color="2E74B5"/>
              <w:right w:val="single" w:sz="8" w:space="0" w:color="2E74B5"/>
            </w:tcBorders>
            <w:shd w:val="clear" w:color="auto" w:fill="auto"/>
            <w:vAlign w:val="bottom"/>
          </w:tcPr>
          <w:p w14:paraId="66A90FF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7,77 €</w:t>
            </w:r>
          </w:p>
        </w:tc>
        <w:tc>
          <w:tcPr>
            <w:tcW w:w="1417" w:type="dxa"/>
            <w:tcBorders>
              <w:top w:val="nil"/>
              <w:left w:val="nil"/>
              <w:bottom w:val="single" w:sz="8" w:space="0" w:color="2E74B5"/>
              <w:right w:val="single" w:sz="8" w:space="0" w:color="2E74B5"/>
            </w:tcBorders>
            <w:shd w:val="clear" w:color="auto" w:fill="auto"/>
            <w:vAlign w:val="bottom"/>
          </w:tcPr>
          <w:p w14:paraId="7ED6C08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13,3%</w:t>
            </w:r>
          </w:p>
        </w:tc>
      </w:tr>
      <w:tr w:rsidR="00A61464" w14:paraId="071BAA3B"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B719229"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Ourense</w:t>
            </w:r>
          </w:p>
        </w:tc>
        <w:tc>
          <w:tcPr>
            <w:tcW w:w="1417" w:type="dxa"/>
            <w:tcBorders>
              <w:top w:val="nil"/>
              <w:left w:val="nil"/>
              <w:bottom w:val="single" w:sz="8" w:space="0" w:color="2E74B5"/>
              <w:right w:val="single" w:sz="8" w:space="0" w:color="2E74B5"/>
            </w:tcBorders>
            <w:shd w:val="clear" w:color="auto" w:fill="auto"/>
            <w:vAlign w:val="bottom"/>
          </w:tcPr>
          <w:p w14:paraId="3F00ED6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29.187 €</w:t>
            </w:r>
          </w:p>
        </w:tc>
        <w:tc>
          <w:tcPr>
            <w:tcW w:w="1560" w:type="dxa"/>
            <w:tcBorders>
              <w:top w:val="nil"/>
              <w:left w:val="nil"/>
              <w:bottom w:val="single" w:sz="8" w:space="0" w:color="2E74B5"/>
              <w:right w:val="single" w:sz="8" w:space="0" w:color="2E74B5"/>
            </w:tcBorders>
            <w:shd w:val="clear" w:color="auto" w:fill="auto"/>
            <w:vAlign w:val="bottom"/>
          </w:tcPr>
          <w:p w14:paraId="219FB52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30.114 €</w:t>
            </w:r>
          </w:p>
        </w:tc>
        <w:tc>
          <w:tcPr>
            <w:tcW w:w="1275" w:type="dxa"/>
            <w:tcBorders>
              <w:top w:val="nil"/>
              <w:left w:val="nil"/>
              <w:bottom w:val="single" w:sz="8" w:space="0" w:color="2E74B5"/>
              <w:right w:val="single" w:sz="8" w:space="0" w:color="2E74B5"/>
            </w:tcBorders>
            <w:shd w:val="clear" w:color="auto" w:fill="auto"/>
            <w:vAlign w:val="bottom"/>
          </w:tcPr>
          <w:p w14:paraId="06F63A65"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000000"/>
                <w:sz w:val="18"/>
                <w:szCs w:val="18"/>
              </w:rPr>
              <w:t>3,2%</w:t>
            </w:r>
          </w:p>
        </w:tc>
        <w:tc>
          <w:tcPr>
            <w:tcW w:w="1418" w:type="dxa"/>
            <w:tcBorders>
              <w:top w:val="nil"/>
              <w:left w:val="nil"/>
              <w:bottom w:val="single" w:sz="8" w:space="0" w:color="2E74B5"/>
              <w:right w:val="single" w:sz="8" w:space="0" w:color="2E74B5"/>
            </w:tcBorders>
            <w:shd w:val="clear" w:color="auto" w:fill="auto"/>
            <w:vAlign w:val="bottom"/>
          </w:tcPr>
          <w:p w14:paraId="2F2AED4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6,91 €</w:t>
            </w:r>
          </w:p>
        </w:tc>
        <w:tc>
          <w:tcPr>
            <w:tcW w:w="1276" w:type="dxa"/>
            <w:tcBorders>
              <w:top w:val="nil"/>
              <w:left w:val="nil"/>
              <w:bottom w:val="single" w:sz="8" w:space="0" w:color="2E74B5"/>
              <w:right w:val="single" w:sz="8" w:space="0" w:color="2E74B5"/>
            </w:tcBorders>
            <w:shd w:val="clear" w:color="auto" w:fill="auto"/>
            <w:vAlign w:val="bottom"/>
          </w:tcPr>
          <w:p w14:paraId="1CDD028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7,04 €</w:t>
            </w:r>
          </w:p>
        </w:tc>
        <w:tc>
          <w:tcPr>
            <w:tcW w:w="1417" w:type="dxa"/>
            <w:tcBorders>
              <w:top w:val="nil"/>
              <w:left w:val="nil"/>
              <w:bottom w:val="single" w:sz="8" w:space="0" w:color="2E74B5"/>
              <w:right w:val="single" w:sz="8" w:space="0" w:color="2E74B5"/>
            </w:tcBorders>
            <w:shd w:val="clear" w:color="auto" w:fill="auto"/>
            <w:vAlign w:val="bottom"/>
          </w:tcPr>
          <w:p w14:paraId="65B5B63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1,9%</w:t>
            </w:r>
          </w:p>
        </w:tc>
      </w:tr>
      <w:tr w:rsidR="00A61464" w14:paraId="12C85383"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B5E5BE5"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Pontevedra</w:t>
            </w:r>
          </w:p>
        </w:tc>
        <w:tc>
          <w:tcPr>
            <w:tcW w:w="1417" w:type="dxa"/>
            <w:tcBorders>
              <w:top w:val="nil"/>
              <w:left w:val="nil"/>
              <w:bottom w:val="single" w:sz="8" w:space="0" w:color="2E74B5"/>
              <w:right w:val="single" w:sz="8" w:space="0" w:color="2E74B5"/>
            </w:tcBorders>
            <w:shd w:val="clear" w:color="auto" w:fill="auto"/>
            <w:vAlign w:val="bottom"/>
          </w:tcPr>
          <w:p w14:paraId="7DF83E7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24.484 €</w:t>
            </w:r>
          </w:p>
        </w:tc>
        <w:tc>
          <w:tcPr>
            <w:tcW w:w="1560" w:type="dxa"/>
            <w:tcBorders>
              <w:top w:val="nil"/>
              <w:left w:val="nil"/>
              <w:bottom w:val="single" w:sz="8" w:space="0" w:color="2E74B5"/>
              <w:right w:val="single" w:sz="8" w:space="0" w:color="2E74B5"/>
            </w:tcBorders>
            <w:shd w:val="clear" w:color="auto" w:fill="auto"/>
            <w:vAlign w:val="bottom"/>
          </w:tcPr>
          <w:p w14:paraId="3780AEF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25.086 €</w:t>
            </w:r>
          </w:p>
        </w:tc>
        <w:tc>
          <w:tcPr>
            <w:tcW w:w="1275" w:type="dxa"/>
            <w:tcBorders>
              <w:top w:val="nil"/>
              <w:left w:val="nil"/>
              <w:bottom w:val="single" w:sz="8" w:space="0" w:color="2E74B5"/>
              <w:right w:val="single" w:sz="8" w:space="0" w:color="2E74B5"/>
            </w:tcBorders>
            <w:shd w:val="clear" w:color="auto" w:fill="auto"/>
            <w:vAlign w:val="bottom"/>
          </w:tcPr>
          <w:p w14:paraId="5EC46CC7"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000000"/>
                <w:sz w:val="18"/>
                <w:szCs w:val="18"/>
              </w:rPr>
              <w:t>2,5%</w:t>
            </w:r>
          </w:p>
        </w:tc>
        <w:tc>
          <w:tcPr>
            <w:tcW w:w="1418" w:type="dxa"/>
            <w:tcBorders>
              <w:top w:val="nil"/>
              <w:left w:val="nil"/>
              <w:bottom w:val="single" w:sz="8" w:space="0" w:color="2E74B5"/>
              <w:right w:val="single" w:sz="8" w:space="0" w:color="2E74B5"/>
            </w:tcBorders>
            <w:shd w:val="clear" w:color="auto" w:fill="auto"/>
            <w:vAlign w:val="bottom"/>
          </w:tcPr>
          <w:p w14:paraId="308DF99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9,94 €</w:t>
            </w:r>
          </w:p>
        </w:tc>
        <w:tc>
          <w:tcPr>
            <w:tcW w:w="1276" w:type="dxa"/>
            <w:tcBorders>
              <w:top w:val="nil"/>
              <w:left w:val="nil"/>
              <w:bottom w:val="single" w:sz="8" w:space="0" w:color="2E74B5"/>
              <w:right w:val="single" w:sz="8" w:space="0" w:color="2E74B5"/>
            </w:tcBorders>
            <w:shd w:val="clear" w:color="auto" w:fill="auto"/>
            <w:vAlign w:val="bottom"/>
          </w:tcPr>
          <w:p w14:paraId="51ACF3E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10,76 €</w:t>
            </w:r>
          </w:p>
        </w:tc>
        <w:tc>
          <w:tcPr>
            <w:tcW w:w="1417" w:type="dxa"/>
            <w:tcBorders>
              <w:top w:val="nil"/>
              <w:left w:val="nil"/>
              <w:bottom w:val="single" w:sz="8" w:space="0" w:color="2E74B5"/>
              <w:right w:val="single" w:sz="8" w:space="0" w:color="2E74B5"/>
            </w:tcBorders>
            <w:shd w:val="clear" w:color="auto" w:fill="auto"/>
            <w:vAlign w:val="bottom"/>
          </w:tcPr>
          <w:p w14:paraId="73154A1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8,2%</w:t>
            </w:r>
          </w:p>
        </w:tc>
      </w:tr>
      <w:tr w:rsidR="00A61464" w14:paraId="60592000"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A388582"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La Rioja</w:t>
            </w:r>
          </w:p>
        </w:tc>
        <w:tc>
          <w:tcPr>
            <w:tcW w:w="1417" w:type="dxa"/>
            <w:tcBorders>
              <w:top w:val="nil"/>
              <w:left w:val="nil"/>
              <w:bottom w:val="single" w:sz="8" w:space="0" w:color="2E74B5"/>
              <w:right w:val="single" w:sz="8" w:space="0" w:color="2E74B5"/>
            </w:tcBorders>
            <w:shd w:val="clear" w:color="auto" w:fill="auto"/>
            <w:vAlign w:val="bottom"/>
          </w:tcPr>
          <w:p w14:paraId="5566998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25.939 €</w:t>
            </w:r>
          </w:p>
        </w:tc>
        <w:tc>
          <w:tcPr>
            <w:tcW w:w="1560" w:type="dxa"/>
            <w:tcBorders>
              <w:top w:val="nil"/>
              <w:left w:val="nil"/>
              <w:bottom w:val="single" w:sz="8" w:space="0" w:color="2E74B5"/>
              <w:right w:val="single" w:sz="8" w:space="0" w:color="2E74B5"/>
            </w:tcBorders>
            <w:shd w:val="clear" w:color="auto" w:fill="auto"/>
            <w:vAlign w:val="bottom"/>
          </w:tcPr>
          <w:p w14:paraId="5C1DA17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25.656 €</w:t>
            </w:r>
          </w:p>
        </w:tc>
        <w:tc>
          <w:tcPr>
            <w:tcW w:w="1275" w:type="dxa"/>
            <w:tcBorders>
              <w:top w:val="nil"/>
              <w:left w:val="nil"/>
              <w:bottom w:val="single" w:sz="8" w:space="0" w:color="2E74B5"/>
              <w:right w:val="single" w:sz="8" w:space="0" w:color="2E74B5"/>
            </w:tcBorders>
            <w:shd w:val="clear" w:color="auto" w:fill="auto"/>
            <w:vAlign w:val="bottom"/>
          </w:tcPr>
          <w:p w14:paraId="77C7697A"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9C0006"/>
                <w:sz w:val="18"/>
                <w:szCs w:val="18"/>
              </w:rPr>
              <w:t>-1,1%</w:t>
            </w:r>
          </w:p>
        </w:tc>
        <w:tc>
          <w:tcPr>
            <w:tcW w:w="1418" w:type="dxa"/>
            <w:tcBorders>
              <w:top w:val="nil"/>
              <w:left w:val="nil"/>
              <w:bottom w:val="single" w:sz="8" w:space="0" w:color="2E74B5"/>
              <w:right w:val="single" w:sz="8" w:space="0" w:color="2E74B5"/>
            </w:tcBorders>
            <w:shd w:val="clear" w:color="auto" w:fill="auto"/>
            <w:vAlign w:val="bottom"/>
          </w:tcPr>
          <w:p w14:paraId="3826701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8,17 €</w:t>
            </w:r>
          </w:p>
        </w:tc>
        <w:tc>
          <w:tcPr>
            <w:tcW w:w="1276" w:type="dxa"/>
            <w:tcBorders>
              <w:top w:val="nil"/>
              <w:left w:val="nil"/>
              <w:bottom w:val="single" w:sz="8" w:space="0" w:color="2E74B5"/>
              <w:right w:val="single" w:sz="8" w:space="0" w:color="2E74B5"/>
            </w:tcBorders>
            <w:shd w:val="clear" w:color="auto" w:fill="auto"/>
            <w:vAlign w:val="bottom"/>
          </w:tcPr>
          <w:p w14:paraId="35A63B0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9,18 €</w:t>
            </w:r>
          </w:p>
        </w:tc>
        <w:tc>
          <w:tcPr>
            <w:tcW w:w="1417" w:type="dxa"/>
            <w:tcBorders>
              <w:top w:val="nil"/>
              <w:left w:val="nil"/>
              <w:bottom w:val="single" w:sz="8" w:space="0" w:color="2E74B5"/>
              <w:right w:val="single" w:sz="8" w:space="0" w:color="2E74B5"/>
            </w:tcBorders>
            <w:shd w:val="clear" w:color="auto" w:fill="auto"/>
            <w:vAlign w:val="bottom"/>
          </w:tcPr>
          <w:p w14:paraId="4533693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12,4%</w:t>
            </w:r>
          </w:p>
        </w:tc>
      </w:tr>
      <w:tr w:rsidR="00A61464" w14:paraId="74AD933C"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562D8DD8"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Madrid</w:t>
            </w:r>
          </w:p>
        </w:tc>
        <w:tc>
          <w:tcPr>
            <w:tcW w:w="1417" w:type="dxa"/>
            <w:tcBorders>
              <w:top w:val="nil"/>
              <w:left w:val="nil"/>
              <w:bottom w:val="single" w:sz="8" w:space="0" w:color="2E74B5"/>
              <w:right w:val="single" w:sz="8" w:space="0" w:color="2E74B5"/>
            </w:tcBorders>
            <w:shd w:val="clear" w:color="auto" w:fill="auto"/>
            <w:vAlign w:val="bottom"/>
          </w:tcPr>
          <w:p w14:paraId="2CA77C40"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26.836 €</w:t>
            </w:r>
          </w:p>
        </w:tc>
        <w:tc>
          <w:tcPr>
            <w:tcW w:w="1560" w:type="dxa"/>
            <w:tcBorders>
              <w:top w:val="nil"/>
              <w:left w:val="nil"/>
              <w:bottom w:val="single" w:sz="8" w:space="0" w:color="2E74B5"/>
              <w:right w:val="single" w:sz="8" w:space="0" w:color="2E74B5"/>
            </w:tcBorders>
            <w:shd w:val="clear" w:color="auto" w:fill="auto"/>
            <w:vAlign w:val="bottom"/>
          </w:tcPr>
          <w:p w14:paraId="3056627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28.075 €</w:t>
            </w:r>
          </w:p>
        </w:tc>
        <w:tc>
          <w:tcPr>
            <w:tcW w:w="1275" w:type="dxa"/>
            <w:tcBorders>
              <w:top w:val="nil"/>
              <w:left w:val="nil"/>
              <w:bottom w:val="single" w:sz="8" w:space="0" w:color="2E74B5"/>
              <w:right w:val="single" w:sz="8" w:space="0" w:color="2E74B5"/>
            </w:tcBorders>
            <w:shd w:val="clear" w:color="auto" w:fill="auto"/>
            <w:vAlign w:val="bottom"/>
          </w:tcPr>
          <w:p w14:paraId="7D0D3AEF" w14:textId="77777777" w:rsidR="00A61464" w:rsidRDefault="00000000">
            <w:pPr>
              <w:jc w:val="center"/>
              <w:rPr>
                <w:rFonts w:ascii="Open Sans Light" w:eastAsia="Open Sans Light" w:hAnsi="Open Sans Light" w:cs="Open Sans Light"/>
                <w:b/>
                <w:color w:val="9C0006"/>
                <w:sz w:val="18"/>
                <w:szCs w:val="18"/>
              </w:rPr>
            </w:pPr>
            <w:r>
              <w:rPr>
                <w:rFonts w:ascii="Open Sans Light" w:eastAsia="Open Sans Light" w:hAnsi="Open Sans Light" w:cs="Open Sans Light"/>
                <w:b/>
                <w:color w:val="000000"/>
                <w:sz w:val="18"/>
                <w:szCs w:val="18"/>
              </w:rPr>
              <w:t>4,6%</w:t>
            </w:r>
          </w:p>
        </w:tc>
        <w:tc>
          <w:tcPr>
            <w:tcW w:w="1418" w:type="dxa"/>
            <w:tcBorders>
              <w:top w:val="nil"/>
              <w:left w:val="nil"/>
              <w:bottom w:val="single" w:sz="8" w:space="0" w:color="2E74B5"/>
              <w:right w:val="single" w:sz="8" w:space="0" w:color="2E74B5"/>
            </w:tcBorders>
            <w:shd w:val="clear" w:color="auto" w:fill="auto"/>
            <w:vAlign w:val="bottom"/>
          </w:tcPr>
          <w:p w14:paraId="7F9AE7BE"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17,38 €</w:t>
            </w:r>
          </w:p>
        </w:tc>
        <w:tc>
          <w:tcPr>
            <w:tcW w:w="1276" w:type="dxa"/>
            <w:tcBorders>
              <w:top w:val="nil"/>
              <w:left w:val="nil"/>
              <w:bottom w:val="single" w:sz="8" w:space="0" w:color="2E74B5"/>
              <w:right w:val="single" w:sz="8" w:space="0" w:color="2E74B5"/>
            </w:tcBorders>
            <w:shd w:val="clear" w:color="auto" w:fill="auto"/>
            <w:vAlign w:val="bottom"/>
          </w:tcPr>
          <w:p w14:paraId="74B96D37"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20,62 €</w:t>
            </w:r>
          </w:p>
        </w:tc>
        <w:tc>
          <w:tcPr>
            <w:tcW w:w="1417" w:type="dxa"/>
            <w:tcBorders>
              <w:top w:val="nil"/>
              <w:left w:val="nil"/>
              <w:bottom w:val="single" w:sz="8" w:space="0" w:color="2E74B5"/>
              <w:right w:val="single" w:sz="8" w:space="0" w:color="2E74B5"/>
            </w:tcBorders>
            <w:shd w:val="clear" w:color="auto" w:fill="auto"/>
            <w:vAlign w:val="bottom"/>
          </w:tcPr>
          <w:p w14:paraId="089FC74D"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18,6%</w:t>
            </w:r>
          </w:p>
        </w:tc>
      </w:tr>
      <w:tr w:rsidR="00A61464" w14:paraId="41B45FF2"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41F662D4"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Navarra</w:t>
            </w:r>
          </w:p>
        </w:tc>
        <w:tc>
          <w:tcPr>
            <w:tcW w:w="1417" w:type="dxa"/>
            <w:tcBorders>
              <w:top w:val="nil"/>
              <w:left w:val="nil"/>
              <w:bottom w:val="single" w:sz="8" w:space="0" w:color="2E74B5"/>
              <w:right w:val="single" w:sz="8" w:space="0" w:color="2E74B5"/>
            </w:tcBorders>
            <w:shd w:val="clear" w:color="auto" w:fill="auto"/>
            <w:vAlign w:val="bottom"/>
          </w:tcPr>
          <w:p w14:paraId="243A269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26.471 €</w:t>
            </w:r>
          </w:p>
        </w:tc>
        <w:tc>
          <w:tcPr>
            <w:tcW w:w="1560" w:type="dxa"/>
            <w:tcBorders>
              <w:top w:val="nil"/>
              <w:left w:val="nil"/>
              <w:bottom w:val="single" w:sz="8" w:space="0" w:color="2E74B5"/>
              <w:right w:val="single" w:sz="8" w:space="0" w:color="2E74B5"/>
            </w:tcBorders>
            <w:shd w:val="clear" w:color="auto" w:fill="auto"/>
            <w:vAlign w:val="bottom"/>
          </w:tcPr>
          <w:p w14:paraId="65E69AC9"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28.346 €</w:t>
            </w:r>
          </w:p>
        </w:tc>
        <w:tc>
          <w:tcPr>
            <w:tcW w:w="1275" w:type="dxa"/>
            <w:tcBorders>
              <w:top w:val="nil"/>
              <w:left w:val="nil"/>
              <w:bottom w:val="single" w:sz="8" w:space="0" w:color="2E74B5"/>
              <w:right w:val="single" w:sz="8" w:space="0" w:color="2E74B5"/>
            </w:tcBorders>
            <w:shd w:val="clear" w:color="auto" w:fill="auto"/>
            <w:vAlign w:val="bottom"/>
          </w:tcPr>
          <w:p w14:paraId="5ACCF280"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7,1%</w:t>
            </w:r>
          </w:p>
        </w:tc>
        <w:tc>
          <w:tcPr>
            <w:tcW w:w="1418" w:type="dxa"/>
            <w:tcBorders>
              <w:top w:val="nil"/>
              <w:left w:val="nil"/>
              <w:bottom w:val="single" w:sz="8" w:space="0" w:color="2E74B5"/>
              <w:right w:val="single" w:sz="8" w:space="0" w:color="2E74B5"/>
            </w:tcBorders>
            <w:shd w:val="clear" w:color="auto" w:fill="auto"/>
            <w:vAlign w:val="bottom"/>
          </w:tcPr>
          <w:p w14:paraId="037FFE68"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11,02 €</w:t>
            </w:r>
          </w:p>
        </w:tc>
        <w:tc>
          <w:tcPr>
            <w:tcW w:w="1276" w:type="dxa"/>
            <w:tcBorders>
              <w:top w:val="nil"/>
              <w:left w:val="nil"/>
              <w:bottom w:val="single" w:sz="8" w:space="0" w:color="2E74B5"/>
              <w:right w:val="single" w:sz="8" w:space="0" w:color="2E74B5"/>
            </w:tcBorders>
            <w:shd w:val="clear" w:color="auto" w:fill="auto"/>
            <w:vAlign w:val="bottom"/>
          </w:tcPr>
          <w:p w14:paraId="604F907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11,98 €</w:t>
            </w:r>
          </w:p>
        </w:tc>
        <w:tc>
          <w:tcPr>
            <w:tcW w:w="1417" w:type="dxa"/>
            <w:tcBorders>
              <w:top w:val="nil"/>
              <w:left w:val="nil"/>
              <w:bottom w:val="single" w:sz="8" w:space="0" w:color="2E74B5"/>
              <w:right w:val="single" w:sz="8" w:space="0" w:color="2E74B5"/>
            </w:tcBorders>
            <w:shd w:val="clear" w:color="auto" w:fill="auto"/>
            <w:vAlign w:val="bottom"/>
          </w:tcPr>
          <w:p w14:paraId="6765A69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8,7%</w:t>
            </w:r>
          </w:p>
        </w:tc>
      </w:tr>
      <w:tr w:rsidR="00A61464" w14:paraId="12A64328"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3FD19B22"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Álava/</w:t>
            </w:r>
            <w:proofErr w:type="spellStart"/>
            <w:r>
              <w:rPr>
                <w:rFonts w:ascii="Open Sans Light" w:eastAsia="Open Sans Light" w:hAnsi="Open Sans Light" w:cs="Open Sans Light"/>
                <w:color w:val="000000"/>
                <w:sz w:val="18"/>
                <w:szCs w:val="18"/>
              </w:rPr>
              <w:t>Áraba</w:t>
            </w:r>
            <w:proofErr w:type="spellEnd"/>
          </w:p>
        </w:tc>
        <w:tc>
          <w:tcPr>
            <w:tcW w:w="1417" w:type="dxa"/>
            <w:tcBorders>
              <w:top w:val="nil"/>
              <w:left w:val="nil"/>
              <w:bottom w:val="single" w:sz="8" w:space="0" w:color="2E74B5"/>
              <w:right w:val="single" w:sz="8" w:space="0" w:color="2E74B5"/>
            </w:tcBorders>
            <w:shd w:val="clear" w:color="auto" w:fill="auto"/>
            <w:vAlign w:val="bottom"/>
          </w:tcPr>
          <w:p w14:paraId="6739477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26.890 €</w:t>
            </w:r>
          </w:p>
        </w:tc>
        <w:tc>
          <w:tcPr>
            <w:tcW w:w="1560" w:type="dxa"/>
            <w:tcBorders>
              <w:top w:val="nil"/>
              <w:left w:val="nil"/>
              <w:bottom w:val="single" w:sz="8" w:space="0" w:color="2E74B5"/>
              <w:right w:val="single" w:sz="8" w:space="0" w:color="2E74B5"/>
            </w:tcBorders>
            <w:shd w:val="clear" w:color="auto" w:fill="auto"/>
            <w:vAlign w:val="bottom"/>
          </w:tcPr>
          <w:p w14:paraId="1B783B9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27.461 €</w:t>
            </w:r>
          </w:p>
        </w:tc>
        <w:tc>
          <w:tcPr>
            <w:tcW w:w="1275" w:type="dxa"/>
            <w:tcBorders>
              <w:top w:val="nil"/>
              <w:left w:val="nil"/>
              <w:bottom w:val="single" w:sz="8" w:space="0" w:color="2E74B5"/>
              <w:right w:val="single" w:sz="8" w:space="0" w:color="2E74B5"/>
            </w:tcBorders>
            <w:shd w:val="clear" w:color="auto" w:fill="auto"/>
            <w:vAlign w:val="bottom"/>
          </w:tcPr>
          <w:p w14:paraId="6E93A829"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2,1%</w:t>
            </w:r>
          </w:p>
        </w:tc>
        <w:tc>
          <w:tcPr>
            <w:tcW w:w="1418" w:type="dxa"/>
            <w:tcBorders>
              <w:top w:val="nil"/>
              <w:left w:val="nil"/>
              <w:bottom w:val="single" w:sz="8" w:space="0" w:color="2E74B5"/>
              <w:right w:val="single" w:sz="8" w:space="0" w:color="2E74B5"/>
            </w:tcBorders>
            <w:shd w:val="clear" w:color="auto" w:fill="auto"/>
            <w:vAlign w:val="bottom"/>
          </w:tcPr>
          <w:p w14:paraId="31A71A9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12,32 €</w:t>
            </w:r>
          </w:p>
        </w:tc>
        <w:tc>
          <w:tcPr>
            <w:tcW w:w="1276" w:type="dxa"/>
            <w:tcBorders>
              <w:top w:val="nil"/>
              <w:left w:val="nil"/>
              <w:bottom w:val="single" w:sz="8" w:space="0" w:color="2E74B5"/>
              <w:right w:val="single" w:sz="8" w:space="0" w:color="2E74B5"/>
            </w:tcBorders>
            <w:shd w:val="clear" w:color="auto" w:fill="auto"/>
            <w:vAlign w:val="bottom"/>
          </w:tcPr>
          <w:p w14:paraId="72B3E9B2"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10,65 €</w:t>
            </w:r>
          </w:p>
        </w:tc>
        <w:tc>
          <w:tcPr>
            <w:tcW w:w="1417" w:type="dxa"/>
            <w:tcBorders>
              <w:top w:val="nil"/>
              <w:left w:val="nil"/>
              <w:bottom w:val="single" w:sz="8" w:space="0" w:color="2E74B5"/>
              <w:right w:val="single" w:sz="8" w:space="0" w:color="2E74B5"/>
            </w:tcBorders>
            <w:shd w:val="clear" w:color="auto" w:fill="auto"/>
            <w:vAlign w:val="bottom"/>
          </w:tcPr>
          <w:p w14:paraId="7B193F8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9C0006"/>
                <w:sz w:val="18"/>
                <w:szCs w:val="18"/>
              </w:rPr>
              <w:t>-13,6%</w:t>
            </w:r>
          </w:p>
        </w:tc>
      </w:tr>
      <w:tr w:rsidR="00A61464" w14:paraId="558FF19E"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F6B22C9"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Guipúzcoa/</w:t>
            </w:r>
            <w:proofErr w:type="spellStart"/>
            <w:r>
              <w:rPr>
                <w:rFonts w:ascii="Open Sans Light" w:eastAsia="Open Sans Light" w:hAnsi="Open Sans Light" w:cs="Open Sans Light"/>
                <w:color w:val="000000"/>
                <w:sz w:val="18"/>
                <w:szCs w:val="18"/>
              </w:rPr>
              <w:t>Guipuzkoa</w:t>
            </w:r>
            <w:proofErr w:type="spellEnd"/>
          </w:p>
        </w:tc>
        <w:tc>
          <w:tcPr>
            <w:tcW w:w="1417" w:type="dxa"/>
            <w:tcBorders>
              <w:top w:val="nil"/>
              <w:left w:val="nil"/>
              <w:bottom w:val="single" w:sz="8" w:space="0" w:color="2E74B5"/>
              <w:right w:val="single" w:sz="8" w:space="0" w:color="2E74B5"/>
            </w:tcBorders>
            <w:shd w:val="clear" w:color="auto" w:fill="auto"/>
            <w:vAlign w:val="bottom"/>
          </w:tcPr>
          <w:p w14:paraId="1C2236E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28.472 €</w:t>
            </w:r>
          </w:p>
        </w:tc>
        <w:tc>
          <w:tcPr>
            <w:tcW w:w="1560" w:type="dxa"/>
            <w:tcBorders>
              <w:top w:val="nil"/>
              <w:left w:val="nil"/>
              <w:bottom w:val="single" w:sz="8" w:space="0" w:color="2E74B5"/>
              <w:right w:val="single" w:sz="8" w:space="0" w:color="2E74B5"/>
            </w:tcBorders>
            <w:shd w:val="clear" w:color="auto" w:fill="auto"/>
            <w:vAlign w:val="bottom"/>
          </w:tcPr>
          <w:p w14:paraId="67A163D5"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29.787 €</w:t>
            </w:r>
          </w:p>
        </w:tc>
        <w:tc>
          <w:tcPr>
            <w:tcW w:w="1275" w:type="dxa"/>
            <w:tcBorders>
              <w:top w:val="nil"/>
              <w:left w:val="nil"/>
              <w:bottom w:val="single" w:sz="8" w:space="0" w:color="2E74B5"/>
              <w:right w:val="single" w:sz="8" w:space="0" w:color="2E74B5"/>
            </w:tcBorders>
            <w:shd w:val="clear" w:color="auto" w:fill="auto"/>
            <w:vAlign w:val="bottom"/>
          </w:tcPr>
          <w:p w14:paraId="357FBE64"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4,6%</w:t>
            </w:r>
          </w:p>
        </w:tc>
        <w:tc>
          <w:tcPr>
            <w:tcW w:w="1418" w:type="dxa"/>
            <w:tcBorders>
              <w:top w:val="nil"/>
              <w:left w:val="nil"/>
              <w:bottom w:val="single" w:sz="8" w:space="0" w:color="2E74B5"/>
              <w:right w:val="single" w:sz="8" w:space="0" w:color="2E74B5"/>
            </w:tcBorders>
            <w:shd w:val="clear" w:color="auto" w:fill="auto"/>
            <w:vAlign w:val="bottom"/>
          </w:tcPr>
          <w:p w14:paraId="00B7DE45"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17,72 €</w:t>
            </w:r>
          </w:p>
        </w:tc>
        <w:tc>
          <w:tcPr>
            <w:tcW w:w="1276" w:type="dxa"/>
            <w:tcBorders>
              <w:top w:val="nil"/>
              <w:left w:val="nil"/>
              <w:bottom w:val="single" w:sz="8" w:space="0" w:color="2E74B5"/>
              <w:right w:val="single" w:sz="8" w:space="0" w:color="2E74B5"/>
            </w:tcBorders>
            <w:shd w:val="clear" w:color="auto" w:fill="auto"/>
            <w:vAlign w:val="bottom"/>
          </w:tcPr>
          <w:p w14:paraId="28D6ABAC"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18,40 €</w:t>
            </w:r>
          </w:p>
        </w:tc>
        <w:tc>
          <w:tcPr>
            <w:tcW w:w="1417" w:type="dxa"/>
            <w:tcBorders>
              <w:top w:val="nil"/>
              <w:left w:val="nil"/>
              <w:bottom w:val="single" w:sz="8" w:space="0" w:color="2E74B5"/>
              <w:right w:val="single" w:sz="8" w:space="0" w:color="2E74B5"/>
            </w:tcBorders>
            <w:shd w:val="clear" w:color="auto" w:fill="auto"/>
            <w:vAlign w:val="bottom"/>
          </w:tcPr>
          <w:p w14:paraId="4E84BE9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3,8%</w:t>
            </w:r>
          </w:p>
        </w:tc>
      </w:tr>
      <w:tr w:rsidR="00A61464" w14:paraId="57EFFEF4"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0E352540"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Vizcaya/Bizkaia</w:t>
            </w:r>
          </w:p>
        </w:tc>
        <w:tc>
          <w:tcPr>
            <w:tcW w:w="1417" w:type="dxa"/>
            <w:tcBorders>
              <w:top w:val="nil"/>
              <w:left w:val="nil"/>
              <w:bottom w:val="single" w:sz="8" w:space="0" w:color="2E74B5"/>
              <w:right w:val="single" w:sz="8" w:space="0" w:color="2E74B5"/>
            </w:tcBorders>
            <w:shd w:val="clear" w:color="auto" w:fill="auto"/>
            <w:vAlign w:val="bottom"/>
          </w:tcPr>
          <w:p w14:paraId="27E2BC7A"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27.132 €</w:t>
            </w:r>
          </w:p>
        </w:tc>
        <w:tc>
          <w:tcPr>
            <w:tcW w:w="1560" w:type="dxa"/>
            <w:tcBorders>
              <w:top w:val="nil"/>
              <w:left w:val="nil"/>
              <w:bottom w:val="single" w:sz="8" w:space="0" w:color="2E74B5"/>
              <w:right w:val="single" w:sz="8" w:space="0" w:color="2E74B5"/>
            </w:tcBorders>
            <w:shd w:val="clear" w:color="auto" w:fill="auto"/>
            <w:vAlign w:val="bottom"/>
          </w:tcPr>
          <w:p w14:paraId="40655EF3"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27.967 €</w:t>
            </w:r>
          </w:p>
        </w:tc>
        <w:tc>
          <w:tcPr>
            <w:tcW w:w="1275" w:type="dxa"/>
            <w:tcBorders>
              <w:top w:val="nil"/>
              <w:left w:val="nil"/>
              <w:bottom w:val="single" w:sz="8" w:space="0" w:color="2E74B5"/>
              <w:right w:val="single" w:sz="8" w:space="0" w:color="2E74B5"/>
            </w:tcBorders>
            <w:shd w:val="clear" w:color="auto" w:fill="auto"/>
            <w:vAlign w:val="bottom"/>
          </w:tcPr>
          <w:p w14:paraId="0BF866D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3,1%</w:t>
            </w:r>
          </w:p>
        </w:tc>
        <w:tc>
          <w:tcPr>
            <w:tcW w:w="1418" w:type="dxa"/>
            <w:tcBorders>
              <w:top w:val="nil"/>
              <w:left w:val="nil"/>
              <w:bottom w:val="single" w:sz="8" w:space="0" w:color="2E74B5"/>
              <w:right w:val="single" w:sz="8" w:space="0" w:color="2E74B5"/>
            </w:tcBorders>
            <w:shd w:val="clear" w:color="auto" w:fill="auto"/>
            <w:vAlign w:val="bottom"/>
          </w:tcPr>
          <w:p w14:paraId="538D5842"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14,78 €</w:t>
            </w:r>
          </w:p>
        </w:tc>
        <w:tc>
          <w:tcPr>
            <w:tcW w:w="1276" w:type="dxa"/>
            <w:tcBorders>
              <w:top w:val="nil"/>
              <w:left w:val="nil"/>
              <w:bottom w:val="single" w:sz="8" w:space="0" w:color="2E74B5"/>
              <w:right w:val="single" w:sz="8" w:space="0" w:color="2E74B5"/>
            </w:tcBorders>
            <w:shd w:val="clear" w:color="auto" w:fill="auto"/>
            <w:vAlign w:val="bottom"/>
          </w:tcPr>
          <w:p w14:paraId="707FD13D"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16,26 €</w:t>
            </w:r>
          </w:p>
        </w:tc>
        <w:tc>
          <w:tcPr>
            <w:tcW w:w="1417" w:type="dxa"/>
            <w:tcBorders>
              <w:top w:val="nil"/>
              <w:left w:val="nil"/>
              <w:bottom w:val="single" w:sz="8" w:space="0" w:color="2E74B5"/>
              <w:right w:val="single" w:sz="8" w:space="0" w:color="2E74B5"/>
            </w:tcBorders>
            <w:shd w:val="clear" w:color="auto" w:fill="auto"/>
            <w:vAlign w:val="bottom"/>
          </w:tcPr>
          <w:p w14:paraId="728AF54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10,0%</w:t>
            </w:r>
          </w:p>
        </w:tc>
      </w:tr>
      <w:tr w:rsidR="00A61464" w14:paraId="6C2B2DBA" w14:textId="77777777">
        <w:trPr>
          <w:trHeight w:val="205"/>
        </w:trPr>
        <w:tc>
          <w:tcPr>
            <w:tcW w:w="1277" w:type="dxa"/>
            <w:tcBorders>
              <w:top w:val="nil"/>
              <w:left w:val="single" w:sz="8" w:space="0" w:color="2E74B5"/>
              <w:bottom w:val="single" w:sz="8" w:space="0" w:color="2E74B5"/>
              <w:right w:val="single" w:sz="8" w:space="0" w:color="2E74B5"/>
            </w:tcBorders>
            <w:shd w:val="clear" w:color="auto" w:fill="9CC3E5"/>
            <w:vAlign w:val="bottom"/>
          </w:tcPr>
          <w:p w14:paraId="2D14BAF9" w14:textId="77777777" w:rsidR="00A61464" w:rsidRDefault="00000000">
            <w:pP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Murcia</w:t>
            </w:r>
          </w:p>
        </w:tc>
        <w:tc>
          <w:tcPr>
            <w:tcW w:w="1417" w:type="dxa"/>
            <w:tcBorders>
              <w:top w:val="nil"/>
              <w:left w:val="nil"/>
              <w:bottom w:val="single" w:sz="8" w:space="0" w:color="2E74B5"/>
              <w:right w:val="single" w:sz="8" w:space="0" w:color="2E74B5"/>
            </w:tcBorders>
            <w:shd w:val="clear" w:color="auto" w:fill="auto"/>
            <w:vAlign w:val="bottom"/>
          </w:tcPr>
          <w:p w14:paraId="0F559E41"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26.077 €</w:t>
            </w:r>
          </w:p>
        </w:tc>
        <w:tc>
          <w:tcPr>
            <w:tcW w:w="1560" w:type="dxa"/>
            <w:tcBorders>
              <w:top w:val="nil"/>
              <w:left w:val="nil"/>
              <w:bottom w:val="single" w:sz="8" w:space="0" w:color="2E74B5"/>
              <w:right w:val="single" w:sz="8" w:space="0" w:color="2E74B5"/>
            </w:tcBorders>
            <w:shd w:val="clear" w:color="auto" w:fill="auto"/>
            <w:vAlign w:val="bottom"/>
          </w:tcPr>
          <w:p w14:paraId="62A4D524"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27.175 €</w:t>
            </w:r>
          </w:p>
        </w:tc>
        <w:tc>
          <w:tcPr>
            <w:tcW w:w="1275" w:type="dxa"/>
            <w:tcBorders>
              <w:top w:val="nil"/>
              <w:left w:val="nil"/>
              <w:bottom w:val="single" w:sz="8" w:space="0" w:color="2E74B5"/>
              <w:right w:val="single" w:sz="8" w:space="0" w:color="2E74B5"/>
            </w:tcBorders>
            <w:shd w:val="clear" w:color="auto" w:fill="auto"/>
            <w:vAlign w:val="bottom"/>
          </w:tcPr>
          <w:p w14:paraId="6891A263"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4,2%</w:t>
            </w:r>
          </w:p>
        </w:tc>
        <w:tc>
          <w:tcPr>
            <w:tcW w:w="1418" w:type="dxa"/>
            <w:tcBorders>
              <w:top w:val="nil"/>
              <w:left w:val="nil"/>
              <w:bottom w:val="single" w:sz="8" w:space="0" w:color="2E74B5"/>
              <w:right w:val="single" w:sz="8" w:space="0" w:color="2E74B5"/>
            </w:tcBorders>
            <w:shd w:val="clear" w:color="auto" w:fill="auto"/>
            <w:vAlign w:val="bottom"/>
          </w:tcPr>
          <w:p w14:paraId="360FA7C7"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color w:val="000000"/>
                <w:sz w:val="18"/>
                <w:szCs w:val="18"/>
              </w:rPr>
              <w:t>8,02 €</w:t>
            </w:r>
          </w:p>
        </w:tc>
        <w:tc>
          <w:tcPr>
            <w:tcW w:w="1276" w:type="dxa"/>
            <w:tcBorders>
              <w:top w:val="nil"/>
              <w:left w:val="nil"/>
              <w:bottom w:val="single" w:sz="8" w:space="0" w:color="2E74B5"/>
              <w:right w:val="single" w:sz="8" w:space="0" w:color="2E74B5"/>
            </w:tcBorders>
            <w:shd w:val="clear" w:color="auto" w:fill="auto"/>
            <w:vAlign w:val="bottom"/>
          </w:tcPr>
          <w:p w14:paraId="11A441C8" w14:textId="77777777" w:rsidR="00A61464" w:rsidRDefault="00000000">
            <w:pPr>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9,35 €</w:t>
            </w:r>
          </w:p>
        </w:tc>
        <w:tc>
          <w:tcPr>
            <w:tcW w:w="1417" w:type="dxa"/>
            <w:tcBorders>
              <w:top w:val="nil"/>
              <w:left w:val="nil"/>
              <w:bottom w:val="single" w:sz="8" w:space="0" w:color="2E74B5"/>
              <w:right w:val="single" w:sz="8" w:space="0" w:color="2E74B5"/>
            </w:tcBorders>
            <w:shd w:val="clear" w:color="auto" w:fill="auto"/>
            <w:vAlign w:val="bottom"/>
          </w:tcPr>
          <w:p w14:paraId="657C49E1" w14:textId="77777777" w:rsidR="00A61464" w:rsidRDefault="00000000">
            <w:pPr>
              <w:jc w:val="center"/>
              <w:rPr>
                <w:rFonts w:ascii="Open Sans Light" w:eastAsia="Open Sans Light" w:hAnsi="Open Sans Light" w:cs="Open Sans Light"/>
                <w:b/>
                <w:color w:val="000000"/>
                <w:sz w:val="18"/>
                <w:szCs w:val="18"/>
              </w:rPr>
            </w:pPr>
            <w:r>
              <w:rPr>
                <w:rFonts w:ascii="Open Sans Light" w:eastAsia="Open Sans Light" w:hAnsi="Open Sans Light" w:cs="Open Sans Light"/>
                <w:b/>
                <w:color w:val="000000"/>
                <w:sz w:val="18"/>
                <w:szCs w:val="18"/>
              </w:rPr>
              <w:t>16,6%</w:t>
            </w:r>
          </w:p>
        </w:tc>
      </w:tr>
    </w:tbl>
    <w:p w14:paraId="4F86357A" w14:textId="77777777" w:rsidR="00A61464" w:rsidRDefault="00A61464">
      <w:pPr>
        <w:spacing w:line="276" w:lineRule="auto"/>
        <w:ind w:right="-574"/>
        <w:jc w:val="right"/>
        <w:rPr>
          <w:rFonts w:ascii="Open Sans Light" w:eastAsia="Open Sans Light" w:hAnsi="Open Sans Light" w:cs="Open Sans Light"/>
          <w:b/>
          <w:color w:val="303AB2"/>
        </w:rPr>
      </w:pPr>
    </w:p>
    <w:p w14:paraId="6ABE5B5D" w14:textId="77777777" w:rsidR="00A61464" w:rsidRDefault="00A61464">
      <w:pPr>
        <w:spacing w:line="276" w:lineRule="auto"/>
        <w:ind w:right="-574"/>
        <w:jc w:val="right"/>
        <w:rPr>
          <w:rFonts w:ascii="Open Sans Light" w:eastAsia="Open Sans Light" w:hAnsi="Open Sans Light" w:cs="Open Sans Light"/>
          <w:b/>
          <w:color w:val="303AB2"/>
        </w:rPr>
      </w:pPr>
    </w:p>
    <w:p w14:paraId="23C3FB05" w14:textId="77777777" w:rsidR="00A61464" w:rsidRDefault="00A61464">
      <w:pPr>
        <w:spacing w:line="276" w:lineRule="auto"/>
        <w:ind w:right="-574"/>
        <w:jc w:val="right"/>
        <w:rPr>
          <w:rFonts w:ascii="Open Sans Light" w:eastAsia="Open Sans Light" w:hAnsi="Open Sans Light" w:cs="Open Sans Light"/>
          <w:b/>
          <w:color w:val="303AB2"/>
        </w:rPr>
      </w:pPr>
    </w:p>
    <w:p w14:paraId="3081A870" w14:textId="77777777" w:rsidR="00A61464" w:rsidRDefault="00A61464">
      <w:pPr>
        <w:spacing w:line="276" w:lineRule="auto"/>
        <w:ind w:right="-574"/>
        <w:jc w:val="right"/>
        <w:rPr>
          <w:rFonts w:ascii="Open Sans Light" w:eastAsia="Open Sans Light" w:hAnsi="Open Sans Light" w:cs="Open Sans Light"/>
          <w:b/>
          <w:color w:val="303AB2"/>
        </w:rPr>
      </w:pPr>
    </w:p>
    <w:p w14:paraId="79279E4F" w14:textId="77777777" w:rsidR="00A61464"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Nota metodológica del análisis: </w:t>
      </w:r>
    </w:p>
    <w:p w14:paraId="7FF143CB" w14:textId="77777777" w:rsidR="00A61464" w:rsidRDefault="00A61464">
      <w:pPr>
        <w:spacing w:line="276" w:lineRule="auto"/>
        <w:ind w:right="-574"/>
        <w:jc w:val="right"/>
        <w:rPr>
          <w:rFonts w:ascii="Open Sans Light" w:eastAsia="Open Sans Light" w:hAnsi="Open Sans Light" w:cs="Open Sans Light"/>
          <w:b/>
          <w:color w:val="303AB2"/>
        </w:rPr>
      </w:pPr>
    </w:p>
    <w:p w14:paraId="65C2AFC4" w14:textId="77777777" w:rsidR="00A61464"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2024, que según los datos del </w:t>
      </w:r>
      <w:r>
        <w:rPr>
          <w:rFonts w:ascii="Open Sans" w:eastAsia="Open Sans" w:hAnsi="Open Sans" w:cs="Open Sans"/>
          <w:sz w:val="22"/>
          <w:szCs w:val="22"/>
        </w:rPr>
        <w:t>i</w:t>
      </w:r>
      <w:r>
        <w:rPr>
          <w:rFonts w:ascii="Open Sans" w:eastAsia="Open Sans" w:hAnsi="Open Sans" w:cs="Open Sans"/>
          <w:color w:val="000000"/>
          <w:sz w:val="22"/>
          <w:szCs w:val="22"/>
        </w:rPr>
        <w:t>nforme InfoJobs-</w:t>
      </w:r>
      <w:proofErr w:type="spellStart"/>
      <w:r>
        <w:rPr>
          <w:rFonts w:ascii="Open Sans" w:eastAsia="Open Sans" w:hAnsi="Open Sans" w:cs="Open Sans"/>
          <w:color w:val="000000"/>
          <w:sz w:val="22"/>
          <w:szCs w:val="22"/>
        </w:rPr>
        <w:t>Esade</w:t>
      </w:r>
      <w:proofErr w:type="spellEnd"/>
      <w:r>
        <w:rPr>
          <w:rFonts w:ascii="Open Sans" w:eastAsia="Open Sans" w:hAnsi="Open Sans" w:cs="Open Sans"/>
          <w:sz w:val="22"/>
          <w:szCs w:val="22"/>
        </w:rPr>
        <w:t xml:space="preserve"> </w:t>
      </w:r>
      <w:hyperlink r:id="rId16">
        <w:r>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27.060 euros anuales, y el precio medio de vivienda, que calcula el portal Fotocasa a través de su índice inmobiliario desde hace 20 años. Más concretamente, se refiere al alquiler de una vivienda media,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cuyo coste es de 1.063 euros al mes (a fecha de diciembre de 2024).</w:t>
      </w:r>
    </w:p>
    <w:p w14:paraId="78DDD721" w14:textId="77777777" w:rsidR="00A61464" w:rsidRDefault="00A61464">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71930086" w14:textId="77777777" w:rsidR="00A61464" w:rsidRDefault="00A61464">
      <w:pPr>
        <w:pBdr>
          <w:top w:val="nil"/>
          <w:left w:val="nil"/>
          <w:bottom w:val="nil"/>
          <w:right w:val="nil"/>
          <w:between w:val="nil"/>
        </w:pBdr>
        <w:shd w:val="clear" w:color="auto" w:fill="FFFFFF"/>
        <w:spacing w:line="276" w:lineRule="auto"/>
        <w:ind w:right="-574"/>
        <w:jc w:val="both"/>
        <w:rPr>
          <w:rFonts w:ascii="Open Sans Light" w:eastAsia="Open Sans Light" w:hAnsi="Open Sans Light" w:cs="Open Sans Light"/>
          <w:b/>
          <w:color w:val="303AB2"/>
        </w:rPr>
      </w:pPr>
    </w:p>
    <w:p w14:paraId="2F88187B" w14:textId="77777777" w:rsidR="00A61464"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31FEDA5" w14:textId="77777777" w:rsidR="00A61464"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hyperlink r:id="rId18">
        <w:r>
          <w:rPr>
            <w:rFonts w:ascii="Open Sans" w:eastAsia="Open Sans" w:hAnsi="Open Sans" w:cs="Open Sans"/>
            <w:b/>
            <w:i/>
            <w:color w:val="0000FF"/>
            <w:sz w:val="22"/>
            <w:szCs w:val="22"/>
            <w:u w:val="single"/>
          </w:rPr>
          <w:t xml:space="preserve">Fotocasa </w:t>
        </w:r>
        <w:proofErr w:type="spellStart"/>
        <w:r>
          <w:rPr>
            <w:rFonts w:ascii="Open Sans" w:eastAsia="Open Sans" w:hAnsi="Open Sans" w:cs="Open Sans"/>
            <w:b/>
            <w:i/>
            <w:color w:val="0000FF"/>
            <w:sz w:val="22"/>
            <w:szCs w:val="22"/>
            <w:u w:val="single"/>
          </w:rPr>
          <w:t>Research</w:t>
        </w:r>
        <w:proofErr w:type="spellEnd"/>
      </w:hyperlink>
      <w:r>
        <w:rPr>
          <w:rFonts w:ascii="Open Sans" w:eastAsia="Open Sans" w:hAnsi="Open Sans" w:cs="Open Sans"/>
          <w:color w:val="000000"/>
          <w:sz w:val="22"/>
          <w:szCs w:val="22"/>
        </w:rPr>
        <w:t xml:space="preserve">, que analizan los cambios y tendencias del sector inmobiliario. </w:t>
      </w:r>
    </w:p>
    <w:p w14:paraId="4AEC86F1" w14:textId="77777777" w:rsidR="00A61464" w:rsidRDefault="00A61464">
      <w:pPr>
        <w:spacing w:line="276" w:lineRule="auto"/>
        <w:ind w:right="-574"/>
        <w:rPr>
          <w:rFonts w:ascii="Open Sans Light" w:eastAsia="Open Sans Light" w:hAnsi="Open Sans Light" w:cs="Open Sans Light"/>
          <w:b/>
          <w:color w:val="303AB2"/>
        </w:rPr>
      </w:pPr>
    </w:p>
    <w:p w14:paraId="6F01A7A3" w14:textId="77777777" w:rsidR="00A61464"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2D88FB1F" w14:textId="77777777" w:rsidR="00A61464"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1,2 millones de usuarios </w:t>
      </w:r>
      <w:r>
        <w:rPr>
          <w:rFonts w:ascii="Open Sans" w:eastAsia="Open Sans" w:hAnsi="Open Sans" w:cs="Open Sans"/>
          <w:sz w:val="22"/>
          <w:szCs w:val="22"/>
          <w:highlight w:val="white"/>
        </w:rPr>
        <w:t>únicos mensuales</w:t>
      </w:r>
      <w:r>
        <w:rPr>
          <w:rFonts w:ascii="Open Sans" w:eastAsia="Open Sans" w:hAnsi="Open Sans" w:cs="Open Sans"/>
          <w:color w:val="000000"/>
          <w:sz w:val="22"/>
          <w:szCs w:val="22"/>
          <w:highlight w:val="white"/>
        </w:rPr>
        <w:t>.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23</w:t>
      </w:r>
      <w:r>
        <w:rPr>
          <w:rFonts w:ascii="Open Sans" w:eastAsia="Open Sans" w:hAnsi="Open Sans" w:cs="Open Sans"/>
          <w:color w:val="000000"/>
          <w:sz w:val="22"/>
          <w:szCs w:val="22"/>
          <w:highlight w:val="white"/>
        </w:rPr>
        <w:t xml:space="preserve"> segundos.</w:t>
      </w:r>
    </w:p>
    <w:p w14:paraId="7B16A51B" w14:textId="77777777" w:rsidR="00A61464" w:rsidRDefault="00A61464">
      <w:pPr>
        <w:spacing w:line="276" w:lineRule="auto"/>
        <w:ind w:right="-574"/>
        <w:jc w:val="both"/>
        <w:rPr>
          <w:rFonts w:ascii="Open Sans" w:eastAsia="Open Sans" w:hAnsi="Open Sans" w:cs="Open Sans"/>
          <w:sz w:val="22"/>
          <w:szCs w:val="22"/>
        </w:rPr>
      </w:pPr>
    </w:p>
    <w:p w14:paraId="2EC8FCA3" w14:textId="77777777" w:rsidR="00A61464" w:rsidRDefault="00000000">
      <w:pPr>
        <w:spacing w:line="276" w:lineRule="auto"/>
        <w:ind w:right="-574"/>
        <w:jc w:val="both"/>
        <w:rPr>
          <w:rFonts w:ascii="Open Sans" w:eastAsia="Open Sans" w:hAnsi="Open Sans" w:cs="Open Sans"/>
          <w:sz w:val="22"/>
          <w:szCs w:val="22"/>
        </w:rPr>
      </w:pPr>
      <w:hyperlink r:id="rId19">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e </w:t>
      </w:r>
      <w:hyperlink r:id="rId20">
        <w:r>
          <w:rPr>
            <w:rFonts w:ascii="Open Sans" w:eastAsia="Open Sans" w:hAnsi="Open Sans" w:cs="Open Sans"/>
            <w:b/>
            <w:color w:val="0000FF"/>
            <w:sz w:val="22"/>
            <w:szCs w:val="22"/>
            <w:u w:val="single"/>
          </w:rPr>
          <w:t>InfoJobs</w:t>
        </w:r>
      </w:hyperlink>
      <w:r>
        <w:rPr>
          <w:rFonts w:ascii="Open Sans" w:eastAsia="Open Sans" w:hAnsi="Open Sans" w:cs="Open Sans"/>
          <w:sz w:val="22"/>
          <w:szCs w:val="22"/>
        </w:rPr>
        <w:t xml:space="preserve"> pertenecen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HYPERLINK "https://www.habitaclia.com/" \h</w:instrText>
      </w:r>
      <w:r>
        <w:fldChar w:fldCharType="separate"/>
      </w:r>
      <w:r>
        <w:rPr>
          <w:rFonts w:ascii="Open Sans" w:eastAsia="Open Sans" w:hAnsi="Open Sans" w:cs="Open Sans"/>
          <w:color w:val="0000FF"/>
          <w:sz w:val="22"/>
          <w:szCs w:val="22"/>
          <w:u w:val="single"/>
        </w:rPr>
        <w:t>habitaclia</w:t>
      </w:r>
      <w:proofErr w:type="spellEnd"/>
      <w:r>
        <w:fldChar w:fldCharType="end"/>
      </w:r>
      <w:r>
        <w:rPr>
          <w:rFonts w:ascii="Open Sans" w:eastAsia="Open Sans" w:hAnsi="Open Sans" w:cs="Open Sans"/>
          <w:sz w:val="22"/>
          <w:szCs w:val="22"/>
        </w:rPr>
        <w:t>), empleo (</w:t>
      </w:r>
      <w:hyperlink r:id="rId22">
        <w:r>
          <w:rPr>
            <w:rFonts w:ascii="Open Sans" w:eastAsia="Open Sans" w:hAnsi="Open Sans" w:cs="Open Sans"/>
            <w:color w:val="0000FF"/>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24">
        <w:r>
          <w:rPr>
            <w:rFonts w:ascii="Open Sans" w:eastAsia="Open Sans" w:hAnsi="Open Sans" w:cs="Open Sans"/>
            <w:color w:val="0000FF"/>
            <w:sz w:val="22"/>
            <w:szCs w:val="22"/>
            <w:u w:val="single"/>
          </w:rPr>
          <w:t>motos.ne</w:t>
        </w:r>
      </w:hyperlink>
      <w:r>
        <w:rPr>
          <w:rFonts w:ascii="Open Sans" w:eastAsia="Open Sans" w:hAnsi="Open Sans" w:cs="Open Sans"/>
          <w:sz w:val="22"/>
          <w:szCs w:val="22"/>
        </w:rPr>
        <w:t>t) y compraventa de artículos de segunda mano (</w:t>
      </w:r>
      <w:proofErr w:type="spellStart"/>
      <w:r>
        <w:fldChar w:fldCharType="begin"/>
      </w:r>
      <w:r>
        <w:instrText>HYPERLINK "https://www.milanuncios.es/" \h</w:instrText>
      </w:r>
      <w:r>
        <w:fldChar w:fldCharType="separate"/>
      </w:r>
      <w:r>
        <w:rPr>
          <w:rFonts w:ascii="Open Sans" w:eastAsia="Open Sans" w:hAnsi="Open Sans" w:cs="Open Sans"/>
          <w:color w:val="0000FF"/>
          <w:sz w:val="22"/>
          <w:szCs w:val="22"/>
          <w:u w:val="single"/>
        </w:rPr>
        <w:t>Milanuncios</w:t>
      </w:r>
      <w:proofErr w:type="spellEnd"/>
      <w:r>
        <w:fldChar w:fldCharType="end"/>
      </w:r>
      <w:r>
        <w:rPr>
          <w:rFonts w:ascii="Open Sans" w:eastAsia="Open Sans" w:hAnsi="Open Sans" w:cs="Open Sans"/>
          <w:sz w:val="22"/>
          <w:szCs w:val="22"/>
        </w:rPr>
        <w:t>).</w:t>
      </w:r>
    </w:p>
    <w:p w14:paraId="6F90CE8E" w14:textId="77777777" w:rsidR="00A61464" w:rsidRDefault="00000000">
      <w:pPr>
        <w:spacing w:before="143" w:after="20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w:t>
      </w:r>
    </w:p>
    <w:p w14:paraId="21511985" w14:textId="77777777" w:rsidR="00A61464" w:rsidRDefault="00000000">
      <w:pPr>
        <w:spacing w:before="143" w:after="200" w:line="276" w:lineRule="auto"/>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w:t>
      </w:r>
      <w:r>
        <w:rPr>
          <w:rFonts w:ascii="Open Sans" w:eastAsia="Open Sans" w:hAnsi="Open Sans" w:cs="Open Sans"/>
          <w:sz w:val="22"/>
          <w:szCs w:val="22"/>
        </w:rPr>
        <w:t>2.500</w:t>
      </w:r>
      <w:r>
        <w:rPr>
          <w:rFonts w:ascii="Open Sans" w:eastAsia="Open Sans" w:hAnsi="Open Sans" w:cs="Open Sans"/>
          <w:color w:val="000000"/>
          <w:sz w:val="22"/>
          <w:szCs w:val="22"/>
        </w:rPr>
        <w:t xml:space="preserve"> millones de visitas cada mes. </w:t>
      </w:r>
    </w:p>
    <w:p w14:paraId="3F4CC794" w14:textId="77777777" w:rsidR="00A61464" w:rsidRDefault="00000000">
      <w:pPr>
        <w:spacing w:after="160" w:line="276" w:lineRule="auto"/>
        <w:ind w:right="-574"/>
        <w:jc w:val="both"/>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7F913E72" w14:textId="77777777" w:rsidR="00A61464" w:rsidRDefault="00A61464">
      <w:pPr>
        <w:spacing w:after="160" w:line="276" w:lineRule="auto"/>
        <w:ind w:right="-574"/>
        <w:jc w:val="both"/>
        <w:rPr>
          <w:rFonts w:ascii="Open Sans" w:eastAsia="Open Sans" w:hAnsi="Open Sans" w:cs="Open Sans"/>
          <w:color w:val="0000FF"/>
          <w:sz w:val="22"/>
          <w:szCs w:val="22"/>
          <w:u w:val="single"/>
        </w:rPr>
      </w:pPr>
    </w:p>
    <w:p w14:paraId="021598C6" w14:textId="77777777" w:rsidR="00A61464"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11929310" w14:textId="77777777" w:rsidR="00A61464"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3F2089F5" w14:textId="77777777" w:rsidR="00A61464"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5E594EE0" w14:textId="77777777" w:rsidR="00A61464"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26">
        <w:r>
          <w:rPr>
            <w:rFonts w:ascii="Open Sans" w:eastAsia="Open Sans" w:hAnsi="Open Sans" w:cs="Open Sans"/>
            <w:color w:val="0000FF"/>
            <w:sz w:val="21"/>
            <w:szCs w:val="21"/>
            <w:u w:val="single"/>
          </w:rPr>
          <w:t>comunicacion@fotocasa.es</w:t>
        </w:r>
      </w:hyperlink>
    </w:p>
    <w:p w14:paraId="2333BD2C" w14:textId="77777777" w:rsidR="00A61464"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27">
        <w:r>
          <w:rPr>
            <w:rFonts w:ascii="Open Sans" w:eastAsia="Open Sans" w:hAnsi="Open Sans" w:cs="Open Sans"/>
            <w:color w:val="0000FF"/>
            <w:sz w:val="21"/>
            <w:szCs w:val="21"/>
            <w:u w:val="single"/>
          </w:rPr>
          <w:t>http://prensa.fotocasa.es</w:t>
        </w:r>
      </w:hyperlink>
    </w:p>
    <w:p w14:paraId="12ECF3A4" w14:textId="77777777" w:rsidR="00A61464" w:rsidRDefault="00A61464">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274B85F7" w14:textId="77777777" w:rsidR="00A61464"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175F0EBA" w14:textId="77777777" w:rsidR="00A61464"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34C4BFAD" w14:textId="77777777" w:rsidR="00A61464"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w:t>
      </w:r>
    </w:p>
    <w:p w14:paraId="7AFA1BF9" w14:textId="77777777" w:rsidR="00A61464"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68100E46" w14:textId="77777777" w:rsidR="00A61464" w:rsidRDefault="00000000">
      <w:pPr>
        <w:shd w:val="clear" w:color="auto" w:fill="FFFFFF"/>
        <w:spacing w:line="276" w:lineRule="auto"/>
        <w:ind w:right="-574"/>
        <w:rPr>
          <w:rFonts w:ascii="Open Sans" w:eastAsia="Open Sans" w:hAnsi="Open Sans" w:cs="Open Sans"/>
          <w:sz w:val="21"/>
          <w:szCs w:val="21"/>
          <w:highlight w:val="white"/>
        </w:rPr>
      </w:pPr>
      <w:hyperlink r:id="rId28">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4B008625" w14:textId="77777777" w:rsidR="00A61464" w:rsidRDefault="00A61464">
      <w:pPr>
        <w:shd w:val="clear" w:color="auto" w:fill="FFFFFF"/>
        <w:spacing w:line="276" w:lineRule="auto"/>
        <w:ind w:right="-574"/>
        <w:rPr>
          <w:rFonts w:ascii="Open Sans" w:eastAsia="Open Sans" w:hAnsi="Open Sans" w:cs="Open Sans"/>
          <w:sz w:val="21"/>
          <w:szCs w:val="21"/>
        </w:rPr>
      </w:pPr>
    </w:p>
    <w:p w14:paraId="6E2716CD" w14:textId="77777777" w:rsidR="00A61464" w:rsidRDefault="00A61464">
      <w:pPr>
        <w:spacing w:line="276" w:lineRule="auto"/>
        <w:ind w:right="-574"/>
        <w:jc w:val="right"/>
        <w:rPr>
          <w:rFonts w:ascii="Open Sans Light" w:eastAsia="Open Sans Light" w:hAnsi="Open Sans Light" w:cs="Open Sans Light"/>
          <w:b/>
          <w:color w:val="303AB2"/>
        </w:rPr>
      </w:pPr>
    </w:p>
    <w:sectPr w:rsidR="00A61464">
      <w:headerReference w:type="default" r:id="rId29"/>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0CC30" w14:textId="77777777" w:rsidR="00162EAD" w:rsidRDefault="00162EAD">
      <w:r>
        <w:separator/>
      </w:r>
    </w:p>
  </w:endnote>
  <w:endnote w:type="continuationSeparator" w:id="0">
    <w:p w14:paraId="72FCE1DE" w14:textId="77777777" w:rsidR="00162EAD" w:rsidRDefault="0016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3B0F29-0431-45B6-BF0B-16C91E52EF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A388C4-01AF-4D79-AC82-A9E3EF8DA618}"/>
    <w:embedBold r:id="rId3" w:fontKey="{FD21F0BC-52B3-495F-AE75-A06C40D8B89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B4188D2-4B93-408B-98B6-BC22EC9E2464}"/>
  </w:font>
  <w:font w:name="Georgia">
    <w:panose1 w:val="02040502050405020303"/>
    <w:charset w:val="00"/>
    <w:family w:val="roman"/>
    <w:pitch w:val="variable"/>
    <w:sig w:usb0="00000287" w:usb1="00000000" w:usb2="00000000" w:usb3="00000000" w:csb0="0000009F" w:csb1="00000000"/>
    <w:embedRegular r:id="rId5" w:fontKey="{2D2ACE6A-0608-47BD-B3F7-F355F1EE8281}"/>
    <w:embedItalic r:id="rId6" w:fontKey="{1A792DEE-D6A5-4C03-8FB2-DB5324B87A2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1A6818D-E29B-47CF-8245-24B5DB2C2A30}"/>
    <w:embedBold r:id="rId8" w:fontKey="{7FA3B9DE-051D-419A-BFA7-C3416F550062}"/>
    <w:embedItalic r:id="rId9" w:fontKey="{6BAF17AB-2E68-4047-B7B7-E215D01CF67B}"/>
    <w:embedBoldItalic r:id="rId10" w:fontKey="{6A3A6BBB-084A-4CEC-A1C6-9D790E7AFBD2}"/>
  </w:font>
  <w:font w:name="Open Sans Light">
    <w:charset w:val="00"/>
    <w:family w:val="swiss"/>
    <w:pitch w:val="variable"/>
    <w:sig w:usb0="E00002EF" w:usb1="4000205B" w:usb2="00000028" w:usb3="00000000" w:csb0="0000019F" w:csb1="00000000"/>
    <w:embedRegular r:id="rId11" w:fontKey="{9F491B54-29B4-41FC-9D76-69461EBA305F}"/>
    <w:embedBold r:id="rId12" w:fontKey="{E14757FB-48A9-4E84-8F1E-622D80A5352C}"/>
  </w:font>
  <w:font w:name="Calibri Light">
    <w:panose1 w:val="020F0302020204030204"/>
    <w:charset w:val="00"/>
    <w:family w:val="swiss"/>
    <w:pitch w:val="variable"/>
    <w:sig w:usb0="E4002EFF" w:usb1="C000247B" w:usb2="00000009" w:usb3="00000000" w:csb0="000001FF" w:csb1="00000000"/>
    <w:embedRegular r:id="rId13" w:fontKey="{8D3226B3-08B0-4D1C-AB93-A38EFC83E3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97CD" w14:textId="77777777" w:rsidR="00A6146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0" locked="0" layoutInCell="1" hidden="0" allowOverlap="1" wp14:anchorId="76A31582" wp14:editId="697D0EA4">
          <wp:simplePos x="0" y="0"/>
          <wp:positionH relativeFrom="column">
            <wp:posOffset>-1068065</wp:posOffset>
          </wp:positionH>
          <wp:positionV relativeFrom="paragraph">
            <wp:posOffset>174608</wp:posOffset>
          </wp:positionV>
          <wp:extent cx="7670550" cy="451315"/>
          <wp:effectExtent l="0" t="0" r="0" b="0"/>
          <wp:wrapSquare wrapText="bothSides" distT="0" distB="0" distL="0" distR="0"/>
          <wp:docPr id="21220720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EDA0D" w14:textId="77777777" w:rsidR="00162EAD" w:rsidRDefault="00162EAD">
      <w:r>
        <w:separator/>
      </w:r>
    </w:p>
  </w:footnote>
  <w:footnote w:type="continuationSeparator" w:id="0">
    <w:p w14:paraId="1E35C6F1" w14:textId="77777777" w:rsidR="00162EAD" w:rsidRDefault="00162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69C95" w14:textId="77777777" w:rsidR="00A61464" w:rsidRDefault="00000000">
    <w:pPr>
      <w:pBdr>
        <w:top w:val="nil"/>
        <w:left w:val="nil"/>
        <w:bottom w:val="nil"/>
        <w:right w:val="nil"/>
        <w:between w:val="nil"/>
      </w:pBdr>
      <w:tabs>
        <w:tab w:val="center" w:pos="4252"/>
        <w:tab w:val="right" w:pos="8504"/>
      </w:tabs>
      <w:rPr>
        <w:color w:val="000000"/>
      </w:rPr>
    </w:pPr>
    <w:r>
      <w:rPr>
        <w:color w:val="000000"/>
      </w:rPr>
      <w:t xml:space="preserve">                                               </w:t>
    </w:r>
    <w:r>
      <w:rPr>
        <w:rFonts w:ascii="National" w:eastAsia="National" w:hAnsi="National" w:cs="National"/>
        <w:b/>
        <w:color w:val="303AB2"/>
        <w:sz w:val="32"/>
        <w:szCs w:val="32"/>
      </w:rPr>
      <w:t xml:space="preserve">#InformeInfoJobsFotocasa </w:t>
    </w:r>
    <w:r>
      <w:rPr>
        <w:noProof/>
      </w:rPr>
      <w:drawing>
        <wp:anchor distT="0" distB="0" distL="114300" distR="114300" simplePos="0" relativeHeight="251658240" behindDoc="0" locked="0" layoutInCell="1" hidden="0" allowOverlap="1" wp14:anchorId="0914B7BA" wp14:editId="7AD91FBA">
          <wp:simplePos x="0" y="0"/>
          <wp:positionH relativeFrom="column">
            <wp:posOffset>3874770</wp:posOffset>
          </wp:positionH>
          <wp:positionV relativeFrom="paragraph">
            <wp:posOffset>10795</wp:posOffset>
          </wp:positionV>
          <wp:extent cx="2466975" cy="461645"/>
          <wp:effectExtent l="0" t="0" r="0" b="0"/>
          <wp:wrapNone/>
          <wp:docPr id="2122072046" name="image1.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10;&#10;Descripción generada automáticamente con confianza media"/>
                  <pic:cNvPicPr preferRelativeResize="0"/>
                </pic:nvPicPr>
                <pic:blipFill>
                  <a:blip r:embed="rId1"/>
                  <a:srcRect t="30761"/>
                  <a:stretch>
                    <a:fillRect/>
                  </a:stretch>
                </pic:blipFill>
                <pic:spPr>
                  <a:xfrm>
                    <a:off x="0" y="0"/>
                    <a:ext cx="2466975" cy="461645"/>
                  </a:xfrm>
                  <a:prstGeom prst="rect">
                    <a:avLst/>
                  </a:prstGeom>
                  <a:ln/>
                </pic:spPr>
              </pic:pic>
            </a:graphicData>
          </a:graphic>
        </wp:anchor>
      </w:drawing>
    </w:r>
  </w:p>
  <w:p w14:paraId="4001C1D7" w14:textId="77777777" w:rsidR="00A61464" w:rsidRDefault="00A6146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A4EFF"/>
    <w:multiLevelType w:val="multilevel"/>
    <w:tmpl w:val="C39E28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738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464"/>
    <w:rsid w:val="00162EAD"/>
    <w:rsid w:val="007011C2"/>
    <w:rsid w:val="00833AE9"/>
    <w:rsid w:val="00A614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D93B"/>
  <w15:docId w15:val="{A4CA29B1-EE2E-4883-BA8A-36D3C93C5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E4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research.fotocasa.es/"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www.fotocasa.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fotocasa.es/indice/"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recursos-humanos.infojobs.net/wp-content/uploads/2025/03/Informe_Mercado_Laboral_InfoJobs_Esade_2024_Digital.pdf" TargetMode="External"/><Relationship Id="rId20" Type="http://schemas.openxmlformats.org/officeDocument/2006/relationships/hyperlink" Target="https://www.infojobs.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jobs.net/" TargetMode="External"/><Relationship Id="rId24" Type="http://schemas.openxmlformats.org/officeDocument/2006/relationships/hyperlink" Target="https://motos.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coches.net/" TargetMode="External"/><Relationship Id="rId28" Type="http://schemas.openxmlformats.org/officeDocument/2006/relationships/hyperlink" Target="mailto:prensa@infojobs.net" TargetMode="External"/><Relationship Id="rId10" Type="http://schemas.openxmlformats.org/officeDocument/2006/relationships/hyperlink" Target="http://www.fotocasa.es" TargetMode="External"/><Relationship Id="rId19" Type="http://schemas.openxmlformats.org/officeDocument/2006/relationships/hyperlink" Target="http://www.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jobs.net/" TargetMode="External"/><Relationship Id="rId22" Type="http://schemas.openxmlformats.org/officeDocument/2006/relationships/hyperlink" Target="https://www.infojobs.net/" TargetMode="External"/><Relationship Id="rId27" Type="http://schemas.openxmlformats.org/officeDocument/2006/relationships/hyperlink" Target="http://prensa.fotocasa.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1.xml"/><Relationship Id="rId5" Type="http://schemas.openxmlformats.org/officeDocument/2006/relationships/oleObject" Target="file:///I:\Mi%20unidad\01-SCHIBSTED\04-ESTUDIO%20NdP\INFOJOBS\02-SUELDOS%20MEDIOS\NdP%202024\COMPARATIVA%20SALARIO%20&amp;%20ALQUILER\PRENSA%20%20IJ&amp;FC%20-%20COMPARATIVA%20SALARIO%20Y%20ALQUILER%202024%20V2.xlsm" TargetMode="External"/><Relationship Id="rId4" Type="http://schemas.openxmlformats.org/officeDocument/2006/relationships/image" Target="../media/image5.png"/></Relationships>
</file>

<file path=word/charts/_rels/chart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2.xml"/><Relationship Id="rId5" Type="http://schemas.openxmlformats.org/officeDocument/2006/relationships/oleObject" Target="file:///I:\Mi%20unidad\01-SCHIBSTED\04-ESTUDIO%20NdP\INFOJOBS\02-SUELDOS%20MEDIOS\NdP%202024\COMPARATIVA%20SALARIO%20&amp;%20ALQUILER\PRENSA%20%20IJ&amp;FC%20-%20COMPARATIVA%20SALARIO%20Y%20ALQUILER%202024%20V2.xlsm" TargetMode="External"/><Relationship Id="rId4"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7129835438924799E-2"/>
          <c:y val="8.4636984384341613E-2"/>
          <c:w val="0.93248631833235229"/>
          <c:h val="0.63727317216971369"/>
        </c:manualLayout>
      </c:layout>
      <c:barChart>
        <c:barDir val="col"/>
        <c:grouping val="clustered"/>
        <c:varyColors val="0"/>
        <c:ser>
          <c:idx val="0"/>
          <c:order val="0"/>
          <c:tx>
            <c:strRef>
              <c:f>'Tabla CCAA'!$B$55</c:f>
              <c:strCache>
                <c:ptCount val="1"/>
                <c:pt idx="0">
                  <c:v> % Acumulativo salarios medios (Infojobs)</c:v>
                </c:pt>
              </c:strCache>
            </c:strRef>
          </c:tx>
          <c:spPr>
            <a:solidFill>
              <a:srgbClr val="0070C0"/>
            </a:solidFill>
          </c:spPr>
          <c:invertIfNegative val="0"/>
          <c:dPt>
            <c:idx val="2"/>
            <c:invertIfNegative val="0"/>
            <c:bubble3D val="0"/>
            <c:extLst>
              <c:ext xmlns:c16="http://schemas.microsoft.com/office/drawing/2014/chart" uri="{C3380CC4-5D6E-409C-BE32-E72D297353CC}">
                <c16:uniqueId val="{00000000-5F3A-472F-9B52-F415A5E497C4}"/>
              </c:ext>
            </c:extLst>
          </c:dPt>
          <c:dPt>
            <c:idx val="3"/>
            <c:invertIfNegative val="0"/>
            <c:bubble3D val="0"/>
            <c:extLst>
              <c:ext xmlns:c16="http://schemas.microsoft.com/office/drawing/2014/chart" uri="{C3380CC4-5D6E-409C-BE32-E72D297353CC}">
                <c16:uniqueId val="{00000001-5F3A-472F-9B52-F415A5E497C4}"/>
              </c:ext>
            </c:extLst>
          </c:dPt>
          <c:dLbls>
            <c:spPr>
              <a:noFill/>
              <a:ln>
                <a:noFill/>
              </a:ln>
              <a:effectLst/>
            </c:spPr>
            <c:txPr>
              <a:bodyPr rot="0" vert="horz"/>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CCAA'!$A$56:$A$58</c:f>
              <c:strCache>
                <c:ptCount val="3"/>
                <c:pt idx="0">
                  <c:v>5 AÑOS                                                 (2024 vs 2019)</c:v>
                </c:pt>
                <c:pt idx="1">
                  <c:v>3 AÑOS                                                  (2024 vs 2021)</c:v>
                </c:pt>
                <c:pt idx="2">
                  <c:v>1 AÑO                                                     (2024 vs 2023)</c:v>
                </c:pt>
              </c:strCache>
            </c:strRef>
          </c:cat>
          <c:val>
            <c:numRef>
              <c:f>'Tabla CCAA'!$B$56:$B$58</c:f>
              <c:numCache>
                <c:formatCode>0.0%</c:formatCode>
                <c:ptCount val="3"/>
                <c:pt idx="0">
                  <c:v>6.5339764851023024E-2</c:v>
                </c:pt>
                <c:pt idx="1">
                  <c:v>7.4110257998043744E-2</c:v>
                </c:pt>
                <c:pt idx="2">
                  <c:v>3.1044630742365631E-2</c:v>
                </c:pt>
              </c:numCache>
            </c:numRef>
          </c:val>
          <c:extLst>
            <c:ext xmlns:c16="http://schemas.microsoft.com/office/drawing/2014/chart" uri="{C3380CC4-5D6E-409C-BE32-E72D297353CC}">
              <c16:uniqueId val="{00000002-5F3A-472F-9B52-F415A5E497C4}"/>
            </c:ext>
          </c:extLst>
        </c:ser>
        <c:ser>
          <c:idx val="1"/>
          <c:order val="1"/>
          <c:tx>
            <c:strRef>
              <c:f>'Tabla CCAA'!$C$55</c:f>
              <c:strCache>
                <c:ptCount val="1"/>
                <c:pt idx="0">
                  <c:v> % Acumulativo del precio de la vivienda (fotocasa)</c:v>
                </c:pt>
              </c:strCache>
            </c:strRef>
          </c:tx>
          <c:spPr>
            <a:solidFill>
              <a:srgbClr val="FF5050"/>
            </a:solidFill>
            <a:ln>
              <a:noFill/>
            </a:ln>
            <a:effectLst/>
          </c:spPr>
          <c:invertIfNegative val="0"/>
          <c:dPt>
            <c:idx val="0"/>
            <c:invertIfNegative val="0"/>
            <c:bubble3D val="0"/>
            <c:extLst>
              <c:ext xmlns:c16="http://schemas.microsoft.com/office/drawing/2014/chart" uri="{C3380CC4-5D6E-409C-BE32-E72D297353CC}">
                <c16:uniqueId val="{00000003-5F3A-472F-9B52-F415A5E497C4}"/>
              </c:ext>
            </c:extLst>
          </c:dPt>
          <c:dLbls>
            <c:spPr>
              <a:noFill/>
              <a:ln>
                <a:noFill/>
              </a:ln>
              <a:effectLst/>
            </c:spPr>
            <c:txPr>
              <a:bodyPr/>
              <a:lstStyle/>
              <a:p>
                <a:pPr algn="ct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CCAA'!$A$56:$A$58</c:f>
              <c:strCache>
                <c:ptCount val="3"/>
                <c:pt idx="0">
                  <c:v>5 AÑOS                                                 (2024 vs 2019)</c:v>
                </c:pt>
                <c:pt idx="1">
                  <c:v>3 AÑOS                                                  (2024 vs 2021)</c:v>
                </c:pt>
                <c:pt idx="2">
                  <c:v>1 AÑO                                                     (2024 vs 2023)</c:v>
                </c:pt>
              </c:strCache>
            </c:strRef>
          </c:cat>
          <c:val>
            <c:numRef>
              <c:f>'Tabla CCAA'!$C$56:$C$58</c:f>
              <c:numCache>
                <c:formatCode>0.0%</c:formatCode>
                <c:ptCount val="3"/>
                <c:pt idx="0">
                  <c:v>0.30550098231827105</c:v>
                </c:pt>
                <c:pt idx="1">
                  <c:v>0.29406037000973706</c:v>
                </c:pt>
                <c:pt idx="2">
                  <c:v>0.1397941680960548</c:v>
                </c:pt>
              </c:numCache>
            </c:numRef>
          </c:val>
          <c:extLst>
            <c:ext xmlns:c16="http://schemas.microsoft.com/office/drawing/2014/chart" uri="{C3380CC4-5D6E-409C-BE32-E72D297353CC}">
              <c16:uniqueId val="{00000004-5F3A-472F-9B52-F415A5E497C4}"/>
            </c:ext>
          </c:extLst>
        </c:ser>
        <c:dLbls>
          <c:showLegendKey val="0"/>
          <c:showVal val="0"/>
          <c:showCatName val="0"/>
          <c:showSerName val="0"/>
          <c:showPercent val="0"/>
          <c:showBubbleSize val="0"/>
        </c:dLbls>
        <c:gapWidth val="71"/>
        <c:overlap val="-15"/>
        <c:axId val="1587936352"/>
        <c:axId val="663677872"/>
      </c:barChart>
      <c:catAx>
        <c:axId val="1587936352"/>
        <c:scaling>
          <c:orientation val="minMax"/>
        </c:scaling>
        <c:delete val="0"/>
        <c:axPos val="b"/>
        <c:numFmt formatCode="General" sourceLinked="1"/>
        <c:majorTickMark val="cross"/>
        <c:minorTickMark val="none"/>
        <c:tickLblPos val="low"/>
        <c:spPr>
          <a:noFill/>
          <a:ln w="22225" cap="flat" cmpd="sng" algn="ctr">
            <a:solidFill>
              <a:sysClr val="windowText" lastClr="000000"/>
            </a:solidFill>
            <a:round/>
          </a:ln>
          <a:effectLst/>
        </c:spPr>
        <c:txPr>
          <a:bodyPr rot="-60000000" vert="horz"/>
          <a:lstStyle/>
          <a:p>
            <a:pPr>
              <a:defRPr sz="900"/>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plotArea>
    <c:legend>
      <c:legendPos val="r"/>
      <c:layout>
        <c:manualLayout>
          <c:xMode val="edge"/>
          <c:yMode val="edge"/>
          <c:x val="2.4523240727519512E-3"/>
          <c:y val="0.87285652695339822"/>
          <c:w val="0.98081422110452954"/>
          <c:h val="0.10742461687250164"/>
        </c:manualLayout>
      </c:layout>
      <c:overlay val="0"/>
      <c:txPr>
        <a:bodyPr/>
        <a:lstStyle/>
        <a:p>
          <a:pPr>
            <a:defRPr sz="900"/>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100">
          <a:latin typeface="+mj-lt"/>
        </a:defRPr>
      </a:pPr>
      <a:endParaRPr lang="es-ES"/>
    </a:p>
  </c:txPr>
  <c:externalData r:id="rId5">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COMPARATIVA SALARIO Y ALQUILER 2024 V2.xlsm]tablas venta PROV!TablaDinámica1</c:name>
    <c:fmtId val="-1"/>
  </c:pivotSource>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blipFill>
            <a:blip xmlns:r="http://schemas.openxmlformats.org/officeDocument/2006/relationships" r:embed="rId2"/>
            <a:stretch>
              <a:fillRect/>
            </a:stretch>
          </a:blipFill>
          <a:ln>
            <a:noFill/>
          </a:ln>
          <a:effectLst/>
        </c:spPr>
        <c:marker>
          <c:symbol val="none"/>
        </c:marker>
        <c:dLbl>
          <c:idx val="0"/>
          <c:delete val="1"/>
          <c:extLst>
            <c:ext xmlns:c15="http://schemas.microsoft.com/office/drawing/2012/chart" uri="{CE6537A1-D6FC-4f65-9D91-7224C49458BB}"/>
          </c:extLst>
        </c:dLbl>
      </c:pivotFmt>
      <c:pivotFmt>
        <c:idx val="56"/>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57"/>
        <c:marker>
          <c:symbol val="none"/>
        </c:marker>
        <c:dLbl>
          <c:idx val="0"/>
          <c:delete val="1"/>
          <c:extLst>
            <c:ext xmlns:c15="http://schemas.microsoft.com/office/drawing/2012/chart" uri="{CE6537A1-D6FC-4f65-9D91-7224C49458BB}"/>
          </c:extLst>
        </c:dLbl>
      </c:pivotFmt>
      <c:pivotFmt>
        <c:idx val="58"/>
        <c:marker>
          <c:symbol val="none"/>
        </c:marker>
        <c:dLbl>
          <c:idx val="0"/>
          <c:delete val="1"/>
          <c:extLst>
            <c:ext xmlns:c15="http://schemas.microsoft.com/office/drawing/2012/chart" uri="{CE6537A1-D6FC-4f65-9D91-7224C49458BB}"/>
          </c:extLst>
        </c:dLbl>
      </c:pivotFmt>
      <c:pivotFmt>
        <c:idx val="59"/>
        <c:marker>
          <c:symbol val="none"/>
        </c:marker>
        <c:dLbl>
          <c:idx val="0"/>
          <c:delete val="1"/>
          <c:extLst>
            <c:ext xmlns:c15="http://schemas.microsoft.com/office/drawing/2012/chart" uri="{CE6537A1-D6FC-4f65-9D91-7224C49458BB}"/>
          </c:extLst>
        </c:dLbl>
      </c:pivotFmt>
      <c:pivotFmt>
        <c:idx val="60"/>
        <c:spPr>
          <a:solidFill>
            <a:srgbClr val="FF5050"/>
          </a:solidFill>
        </c:spPr>
        <c:marker>
          <c:symbol val="none"/>
        </c:marker>
        <c:dLbl>
          <c:idx val="0"/>
          <c:delete val="1"/>
          <c:extLst>
            <c:ext xmlns:c15="http://schemas.microsoft.com/office/drawing/2012/chart" uri="{CE6537A1-D6FC-4f65-9D91-7224C49458BB}"/>
          </c:extLst>
        </c:dLbl>
      </c:pivotFmt>
      <c:pivotFmt>
        <c:idx val="61"/>
        <c:marker>
          <c:symbol val="none"/>
        </c:marker>
        <c:dLbl>
          <c:idx val="0"/>
          <c:delete val="1"/>
          <c:extLst>
            <c:ext xmlns:c15="http://schemas.microsoft.com/office/drawing/2012/chart" uri="{CE6537A1-D6FC-4f65-9D91-7224C49458BB}"/>
          </c:extLst>
        </c:dLbl>
      </c:pivotFmt>
      <c:pivotFmt>
        <c:idx val="62"/>
        <c:spPr>
          <a:solidFill>
            <a:srgbClr val="FF5050"/>
          </a:solidFill>
        </c:spPr>
        <c:marker>
          <c:symbol val="none"/>
        </c:marker>
        <c:dLbl>
          <c:idx val="0"/>
          <c:delete val="1"/>
          <c:extLst>
            <c:ext xmlns:c15="http://schemas.microsoft.com/office/drawing/2012/chart" uri="{CE6537A1-D6FC-4f65-9D91-7224C49458BB}"/>
          </c:extLst>
        </c:dLbl>
      </c:pivotFmt>
      <c:pivotFmt>
        <c:idx val="63"/>
        <c:marker>
          <c:symbol val="none"/>
        </c:marker>
        <c:dLbl>
          <c:idx val="0"/>
          <c:delete val="1"/>
          <c:extLst>
            <c:ext xmlns:c15="http://schemas.microsoft.com/office/drawing/2012/chart" uri="{CE6537A1-D6FC-4f65-9D91-7224C49458BB}"/>
          </c:extLst>
        </c:dLbl>
      </c:pivotFmt>
      <c:pivotFmt>
        <c:idx val="64"/>
        <c:spPr>
          <a:solidFill>
            <a:srgbClr val="FF505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2.8899367383121169E-2"/>
          <c:y val="5.8345869864515593E-2"/>
          <c:w val="0.94565509149939819"/>
          <c:h val="0.61452910023257767"/>
        </c:manualLayout>
      </c:layout>
      <c:barChart>
        <c:barDir val="col"/>
        <c:grouping val="stacked"/>
        <c:varyColors val="0"/>
        <c:ser>
          <c:idx val="0"/>
          <c:order val="0"/>
          <c:tx>
            <c:strRef>
              <c:f>'tablas venta PROV'!$B$3:$B$5</c:f>
              <c:strCache>
                <c:ptCount val="1"/>
                <c:pt idx="0">
                  <c:v>2024 -   % interanual de los salarios medios (Infojobs)</c:v>
                </c:pt>
              </c:strCache>
            </c:strRef>
          </c:tx>
          <c:invertIfNegative val="0"/>
          <c:dPt>
            <c:idx val="2"/>
            <c:invertIfNegative val="0"/>
            <c:bubble3D val="0"/>
            <c:extLst>
              <c:ext xmlns:c16="http://schemas.microsoft.com/office/drawing/2014/chart" uri="{C3380CC4-5D6E-409C-BE32-E72D297353CC}">
                <c16:uniqueId val="{00000000-025D-4747-B460-BD0E520C7D28}"/>
              </c:ext>
            </c:extLst>
          </c:dPt>
          <c:dPt>
            <c:idx val="3"/>
            <c:invertIfNegative val="0"/>
            <c:bubble3D val="0"/>
            <c:extLst>
              <c:ext xmlns:c16="http://schemas.microsoft.com/office/drawing/2014/chart" uri="{C3380CC4-5D6E-409C-BE32-E72D297353CC}">
                <c16:uniqueId val="{00000001-025D-4747-B460-BD0E520C7D28}"/>
              </c:ext>
            </c:extLst>
          </c:dPt>
          <c:cat>
            <c:strRef>
              <c:f>'tablas venta PROV'!$A$6:$A$53</c:f>
              <c:strCache>
                <c:ptCount val="48"/>
                <c:pt idx="0">
                  <c:v>A Coruña</c:v>
                </c:pt>
                <c:pt idx="1">
                  <c:v>Albacete</c:v>
                </c:pt>
                <c:pt idx="2">
                  <c:v>Almería</c:v>
                </c:pt>
                <c:pt idx="3">
                  <c:v>Asturias</c:v>
                </c:pt>
                <c:pt idx="4">
                  <c:v>Ávila</c:v>
                </c:pt>
                <c:pt idx="5">
                  <c:v>Badajoz</c:v>
                </c:pt>
                <c:pt idx="6">
                  <c:v>Barcelona</c:v>
                </c:pt>
                <c:pt idx="7">
                  <c:v>Burgos</c:v>
                </c:pt>
                <c:pt idx="8">
                  <c:v>Cáceres</c:v>
                </c:pt>
                <c:pt idx="9">
                  <c:v>Cádiz</c:v>
                </c:pt>
                <c:pt idx="10">
                  <c:v>Cantabria</c:v>
                </c:pt>
                <c:pt idx="11">
                  <c:v>Ciudad Real</c:v>
                </c:pt>
                <c:pt idx="12">
                  <c:v>Córdoba</c:v>
                </c:pt>
                <c:pt idx="13">
                  <c:v>Cuenca</c:v>
                </c:pt>
                <c:pt idx="14">
                  <c:v>Girona</c:v>
                </c:pt>
                <c:pt idx="15">
                  <c:v>Granada</c:v>
                </c:pt>
                <c:pt idx="16">
                  <c:v>Guadalajara</c:v>
                </c:pt>
                <c:pt idx="17">
                  <c:v>Huelva</c:v>
                </c:pt>
                <c:pt idx="18">
                  <c:v>Huesca</c:v>
                </c:pt>
                <c:pt idx="19">
                  <c:v>Illes Balears</c:v>
                </c:pt>
                <c:pt idx="20">
                  <c:v>Jaén</c:v>
                </c:pt>
                <c:pt idx="21">
                  <c:v>La Rioja</c:v>
                </c:pt>
                <c:pt idx="22">
                  <c:v>León</c:v>
                </c:pt>
                <c:pt idx="23">
                  <c:v>Lleida</c:v>
                </c:pt>
                <c:pt idx="24">
                  <c:v>Lugo</c:v>
                </c:pt>
                <c:pt idx="25">
                  <c:v>Madrid</c:v>
                </c:pt>
                <c:pt idx="26">
                  <c:v>Málaga</c:v>
                </c:pt>
                <c:pt idx="27">
                  <c:v>Murcia</c:v>
                </c:pt>
                <c:pt idx="28">
                  <c:v>Navarra</c:v>
                </c:pt>
                <c:pt idx="29">
                  <c:v>Ourense</c:v>
                </c:pt>
                <c:pt idx="30">
                  <c:v>Palencia</c:v>
                </c:pt>
                <c:pt idx="31">
                  <c:v>Pontevedra</c:v>
                </c:pt>
                <c:pt idx="32">
                  <c:v>Salamanca</c:v>
                </c:pt>
                <c:pt idx="33">
                  <c:v>Segovia</c:v>
                </c:pt>
                <c:pt idx="34">
                  <c:v>Sevilla</c:v>
                </c:pt>
                <c:pt idx="35">
                  <c:v>Soria</c:v>
                </c:pt>
                <c:pt idx="36">
                  <c:v>Tarragona</c:v>
                </c:pt>
                <c:pt idx="37">
                  <c:v>Teruel</c:v>
                </c:pt>
                <c:pt idx="38">
                  <c:v>Toledo</c:v>
                </c:pt>
                <c:pt idx="39">
                  <c:v>Valladolid</c:v>
                </c:pt>
                <c:pt idx="40">
                  <c:v>Zamora</c:v>
                </c:pt>
                <c:pt idx="41">
                  <c:v>Zaragoza</c:v>
                </c:pt>
                <c:pt idx="42">
                  <c:v>Alicante/Alacant</c:v>
                </c:pt>
                <c:pt idx="43">
                  <c:v>Castellón/Castelló</c:v>
                </c:pt>
                <c:pt idx="44">
                  <c:v>Valencia/València</c:v>
                </c:pt>
                <c:pt idx="45">
                  <c:v>Álava/Áraba</c:v>
                </c:pt>
                <c:pt idx="46">
                  <c:v>Vizcaya/Bizkaia</c:v>
                </c:pt>
                <c:pt idx="47">
                  <c:v>Guipúzcoa/Guipuzkoa</c:v>
                </c:pt>
              </c:strCache>
            </c:strRef>
          </c:cat>
          <c:val>
            <c:numRef>
              <c:f>'tablas venta PROV'!$B$6:$B$53</c:f>
              <c:numCache>
                <c:formatCode>0%</c:formatCode>
                <c:ptCount val="48"/>
                <c:pt idx="0">
                  <c:v>5.4785951528899535E-3</c:v>
                </c:pt>
                <c:pt idx="1">
                  <c:v>-3.9739285401585445E-2</c:v>
                </c:pt>
                <c:pt idx="2">
                  <c:v>-5.4550805793623036E-2</c:v>
                </c:pt>
                <c:pt idx="3">
                  <c:v>-6.5326642744547581E-3</c:v>
                </c:pt>
                <c:pt idx="4">
                  <c:v>5.9146243330475912E-2</c:v>
                </c:pt>
                <c:pt idx="5">
                  <c:v>-0.11487714610927358</c:v>
                </c:pt>
                <c:pt idx="6">
                  <c:v>3.2728540678938156E-2</c:v>
                </c:pt>
                <c:pt idx="7">
                  <c:v>1.4326084189522525E-2</c:v>
                </c:pt>
                <c:pt idx="8">
                  <c:v>-7.0614068538628616E-2</c:v>
                </c:pt>
                <c:pt idx="9">
                  <c:v>5.3929386572373339E-3</c:v>
                </c:pt>
                <c:pt idx="10">
                  <c:v>-1.5057994415957232E-2</c:v>
                </c:pt>
                <c:pt idx="11">
                  <c:v>-4.4423154842904267E-2</c:v>
                </c:pt>
                <c:pt idx="12">
                  <c:v>-2.3655622481844718E-2</c:v>
                </c:pt>
                <c:pt idx="13">
                  <c:v>-4.2823236432758871E-2</c:v>
                </c:pt>
                <c:pt idx="14">
                  <c:v>-8.9692926560187569E-3</c:v>
                </c:pt>
                <c:pt idx="15">
                  <c:v>2.9286985667853482E-2</c:v>
                </c:pt>
                <c:pt idx="16">
                  <c:v>8.3903062406306406E-2</c:v>
                </c:pt>
                <c:pt idx="17">
                  <c:v>5.0103527335205067E-2</c:v>
                </c:pt>
                <c:pt idx="18">
                  <c:v>6.277651718787558E-2</c:v>
                </c:pt>
                <c:pt idx="19">
                  <c:v>6.2207172630651009E-2</c:v>
                </c:pt>
                <c:pt idx="20">
                  <c:v>1.4010697623376034E-2</c:v>
                </c:pt>
                <c:pt idx="21">
                  <c:v>-1.0918891831218636E-2</c:v>
                </c:pt>
                <c:pt idx="22">
                  <c:v>0.15138961348011781</c:v>
                </c:pt>
                <c:pt idx="23">
                  <c:v>3.5890340218944772E-3</c:v>
                </c:pt>
                <c:pt idx="24">
                  <c:v>-2.9557440284948333E-2</c:v>
                </c:pt>
                <c:pt idx="25">
                  <c:v>4.6136274665719235E-2</c:v>
                </c:pt>
                <c:pt idx="26">
                  <c:v>5.4433702051497113E-2</c:v>
                </c:pt>
                <c:pt idx="27">
                  <c:v>4.2110797180497039E-2</c:v>
                </c:pt>
                <c:pt idx="28">
                  <c:v>7.0825130130520053E-2</c:v>
                </c:pt>
                <c:pt idx="29">
                  <c:v>3.1778247623686529E-2</c:v>
                </c:pt>
                <c:pt idx="30">
                  <c:v>5.9193455270177386E-2</c:v>
                </c:pt>
                <c:pt idx="31">
                  <c:v>2.4574557631366067E-2</c:v>
                </c:pt>
                <c:pt idx="32">
                  <c:v>-4.1891636413841304E-2</c:v>
                </c:pt>
                <c:pt idx="33">
                  <c:v>-4.2563075040819021E-3</c:v>
                </c:pt>
                <c:pt idx="34">
                  <c:v>4.9726801534073717E-2</c:v>
                </c:pt>
                <c:pt idx="35">
                  <c:v>1.4560174993299091E-2</c:v>
                </c:pt>
                <c:pt idx="36">
                  <c:v>-2.1862622762320871E-3</c:v>
                </c:pt>
                <c:pt idx="37">
                  <c:v>4.0302456387385499E-2</c:v>
                </c:pt>
                <c:pt idx="38">
                  <c:v>2.1337053169887765E-2</c:v>
                </c:pt>
                <c:pt idx="39">
                  <c:v>4.3236102864044224E-2</c:v>
                </c:pt>
                <c:pt idx="40">
                  <c:v>-2.6581865495996393E-2</c:v>
                </c:pt>
                <c:pt idx="41">
                  <c:v>2.6113596910737336E-2</c:v>
                </c:pt>
                <c:pt idx="42">
                  <c:v>-2.6097677488330584E-2</c:v>
                </c:pt>
                <c:pt idx="43">
                  <c:v>4.1368753629383415E-2</c:v>
                </c:pt>
                <c:pt idx="44">
                  <c:v>4.6800301281379131E-2</c:v>
                </c:pt>
                <c:pt idx="45">
                  <c:v>2.1262053611700527E-2</c:v>
                </c:pt>
                <c:pt idx="46">
                  <c:v>3.0760077046880552E-2</c:v>
                </c:pt>
                <c:pt idx="47">
                  <c:v>4.6199489224182377E-2</c:v>
                </c:pt>
              </c:numCache>
            </c:numRef>
          </c:val>
          <c:extLst>
            <c:ext xmlns:c16="http://schemas.microsoft.com/office/drawing/2014/chart" uri="{C3380CC4-5D6E-409C-BE32-E72D297353CC}">
              <c16:uniqueId val="{00000002-025D-4747-B460-BD0E520C7D28}"/>
            </c:ext>
          </c:extLst>
        </c:ser>
        <c:ser>
          <c:idx val="1"/>
          <c:order val="1"/>
          <c:tx>
            <c:strRef>
              <c:f>'tablas venta PROV'!$C$3:$C$5</c:f>
              <c:strCache>
                <c:ptCount val="1"/>
                <c:pt idx="0">
                  <c:v>2024 - Suma de % interanual del precio del alquiler (€/m2)</c:v>
                </c:pt>
              </c:strCache>
            </c:strRef>
          </c:tx>
          <c:spPr>
            <a:solidFill>
              <a:srgbClr val="FF5050"/>
            </a:solidFill>
          </c:spPr>
          <c:invertIfNegative val="0"/>
          <c:cat>
            <c:strRef>
              <c:f>'tablas venta PROV'!$A$6:$A$53</c:f>
              <c:strCache>
                <c:ptCount val="48"/>
                <c:pt idx="0">
                  <c:v>A Coruña</c:v>
                </c:pt>
                <c:pt idx="1">
                  <c:v>Albacete</c:v>
                </c:pt>
                <c:pt idx="2">
                  <c:v>Almería</c:v>
                </c:pt>
                <c:pt idx="3">
                  <c:v>Asturias</c:v>
                </c:pt>
                <c:pt idx="4">
                  <c:v>Ávila</c:v>
                </c:pt>
                <c:pt idx="5">
                  <c:v>Badajoz</c:v>
                </c:pt>
                <c:pt idx="6">
                  <c:v>Barcelona</c:v>
                </c:pt>
                <c:pt idx="7">
                  <c:v>Burgos</c:v>
                </c:pt>
                <c:pt idx="8">
                  <c:v>Cáceres</c:v>
                </c:pt>
                <c:pt idx="9">
                  <c:v>Cádiz</c:v>
                </c:pt>
                <c:pt idx="10">
                  <c:v>Cantabria</c:v>
                </c:pt>
                <c:pt idx="11">
                  <c:v>Ciudad Real</c:v>
                </c:pt>
                <c:pt idx="12">
                  <c:v>Córdoba</c:v>
                </c:pt>
                <c:pt idx="13">
                  <c:v>Cuenca</c:v>
                </c:pt>
                <c:pt idx="14">
                  <c:v>Girona</c:v>
                </c:pt>
                <c:pt idx="15">
                  <c:v>Granada</c:v>
                </c:pt>
                <c:pt idx="16">
                  <c:v>Guadalajara</c:v>
                </c:pt>
                <c:pt idx="17">
                  <c:v>Huelva</c:v>
                </c:pt>
                <c:pt idx="18">
                  <c:v>Huesca</c:v>
                </c:pt>
                <c:pt idx="19">
                  <c:v>Illes Balears</c:v>
                </c:pt>
                <c:pt idx="20">
                  <c:v>Jaén</c:v>
                </c:pt>
                <c:pt idx="21">
                  <c:v>La Rioja</c:v>
                </c:pt>
                <c:pt idx="22">
                  <c:v>León</c:v>
                </c:pt>
                <c:pt idx="23">
                  <c:v>Lleida</c:v>
                </c:pt>
                <c:pt idx="24">
                  <c:v>Lugo</c:v>
                </c:pt>
                <c:pt idx="25">
                  <c:v>Madrid</c:v>
                </c:pt>
                <c:pt idx="26">
                  <c:v>Málaga</c:v>
                </c:pt>
                <c:pt idx="27">
                  <c:v>Murcia</c:v>
                </c:pt>
                <c:pt idx="28">
                  <c:v>Navarra</c:v>
                </c:pt>
                <c:pt idx="29">
                  <c:v>Ourense</c:v>
                </c:pt>
                <c:pt idx="30">
                  <c:v>Palencia</c:v>
                </c:pt>
                <c:pt idx="31">
                  <c:v>Pontevedra</c:v>
                </c:pt>
                <c:pt idx="32">
                  <c:v>Salamanca</c:v>
                </c:pt>
                <c:pt idx="33">
                  <c:v>Segovia</c:v>
                </c:pt>
                <c:pt idx="34">
                  <c:v>Sevilla</c:v>
                </c:pt>
                <c:pt idx="35">
                  <c:v>Soria</c:v>
                </c:pt>
                <c:pt idx="36">
                  <c:v>Tarragona</c:v>
                </c:pt>
                <c:pt idx="37">
                  <c:v>Teruel</c:v>
                </c:pt>
                <c:pt idx="38">
                  <c:v>Toledo</c:v>
                </c:pt>
                <c:pt idx="39">
                  <c:v>Valladolid</c:v>
                </c:pt>
                <c:pt idx="40">
                  <c:v>Zamora</c:v>
                </c:pt>
                <c:pt idx="41">
                  <c:v>Zaragoza</c:v>
                </c:pt>
                <c:pt idx="42">
                  <c:v>Alicante/Alacant</c:v>
                </c:pt>
                <c:pt idx="43">
                  <c:v>Castellón/Castelló</c:v>
                </c:pt>
                <c:pt idx="44">
                  <c:v>Valencia/València</c:v>
                </c:pt>
                <c:pt idx="45">
                  <c:v>Álava/Áraba</c:v>
                </c:pt>
                <c:pt idx="46">
                  <c:v>Vizcaya/Bizkaia</c:v>
                </c:pt>
                <c:pt idx="47">
                  <c:v>Guipúzcoa/Guipuzkoa</c:v>
                </c:pt>
              </c:strCache>
            </c:strRef>
          </c:cat>
          <c:val>
            <c:numRef>
              <c:f>'tablas venta PROV'!$C$6:$C$53</c:f>
              <c:numCache>
                <c:formatCode>0%</c:formatCode>
                <c:ptCount val="48"/>
                <c:pt idx="0">
                  <c:v>0.1153388822829966</c:v>
                </c:pt>
                <c:pt idx="1">
                  <c:v>0.10091743119266061</c:v>
                </c:pt>
                <c:pt idx="2">
                  <c:v>8.4043848964677093E-2</c:v>
                </c:pt>
                <c:pt idx="3">
                  <c:v>0.13447171824973347</c:v>
                </c:pt>
                <c:pt idx="4">
                  <c:v>0</c:v>
                </c:pt>
                <c:pt idx="5">
                  <c:v>5.4517133956386132E-2</c:v>
                </c:pt>
                <c:pt idx="6">
                  <c:v>0.12950450450450424</c:v>
                </c:pt>
                <c:pt idx="7">
                  <c:v>5.3179190751444949E-2</c:v>
                </c:pt>
                <c:pt idx="8">
                  <c:v>0.12972085385878485</c:v>
                </c:pt>
                <c:pt idx="9">
                  <c:v>4.7227926078028615E-2</c:v>
                </c:pt>
                <c:pt idx="10">
                  <c:v>-3.0742954739538919E-2</c:v>
                </c:pt>
                <c:pt idx="11">
                  <c:v>0.10175438596491237</c:v>
                </c:pt>
                <c:pt idx="12">
                  <c:v>6.8062827225130906E-2</c:v>
                </c:pt>
                <c:pt idx="13">
                  <c:v>7.5110456553755478E-2</c:v>
                </c:pt>
                <c:pt idx="14">
                  <c:v>0.12794348508634212</c:v>
                </c:pt>
                <c:pt idx="15">
                  <c:v>6.9459757442116743E-2</c:v>
                </c:pt>
                <c:pt idx="16">
                  <c:v>-1.7031630170316392E-2</c:v>
                </c:pt>
                <c:pt idx="17">
                  <c:v>-1.0030090270812586E-2</c:v>
                </c:pt>
                <c:pt idx="18">
                  <c:v>0.15632183908045993</c:v>
                </c:pt>
                <c:pt idx="19">
                  <c:v>3.2544378698224907E-2</c:v>
                </c:pt>
                <c:pt idx="20">
                  <c:v>4.4750430292599175E-2</c:v>
                </c:pt>
                <c:pt idx="21">
                  <c:v>0.12362301101591179</c:v>
                </c:pt>
                <c:pt idx="22">
                  <c:v>0.10608203677510609</c:v>
                </c:pt>
                <c:pt idx="23">
                  <c:v>8.4276729559748423E-2</c:v>
                </c:pt>
                <c:pt idx="24">
                  <c:v>0.13265306122448961</c:v>
                </c:pt>
                <c:pt idx="25">
                  <c:v>0.18642117376294601</c:v>
                </c:pt>
                <c:pt idx="26">
                  <c:v>6.25E-2</c:v>
                </c:pt>
                <c:pt idx="27">
                  <c:v>0.16583541147132164</c:v>
                </c:pt>
                <c:pt idx="28">
                  <c:v>8.7114337568058087E-2</c:v>
                </c:pt>
                <c:pt idx="29">
                  <c:v>1.8813314037626538E-2</c:v>
                </c:pt>
                <c:pt idx="30">
                  <c:v>0.19501466275659829</c:v>
                </c:pt>
                <c:pt idx="31">
                  <c:v>8.249496981891348E-2</c:v>
                </c:pt>
                <c:pt idx="32">
                  <c:v>4.9288061336254074E-2</c:v>
                </c:pt>
                <c:pt idx="33">
                  <c:v>8.8582677165354173E-3</c:v>
                </c:pt>
                <c:pt idx="34">
                  <c:v>0.15496809480401086</c:v>
                </c:pt>
                <c:pt idx="35">
                  <c:v>0</c:v>
                </c:pt>
                <c:pt idx="36">
                  <c:v>3.669724770642202E-2</c:v>
                </c:pt>
                <c:pt idx="37">
                  <c:v>-2.1052631578947434E-2</c:v>
                </c:pt>
                <c:pt idx="38">
                  <c:v>8.7186261558784603E-2</c:v>
                </c:pt>
                <c:pt idx="39">
                  <c:v>6.0753341433778862E-2</c:v>
                </c:pt>
                <c:pt idx="40">
                  <c:v>0</c:v>
                </c:pt>
                <c:pt idx="41">
                  <c:v>0.10847107438016534</c:v>
                </c:pt>
                <c:pt idx="42">
                  <c:v>7.8039927404718767E-2</c:v>
                </c:pt>
                <c:pt idx="43">
                  <c:v>0.11660329531051983</c:v>
                </c:pt>
                <c:pt idx="44">
                  <c:v>9.8297213622291046E-2</c:v>
                </c:pt>
                <c:pt idx="45">
                  <c:v>-0.13555194805194803</c:v>
                </c:pt>
                <c:pt idx="46">
                  <c:v>0.10013531799729369</c:v>
                </c:pt>
                <c:pt idx="47">
                  <c:v>3.8374717832957206E-2</c:v>
                </c:pt>
              </c:numCache>
            </c:numRef>
          </c:val>
          <c:extLst>
            <c:ext xmlns:c16="http://schemas.microsoft.com/office/drawing/2014/chart" uri="{C3380CC4-5D6E-409C-BE32-E72D297353CC}">
              <c16:uniqueId val="{00000003-025D-4747-B460-BD0E520C7D28}"/>
            </c:ext>
          </c:extLst>
        </c:ser>
        <c:dLbls>
          <c:showLegendKey val="0"/>
          <c:showVal val="0"/>
          <c:showCatName val="0"/>
          <c:showSerName val="0"/>
          <c:showPercent val="0"/>
          <c:showBubbleSize val="0"/>
        </c:dLbls>
        <c:gapWidth val="50"/>
        <c:overlap val="100"/>
        <c:axId val="1587936352"/>
        <c:axId val="663677872"/>
      </c:barChart>
      <c:catAx>
        <c:axId val="158793635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sz="800" b="0"/>
            </a:pPr>
            <a:endParaRPr lang="es-ES"/>
          </a:p>
        </c:txPr>
        <c:crossAx val="663677872"/>
        <c:crosses val="autoZero"/>
        <c:auto val="1"/>
        <c:lblAlgn val="ctr"/>
        <c:lblOffset val="100"/>
        <c:noMultiLvlLbl val="0"/>
      </c:catAx>
      <c:valAx>
        <c:axId val="663677872"/>
        <c:scaling>
          <c:orientation val="minMax"/>
        </c:scaling>
        <c:delete val="0"/>
        <c:axPos val="l"/>
        <c:numFmt formatCode="0%" sourceLinked="1"/>
        <c:majorTickMark val="out"/>
        <c:minorTickMark val="none"/>
        <c:tickLblPos val="low"/>
        <c:txPr>
          <a:bodyPr/>
          <a:lstStyle/>
          <a:p>
            <a:pPr>
              <a:defRPr sz="800"/>
            </a:pPr>
            <a:endParaRPr lang="es-ES"/>
          </a:p>
        </c:txPr>
        <c:crossAx val="1587936352"/>
        <c:crosses val="autoZero"/>
        <c:crossBetween val="between"/>
      </c:valAx>
    </c:plotArea>
    <c:legend>
      <c:legendPos val="r"/>
      <c:layout>
        <c:manualLayout>
          <c:xMode val="edge"/>
          <c:yMode val="edge"/>
          <c:x val="4.5300018817533795E-2"/>
          <c:y val="0.90302081596250694"/>
          <c:w val="0.88843429486902825"/>
          <c:h val="6.2783458361212116E-2"/>
        </c:manualLayout>
      </c:layout>
      <c:overlay val="0"/>
      <c:txPr>
        <a:bodyPr/>
        <a:lstStyle/>
        <a:p>
          <a:pPr>
            <a:defRPr sz="800" b="0">
              <a:solidFill>
                <a:schemeClr val="tx1"/>
              </a:solidFill>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600">
          <a:latin typeface="+mj-lt"/>
        </a:defRPr>
      </a:pPr>
      <a:endParaRPr lang="es-ES"/>
    </a:p>
  </c:txPr>
  <c:externalData r:id="rId5">
    <c:autoUpdate val="0"/>
  </c:externalData>
  <c:extLst>
    <c:ext xmlns:c14="http://schemas.microsoft.com/office/drawing/2007/8/2/chart" uri="{781A3756-C4B2-4CAC-9D66-4F8BD8637D16}">
      <c14:pivotOptions>
        <c14:dropZoneSeries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fUByrxGHwCb6+0q4hXSANqSqA==">CgMxLjAyCGguZ2pkZ3hzOAByITFoTGVNRDg3RUVZUGpMalFzUVpwYTY4UDJzbzRmdWJ1Qw==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2614</Words>
  <Characters>14377</Characters>
  <Application>Microsoft Office Word</Application>
  <DocSecurity>0</DocSecurity>
  <Lines>119</Lines>
  <Paragraphs>33</Paragraphs>
  <ScaleCrop>false</ScaleCrop>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Anaïs López García</dc:creator>
  <cp:lastModifiedBy>Anaïs López García</cp:lastModifiedBy>
  <cp:revision>2</cp:revision>
  <dcterms:created xsi:type="dcterms:W3CDTF">2023-05-04T17:39:00Z</dcterms:created>
  <dcterms:modified xsi:type="dcterms:W3CDTF">2025-05-22T14:22:00Z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2025-05-15T10:36:25Z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b045d307-3617-43bf-8356-4067bfeed8a0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