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themeOverride+xml" PartName="/word/theme/themeOverride2.xml"/>
  <Override ContentType="application/vnd.openxmlformats-officedocument.themeOverride+xml" PartName="/word/theme/themeOverride1.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57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-641981</wp:posOffset>
            </wp:positionH>
            <wp:positionV relativeFrom="paragraph">
              <wp:posOffset>-512438</wp:posOffset>
            </wp:positionV>
            <wp:extent cx="1761966" cy="403103"/>
            <wp:effectExtent b="0" l="0" r="0" t="0"/>
            <wp:wrapNone/>
            <wp:docPr id="203333780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61966" cy="40310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-597531</wp:posOffset>
            </wp:positionH>
            <wp:positionV relativeFrom="paragraph">
              <wp:posOffset>109854</wp:posOffset>
            </wp:positionV>
            <wp:extent cx="1651000" cy="387350"/>
            <wp:effectExtent b="0" l="0" r="0" t="0"/>
            <wp:wrapNone/>
            <wp:docPr id="2033337803"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651000" cy="3873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3863340</wp:posOffset>
            </wp:positionH>
            <wp:positionV relativeFrom="paragraph">
              <wp:posOffset>-401318</wp:posOffset>
            </wp:positionV>
            <wp:extent cx="2465949" cy="668401"/>
            <wp:effectExtent b="0" l="0" r="0" t="0"/>
            <wp:wrapNone/>
            <wp:docPr descr="Interfaz de usuario gráfica&#10;&#10;Descripción generada automáticamente con confianza media" id="2033337806" name="image4.png"/>
            <a:graphic>
              <a:graphicData uri="http://schemas.openxmlformats.org/drawingml/2006/picture">
                <pic:pic>
                  <pic:nvPicPr>
                    <pic:cNvPr descr="Interfaz de usuario gráfica&#10;&#10;Descripción generada automáticamente con confianza media" id="0" name="image4.png"/>
                    <pic:cNvPicPr preferRelativeResize="0"/>
                  </pic:nvPicPr>
                  <pic:blipFill>
                    <a:blip r:embed="rId9"/>
                    <a:srcRect b="0" l="0" r="0" t="0"/>
                    <a:stretch>
                      <a:fillRect/>
                    </a:stretch>
                  </pic:blipFill>
                  <pic:spPr>
                    <a:xfrm>
                      <a:off x="0" y="0"/>
                      <a:ext cx="2465949" cy="668401"/>
                    </a:xfrm>
                    <a:prstGeom prst="rect"/>
                    <a:ln/>
                  </pic:spPr>
                </pic:pic>
              </a:graphicData>
            </a:graphic>
          </wp:anchor>
        </w:drawing>
      </w:r>
    </w:p>
    <w:p w:rsidR="00000000" w:rsidDel="00000000" w:rsidP="00000000" w:rsidRDefault="00000000" w:rsidRPr="00000000" w14:paraId="00000002">
      <w:pPr>
        <w:ind w:right="-574"/>
        <w:jc w:val="right"/>
        <w:rPr>
          <w:rFonts w:ascii="National" w:cs="National" w:eastAsia="National" w:hAnsi="National"/>
          <w:color w:val="303ab2"/>
          <w:sz w:val="36"/>
          <w:szCs w:val="36"/>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spacing w:line="276" w:lineRule="auto"/>
        <w:ind w:right="-574"/>
        <w:jc w:val="center"/>
        <w:rPr>
          <w:rFonts w:ascii="National" w:cs="National" w:eastAsia="National" w:hAnsi="National"/>
          <w:b w:val="1"/>
          <w:color w:val="1dbdc5"/>
          <w:sz w:val="30"/>
          <w:szCs w:val="30"/>
        </w:rPr>
      </w:pPr>
      <w:r w:rsidDel="00000000" w:rsidR="00000000" w:rsidRPr="00000000">
        <w:rPr>
          <w:rtl w:val="0"/>
        </w:rPr>
      </w:r>
    </w:p>
    <w:p w:rsidR="00000000" w:rsidDel="00000000" w:rsidP="00000000" w:rsidRDefault="00000000" w:rsidRPr="00000000" w14:paraId="00000004">
      <w:pPr>
        <w:spacing w:line="276" w:lineRule="auto"/>
        <w:ind w:right="-574"/>
        <w:jc w:val="center"/>
        <w:rPr>
          <w:rFonts w:ascii="National" w:cs="National" w:eastAsia="National" w:hAnsi="National"/>
          <w:b w:val="1"/>
          <w:color w:val="1dbdc5"/>
          <w:sz w:val="30"/>
          <w:szCs w:val="30"/>
        </w:rPr>
      </w:pPr>
      <w:r w:rsidDel="00000000" w:rsidR="00000000" w:rsidRPr="00000000">
        <w:rPr>
          <w:rFonts w:ascii="National" w:cs="National" w:eastAsia="National" w:hAnsi="National"/>
          <w:b w:val="1"/>
          <w:color w:val="1dbdc5"/>
          <w:sz w:val="30"/>
          <w:szCs w:val="30"/>
          <w:rtl w:val="0"/>
        </w:rPr>
        <w:t xml:space="preserve">2024: ANÁLISIS RELACIÓN ENTR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42"/>
          <w:szCs w:val="42"/>
        </w:rPr>
      </w:pPr>
      <w:r w:rsidDel="00000000" w:rsidR="00000000" w:rsidRPr="00000000">
        <w:rPr>
          <w:rFonts w:ascii="National" w:cs="National" w:eastAsia="National" w:hAnsi="National"/>
          <w:b w:val="1"/>
          <w:color w:val="303ab2"/>
          <w:sz w:val="42"/>
          <w:szCs w:val="42"/>
          <w:rtl w:val="0"/>
        </w:rPr>
        <w:t xml:space="preserve">En 3 años el precio de la vivienda de compra se ha incrementado un 25% mientras que los salarios han crecido un 7%, según InfoJobs y Fotocasa</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18"/>
          <w:szCs w:val="18"/>
        </w:rPr>
      </w:pP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line="276" w:lineRule="auto"/>
        <w:ind w:left="284" w:right="-574" w:hanging="360"/>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En 2024 los salarios ofertados subieron en España un 3,1%, mientras que el precio de la vivienda de segunda mano creció un 8,4%</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line="276" w:lineRule="auto"/>
        <w:ind w:left="284" w:right="-574" w:hanging="360"/>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En el último año los salarios han subido en 12 comunidades y el precio de la vivienda de segunda mano se ha incrementado en 15 regiones</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line="276" w:lineRule="auto"/>
        <w:ind w:left="284" w:right="-574" w:hanging="360"/>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Los sueldos en Extremadura son los que más cayeron y la Comunidad Valenciana es donde más se ha encarecido el precio de la vivienda en el último año</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line="276" w:lineRule="auto"/>
        <w:ind w:left="284" w:right="-574" w:hanging="360"/>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Aragón es la única comunidad </w:t>
      </w:r>
      <w:r w:rsidDel="00000000" w:rsidR="00000000" w:rsidRPr="00000000">
        <w:rPr>
          <w:rFonts w:ascii="Open Sans" w:cs="Open Sans" w:eastAsia="Open Sans" w:hAnsi="Open Sans"/>
          <w:sz w:val="22"/>
          <w:szCs w:val="22"/>
          <w:rtl w:val="0"/>
        </w:rPr>
        <w:t xml:space="preserve">donde</w:t>
      </w:r>
      <w:r w:rsidDel="00000000" w:rsidR="00000000" w:rsidRPr="00000000">
        <w:rPr>
          <w:rFonts w:ascii="Open Sans" w:cs="Open Sans" w:eastAsia="Open Sans" w:hAnsi="Open Sans"/>
          <w:color w:val="000000"/>
          <w:sz w:val="22"/>
          <w:szCs w:val="22"/>
          <w:rtl w:val="0"/>
        </w:rPr>
        <w:t xml:space="preserve"> el salario medio sub</w:t>
      </w:r>
      <w:r w:rsidDel="00000000" w:rsidR="00000000" w:rsidRPr="00000000">
        <w:rPr>
          <w:rFonts w:ascii="Open Sans" w:cs="Open Sans" w:eastAsia="Open Sans" w:hAnsi="Open Sans"/>
          <w:sz w:val="22"/>
          <w:szCs w:val="22"/>
          <w:rtl w:val="0"/>
        </w:rPr>
        <w:t xml:space="preserve">ió</w:t>
      </w:r>
      <w:r w:rsidDel="00000000" w:rsidR="00000000" w:rsidRPr="00000000">
        <w:rPr>
          <w:rFonts w:ascii="Open Sans" w:cs="Open Sans" w:eastAsia="Open Sans" w:hAnsi="Open Sans"/>
          <w:color w:val="000000"/>
          <w:sz w:val="22"/>
          <w:szCs w:val="22"/>
          <w:rtl w:val="0"/>
        </w:rPr>
        <w:t xml:space="preserve"> (3,4%) y el precio de la vivienda descendió (un 0,6% en el último año) </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line="276" w:lineRule="auto"/>
        <w:ind w:left="284" w:right="-574" w:hanging="360"/>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Solo los residentes de Zaragoza y Jaén han mejorado las condiciones salariales y han podido acceder a viviendas más económicas en 2024</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ind w:left="284" w:right="-574" w:firstLine="0"/>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6" w:lineRule="auto"/>
        <w:ind w:right="-574"/>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Madrid, 8 de mayo de 2025</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En España los incrementos en el precio de la vivienda de segunda mano y las mejoras salariales no han ido de la mano en los últimos años. En 2024 el precio por metro cuadrado se </w:t>
      </w:r>
      <w:r w:rsidDel="00000000" w:rsidR="00000000" w:rsidRPr="00000000">
        <w:rPr>
          <w:rFonts w:ascii="Open Sans" w:cs="Open Sans" w:eastAsia="Open Sans" w:hAnsi="Open Sans"/>
          <w:sz w:val="22"/>
          <w:szCs w:val="22"/>
          <w:rtl w:val="0"/>
        </w:rPr>
        <w:t xml:space="preserve">encareció </w:t>
      </w:r>
      <w:r w:rsidDel="00000000" w:rsidR="00000000" w:rsidRPr="00000000">
        <w:rPr>
          <w:rFonts w:ascii="Open Sans" w:cs="Open Sans" w:eastAsia="Open Sans" w:hAnsi="Open Sans"/>
          <w:color w:val="000000"/>
          <w:sz w:val="22"/>
          <w:szCs w:val="22"/>
          <w:rtl w:val="0"/>
        </w:rPr>
        <w:t xml:space="preserve">un 8,4% y los salarios ofertados </w:t>
      </w:r>
      <w:r w:rsidDel="00000000" w:rsidR="00000000" w:rsidRPr="00000000">
        <w:rPr>
          <w:rFonts w:ascii="Open Sans" w:cs="Open Sans" w:eastAsia="Open Sans" w:hAnsi="Open Sans"/>
          <w:sz w:val="22"/>
          <w:szCs w:val="22"/>
          <w:rtl w:val="0"/>
        </w:rPr>
        <w:t xml:space="preserve">subieron</w:t>
      </w:r>
      <w:r w:rsidDel="00000000" w:rsidR="00000000" w:rsidRPr="00000000">
        <w:rPr>
          <w:rFonts w:ascii="Open Sans" w:cs="Open Sans" w:eastAsia="Open Sans" w:hAnsi="Open Sans"/>
          <w:color w:val="000000"/>
          <w:sz w:val="22"/>
          <w:szCs w:val="22"/>
          <w:rtl w:val="0"/>
        </w:rPr>
        <w:t xml:space="preserve"> un 3,1%, según el estudio </w:t>
      </w:r>
      <w:r w:rsidDel="00000000" w:rsidR="00000000" w:rsidRPr="00000000">
        <w:rPr>
          <w:rFonts w:ascii="Open Sans" w:cs="Open Sans" w:eastAsia="Open Sans" w:hAnsi="Open Sans"/>
          <w:b w:val="1"/>
          <w:color w:val="000000"/>
          <w:sz w:val="22"/>
          <w:szCs w:val="22"/>
          <w:rtl w:val="0"/>
        </w:rPr>
        <w:t xml:space="preserve">“</w:t>
      </w:r>
      <w:r w:rsidDel="00000000" w:rsidR="00000000" w:rsidRPr="00000000">
        <w:rPr>
          <w:rFonts w:ascii="Open Sans" w:cs="Open Sans" w:eastAsia="Open Sans" w:hAnsi="Open Sans"/>
          <w:b w:val="1"/>
          <w:i w:val="1"/>
          <w:color w:val="000000"/>
          <w:sz w:val="22"/>
          <w:szCs w:val="22"/>
          <w:rtl w:val="0"/>
        </w:rPr>
        <w:t xml:space="preserve">Relación de salarios y la compra de vivienda en 2024</w:t>
      </w:r>
      <w:r w:rsidDel="00000000" w:rsidR="00000000" w:rsidRPr="00000000">
        <w:rPr>
          <w:rFonts w:ascii="Open Sans" w:cs="Open Sans" w:eastAsia="Open Sans" w:hAnsi="Open Sans"/>
          <w:b w:val="1"/>
          <w:color w:val="000000"/>
          <w:sz w:val="22"/>
          <w:szCs w:val="22"/>
          <w:rtl w:val="0"/>
        </w:rPr>
        <w:t xml:space="preserve">” </w:t>
      </w:r>
      <w:r w:rsidDel="00000000" w:rsidR="00000000" w:rsidRPr="00000000">
        <w:rPr>
          <w:rFonts w:ascii="Open Sans" w:cs="Open Sans" w:eastAsia="Open Sans" w:hAnsi="Open Sans"/>
          <w:color w:val="000000"/>
          <w:sz w:val="22"/>
          <w:szCs w:val="22"/>
          <w:rtl w:val="0"/>
        </w:rPr>
        <w:t xml:space="preserve">basado en los precios medios de la vivienda de segunda mano en venta del Índice Inmobiliario </w:t>
      </w:r>
      <w:hyperlink r:id="rId10">
        <w:r w:rsidDel="00000000" w:rsidR="00000000" w:rsidRPr="00000000">
          <w:rPr>
            <w:rFonts w:ascii="Open Sans" w:cs="Open Sans" w:eastAsia="Open Sans" w:hAnsi="Open Sans"/>
            <w:color w:val="0000ff"/>
            <w:sz w:val="22"/>
            <w:szCs w:val="22"/>
            <w:u w:val="single"/>
            <w:rtl w:val="0"/>
          </w:rPr>
          <w:t xml:space="preserve">Fotocasa</w:t>
        </w:r>
      </w:hyperlink>
      <w:r w:rsidDel="00000000" w:rsidR="00000000" w:rsidRPr="00000000">
        <w:rPr>
          <w:rFonts w:ascii="Open Sans" w:cs="Open Sans" w:eastAsia="Open Sans" w:hAnsi="Open Sans"/>
          <w:color w:val="000000"/>
          <w:sz w:val="22"/>
          <w:szCs w:val="22"/>
          <w:rtl w:val="0"/>
        </w:rPr>
        <w:t xml:space="preserve"> y los datos de los sueldos medios de las ofertas de empleo de la plataforma </w:t>
      </w:r>
      <w:hyperlink r:id="rId11">
        <w:r w:rsidDel="00000000" w:rsidR="00000000" w:rsidRPr="00000000">
          <w:rPr>
            <w:rFonts w:ascii="Open Sans" w:cs="Open Sans" w:eastAsia="Open Sans" w:hAnsi="Open Sans"/>
            <w:color w:val="0000ff"/>
            <w:sz w:val="22"/>
            <w:szCs w:val="22"/>
            <w:u w:val="single"/>
            <w:rtl w:val="0"/>
          </w:rPr>
          <w:t xml:space="preserve">InfoJobs</w:t>
        </w:r>
      </w:hyperlink>
      <w:r w:rsidDel="00000000" w:rsidR="00000000" w:rsidRPr="00000000">
        <w:rPr>
          <w:rFonts w:ascii="Open Sans" w:cs="Open Sans" w:eastAsia="Open Sans" w:hAnsi="Open Sans"/>
          <w:color w:val="000000"/>
          <w:sz w:val="22"/>
          <w:szCs w:val="22"/>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Observando</w:t>
      </w:r>
      <w:r w:rsidDel="00000000" w:rsidR="00000000" w:rsidRPr="00000000">
        <w:rPr>
          <w:rFonts w:ascii="Open Sans" w:cs="Open Sans" w:eastAsia="Open Sans" w:hAnsi="Open Sans"/>
          <w:color w:val="000000"/>
          <w:sz w:val="22"/>
          <w:szCs w:val="22"/>
          <w:rtl w:val="0"/>
        </w:rPr>
        <w:t xml:space="preserve"> la evolución de los salarios y del precio de la vivienda desde 2021, </w:t>
      </w:r>
      <w:r w:rsidDel="00000000" w:rsidR="00000000" w:rsidRPr="00000000">
        <w:rPr>
          <w:rFonts w:ascii="Open Sans" w:cs="Open Sans" w:eastAsia="Open Sans" w:hAnsi="Open Sans"/>
          <w:sz w:val="22"/>
          <w:szCs w:val="22"/>
          <w:rtl w:val="0"/>
        </w:rPr>
        <w:t xml:space="preserve">se aprecia </w:t>
      </w:r>
      <w:r w:rsidDel="00000000" w:rsidR="00000000" w:rsidRPr="00000000">
        <w:rPr>
          <w:rFonts w:ascii="Open Sans" w:cs="Open Sans" w:eastAsia="Open Sans" w:hAnsi="Open Sans"/>
          <w:color w:val="000000"/>
          <w:sz w:val="22"/>
          <w:szCs w:val="22"/>
          <w:rtl w:val="0"/>
        </w:rPr>
        <w:t xml:space="preserve">que en estos </w:t>
      </w:r>
      <w:r w:rsidDel="00000000" w:rsidR="00000000" w:rsidRPr="00000000">
        <w:rPr>
          <w:rFonts w:ascii="Open Sans" w:cs="Open Sans" w:eastAsia="Open Sans" w:hAnsi="Open Sans"/>
          <w:sz w:val="22"/>
          <w:szCs w:val="22"/>
          <w:rtl w:val="0"/>
        </w:rPr>
        <w:t xml:space="preserve">tres años </w:t>
      </w:r>
      <w:r w:rsidDel="00000000" w:rsidR="00000000" w:rsidRPr="00000000">
        <w:rPr>
          <w:rFonts w:ascii="Open Sans" w:cs="Open Sans" w:eastAsia="Open Sans" w:hAnsi="Open Sans"/>
          <w:color w:val="000000"/>
          <w:sz w:val="22"/>
          <w:szCs w:val="22"/>
          <w:rtl w:val="0"/>
        </w:rPr>
        <w:t xml:space="preserve">los sueldos </w:t>
      </w:r>
      <w:r w:rsidDel="00000000" w:rsidR="00000000" w:rsidRPr="00000000">
        <w:rPr>
          <w:rFonts w:ascii="Open Sans" w:cs="Open Sans" w:eastAsia="Open Sans" w:hAnsi="Open Sans"/>
          <w:sz w:val="22"/>
          <w:szCs w:val="22"/>
          <w:rtl w:val="0"/>
        </w:rPr>
        <w:t xml:space="preserve">se han incrementado un</w:t>
      </w:r>
      <w:r w:rsidDel="00000000" w:rsidR="00000000" w:rsidRPr="00000000">
        <w:rPr>
          <w:rFonts w:ascii="Open Sans" w:cs="Open Sans" w:eastAsia="Open Sans" w:hAnsi="Open Sans"/>
          <w:color w:val="000000"/>
          <w:sz w:val="22"/>
          <w:szCs w:val="22"/>
          <w:rtl w:val="0"/>
        </w:rPr>
        <w:t xml:space="preserve"> 7,4% (6,5% en los últimos 5 años) mientras</w:t>
      </w:r>
      <w:r w:rsidDel="00000000" w:rsidR="00000000" w:rsidRPr="00000000">
        <w:rPr>
          <w:rFonts w:ascii="Open Sans" w:cs="Open Sans" w:eastAsia="Open Sans" w:hAnsi="Open Sans"/>
          <w:sz w:val="22"/>
          <w:szCs w:val="22"/>
          <w:rtl w:val="0"/>
        </w:rPr>
        <w:t xml:space="preserve"> que</w:t>
      </w:r>
      <w:r w:rsidDel="00000000" w:rsidR="00000000" w:rsidRPr="00000000">
        <w:rPr>
          <w:rFonts w:ascii="Open Sans" w:cs="Open Sans" w:eastAsia="Open Sans" w:hAnsi="Open Sans"/>
          <w:color w:val="000000"/>
          <w:sz w:val="22"/>
          <w:szCs w:val="22"/>
          <w:rtl w:val="0"/>
        </w:rPr>
        <w:t xml:space="preserve"> el precio de la vivienda en venta ha subido un 25,3% (29,4% en los últimos 5 años).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ffffff" w:val="clear"/>
        <w:spacing w:after="280" w:before="280" w:line="276" w:lineRule="auto"/>
        <w:ind w:right="-574"/>
        <w:jc w:val="center"/>
        <w:rPr>
          <w:rFonts w:ascii="National" w:cs="National" w:eastAsia="National" w:hAnsi="National"/>
          <w:b w:val="1"/>
          <w:color w:val="303ab2"/>
          <w:sz w:val="28"/>
          <w:szCs w:val="28"/>
        </w:rPr>
      </w:pPr>
      <w:r w:rsidDel="00000000" w:rsidR="00000000" w:rsidRPr="00000000">
        <w:rPr>
          <w:rFonts w:ascii="National" w:cs="National" w:eastAsia="National" w:hAnsi="National"/>
          <w:b w:val="1"/>
          <w:color w:val="303ab2"/>
          <w:sz w:val="28"/>
          <w:szCs w:val="28"/>
          <w:rtl w:val="0"/>
        </w:rPr>
        <w:t xml:space="preserve">Variación anual de los salarios y del precio de la vivienda en venta en España</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ffffff" w:val="clear"/>
        <w:spacing w:after="280" w:before="280" w:line="276" w:lineRule="auto"/>
        <w:ind w:right="-574"/>
        <w:jc w:val="center"/>
        <w:rPr>
          <w:rFonts w:ascii="National" w:cs="National" w:eastAsia="National" w:hAnsi="National"/>
          <w:b w:val="1"/>
          <w:color w:val="303ab2"/>
          <w:sz w:val="28"/>
          <w:szCs w:val="28"/>
        </w:rPr>
      </w:pPr>
      <w:r w:rsidDel="00000000" w:rsidR="00000000" w:rsidRPr="00000000">
        <w:rPr/>
        <w:drawing>
          <wp:inline distB="0" distT="0" distL="0" distR="0">
            <wp:extent cx="5396230" cy="2533650"/>
            <wp:docPr id="2033337800" name=""/>
            <a:graphic>
              <a:graphicData uri="http://schemas.openxmlformats.org/drawingml/2006/chart">
                <c:chart r:id="rId12"/>
              </a:graphicData>
            </a:graphic>
          </wp:inline>
        </w:drawing>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b w:val="1"/>
          <w:sz w:val="22"/>
          <w:szCs w:val="22"/>
        </w:rPr>
      </w:pPr>
      <w:bookmarkStart w:colFirst="0" w:colLast="0" w:name="_heading=h.9q7hxjk3t5u" w:id="1"/>
      <w:bookmarkEnd w:id="1"/>
      <w:r w:rsidDel="00000000" w:rsidR="00000000" w:rsidRPr="00000000">
        <w:rPr>
          <w:rFonts w:ascii="Open Sans" w:cs="Open Sans" w:eastAsia="Open Sans" w:hAnsi="Open Sans"/>
          <w:sz w:val="22"/>
          <w:szCs w:val="22"/>
          <w:rtl w:val="0"/>
        </w:rPr>
        <w:t xml:space="preserve">“El acceso a la vivienda se ha deteriorado significativamente en los últimos años debido a la fuerte desconexión entre la evolución del precio de la vivienda y la de los salarios. La vivienda sube tres veces más que los sueldos, lo que refleja un problema estructural que afecta directamente a la capacidad de compra de los ciudadanos, especialmente a los jóvenes y las familias con rentas medias y bajas. España vive un </w:t>
      </w:r>
      <w:r w:rsidDel="00000000" w:rsidR="00000000" w:rsidRPr="00000000">
        <w:rPr>
          <w:rFonts w:ascii="Open Sans" w:cs="Open Sans" w:eastAsia="Open Sans" w:hAnsi="Open Sans"/>
          <w:i w:val="1"/>
          <w:sz w:val="22"/>
          <w:szCs w:val="22"/>
          <w:rtl w:val="0"/>
        </w:rPr>
        <w:t xml:space="preserve">boom </w:t>
      </w:r>
      <w:r w:rsidDel="00000000" w:rsidR="00000000" w:rsidRPr="00000000">
        <w:rPr>
          <w:rFonts w:ascii="Open Sans" w:cs="Open Sans" w:eastAsia="Open Sans" w:hAnsi="Open Sans"/>
          <w:sz w:val="22"/>
          <w:szCs w:val="22"/>
          <w:rtl w:val="0"/>
        </w:rPr>
        <w:t xml:space="preserve">de demanda por comprar que, frente a la escasa oferta, tensiona al alza los precios. Una situación muy difícil de revertir, por lo que la accesibilidad a la vivienda seguirá dificultándose y acentuando las desigualdades sociales“, </w:t>
      </w:r>
      <w:r w:rsidDel="00000000" w:rsidR="00000000" w:rsidRPr="00000000">
        <w:rPr>
          <w:rFonts w:ascii="Open Sans" w:cs="Open Sans" w:eastAsia="Open Sans" w:hAnsi="Open Sans"/>
          <w:b w:val="1"/>
          <w:sz w:val="22"/>
          <w:szCs w:val="22"/>
          <w:rtl w:val="0"/>
        </w:rPr>
        <w:t xml:space="preserve">explica María Matos, directora de Estudios y Portavoz de </w:t>
      </w:r>
      <w:hyperlink r:id="rId13">
        <w:r w:rsidDel="00000000" w:rsidR="00000000" w:rsidRPr="00000000">
          <w:rPr>
            <w:rFonts w:ascii="Open Sans" w:cs="Open Sans" w:eastAsia="Open Sans" w:hAnsi="Open Sans"/>
            <w:b w:val="1"/>
            <w:color w:val="0000ff"/>
            <w:sz w:val="22"/>
            <w:szCs w:val="22"/>
            <w:u w:val="single"/>
            <w:rtl w:val="0"/>
          </w:rPr>
          <w:t xml:space="preserve">Fotocasa</w:t>
        </w:r>
      </w:hyperlink>
      <w:r w:rsidDel="00000000" w:rsidR="00000000" w:rsidRPr="00000000">
        <w:rPr>
          <w:rFonts w:ascii="Open Sans" w:cs="Open Sans" w:eastAsia="Open Sans" w:hAnsi="Open Sans"/>
          <w:b w:val="1"/>
          <w:sz w:val="22"/>
          <w:szCs w:val="22"/>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b w:val="1"/>
          <w:sz w:val="22"/>
          <w:szCs w:val="22"/>
          <w:highlight w:val="white"/>
        </w:rPr>
      </w:pPr>
      <w:r w:rsidDel="00000000" w:rsidR="00000000" w:rsidRPr="00000000">
        <w:rPr>
          <w:rFonts w:ascii="Open Sans" w:cs="Open Sans" w:eastAsia="Open Sans" w:hAnsi="Open Sans"/>
          <w:sz w:val="22"/>
          <w:szCs w:val="22"/>
          <w:highlight w:val="white"/>
          <w:rtl w:val="0"/>
        </w:rPr>
        <w:t xml:space="preserve">“En los últimos tres años, la evolución media de los salarios ofertados en InfoJobs ha mostrado una tendencia al alza. Sin embargo, tanto en 2022 como en 2023 este ascenso no fue suficiente para compensar el efecto de la inflación que, además, en el caso de la vivienda está disparada por la escasez de oferta. En 2024 observamos un cambio de tendencia con una inflación controlada y cierta recuperación del poder adquisitivo en general, aunque la situación del mercado inmobiliario sigue dificultado el acceso a la vivienda para una gran parte de la población“, </w:t>
      </w:r>
      <w:r w:rsidDel="00000000" w:rsidR="00000000" w:rsidRPr="00000000">
        <w:rPr>
          <w:rFonts w:ascii="Open Sans" w:cs="Open Sans" w:eastAsia="Open Sans" w:hAnsi="Open Sans"/>
          <w:b w:val="1"/>
          <w:sz w:val="22"/>
          <w:szCs w:val="22"/>
          <w:highlight w:val="white"/>
          <w:rtl w:val="0"/>
        </w:rPr>
        <w:t xml:space="preserve">señala Mónica Pérez, directora de Comunicación y Estudios de </w:t>
      </w:r>
      <w:hyperlink r:id="rId14">
        <w:r w:rsidDel="00000000" w:rsidR="00000000" w:rsidRPr="00000000">
          <w:rPr>
            <w:rFonts w:ascii="Open Sans" w:cs="Open Sans" w:eastAsia="Open Sans" w:hAnsi="Open Sans"/>
            <w:b w:val="1"/>
            <w:color w:val="0000ff"/>
            <w:sz w:val="22"/>
            <w:szCs w:val="22"/>
            <w:highlight w:val="white"/>
            <w:u w:val="single"/>
            <w:rtl w:val="0"/>
          </w:rPr>
          <w:t xml:space="preserve">InfoJobs</w:t>
        </w:r>
      </w:hyperlink>
      <w:r w:rsidDel="00000000" w:rsidR="00000000" w:rsidRPr="00000000">
        <w:rPr>
          <w:rFonts w:ascii="Open Sans" w:cs="Open Sans" w:eastAsia="Open Sans" w:hAnsi="Open Sans"/>
          <w:b w:val="1"/>
          <w:sz w:val="22"/>
          <w:szCs w:val="22"/>
          <w:highlight w:val="white"/>
          <w:rtl w:val="0"/>
        </w:rPr>
        <w:t xml:space="preserv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National" w:cs="National" w:eastAsia="National" w:hAnsi="National"/>
          <w:b w:val="1"/>
          <w:color w:val="303ab2"/>
          <w:sz w:val="28"/>
          <w:szCs w:val="28"/>
        </w:rPr>
      </w:pPr>
      <w:bookmarkStart w:colFirst="0" w:colLast="0" w:name="_heading=h.513o0av0hu60" w:id="2"/>
      <w:bookmarkEnd w:id="2"/>
      <w:r w:rsidDel="00000000" w:rsidR="00000000" w:rsidRPr="00000000">
        <w:rPr>
          <w:rFonts w:ascii="Open Sans" w:cs="Open Sans" w:eastAsia="Open Sans" w:hAnsi="Open Sans"/>
          <w:color w:val="000000"/>
          <w:sz w:val="22"/>
          <w:szCs w:val="22"/>
          <w:rtl w:val="0"/>
        </w:rPr>
        <w:t xml:space="preserve">En cuan</w:t>
      </w:r>
      <w:r w:rsidDel="00000000" w:rsidR="00000000" w:rsidRPr="00000000">
        <w:rPr>
          <w:rFonts w:ascii="Open Sans" w:cs="Open Sans" w:eastAsia="Open Sans" w:hAnsi="Open Sans"/>
          <w:sz w:val="22"/>
          <w:szCs w:val="22"/>
          <w:rtl w:val="0"/>
        </w:rPr>
        <w:t xml:space="preserve">to a </w:t>
      </w:r>
      <w:r w:rsidDel="00000000" w:rsidR="00000000" w:rsidRPr="00000000">
        <w:rPr>
          <w:rFonts w:ascii="Open Sans" w:cs="Open Sans" w:eastAsia="Open Sans" w:hAnsi="Open Sans"/>
          <w:color w:val="000000"/>
          <w:sz w:val="22"/>
          <w:szCs w:val="22"/>
          <w:rtl w:val="0"/>
        </w:rPr>
        <w:t xml:space="preserve">las comunidades </w:t>
      </w:r>
      <w:r w:rsidDel="00000000" w:rsidR="00000000" w:rsidRPr="00000000">
        <w:rPr>
          <w:rFonts w:ascii="Open Sans" w:cs="Open Sans" w:eastAsia="Open Sans" w:hAnsi="Open Sans"/>
          <w:sz w:val="22"/>
          <w:szCs w:val="22"/>
          <w:rtl w:val="0"/>
        </w:rPr>
        <w:t xml:space="preserve">autónomas</w:t>
      </w:r>
      <w:r w:rsidDel="00000000" w:rsidR="00000000" w:rsidRPr="00000000">
        <w:rPr>
          <w:rFonts w:ascii="Open Sans" w:cs="Open Sans" w:eastAsia="Open Sans" w:hAnsi="Open Sans"/>
          <w:color w:val="000000"/>
          <w:sz w:val="22"/>
          <w:szCs w:val="22"/>
          <w:rtl w:val="0"/>
        </w:rPr>
        <w:t xml:space="preserve">, si analizamos el último año respecto al anterior, en 2024 el sueldo medio cayó en cinco </w:t>
      </w:r>
      <w:r w:rsidDel="00000000" w:rsidR="00000000" w:rsidRPr="00000000">
        <w:rPr>
          <w:rFonts w:ascii="Open Sans" w:cs="Open Sans" w:eastAsia="Open Sans" w:hAnsi="Open Sans"/>
          <w:sz w:val="22"/>
          <w:szCs w:val="22"/>
          <w:rtl w:val="0"/>
        </w:rPr>
        <w:t xml:space="preserve">de ellas </w:t>
      </w:r>
      <w:r w:rsidDel="00000000" w:rsidR="00000000" w:rsidRPr="00000000">
        <w:rPr>
          <w:rFonts w:ascii="Open Sans" w:cs="Open Sans" w:eastAsia="Open Sans" w:hAnsi="Open Sans"/>
          <w:color w:val="000000"/>
          <w:sz w:val="22"/>
          <w:szCs w:val="22"/>
          <w:rtl w:val="0"/>
        </w:rPr>
        <w:t xml:space="preserve">y el precio de la vivienda de compra subió en quince. </w:t>
      </w:r>
      <w:r w:rsidDel="00000000" w:rsidR="00000000" w:rsidRPr="00000000">
        <w:rPr>
          <w:rFonts w:ascii="Open Sans" w:cs="Open Sans" w:eastAsia="Open Sans" w:hAnsi="Open Sans"/>
          <w:sz w:val="22"/>
          <w:szCs w:val="22"/>
          <w:rtl w:val="0"/>
        </w:rPr>
        <w:t xml:space="preserve">El aumento</w:t>
      </w:r>
      <w:r w:rsidDel="00000000" w:rsidR="00000000" w:rsidRPr="00000000">
        <w:rPr>
          <w:rFonts w:ascii="Open Sans" w:cs="Open Sans" w:eastAsia="Open Sans" w:hAnsi="Open Sans"/>
          <w:color w:val="000000"/>
          <w:sz w:val="22"/>
          <w:szCs w:val="22"/>
          <w:rtl w:val="0"/>
        </w:rPr>
        <w:t xml:space="preserve"> del precio de la vivienda ha igual</w:t>
      </w:r>
      <w:r w:rsidDel="00000000" w:rsidR="00000000" w:rsidRPr="00000000">
        <w:rPr>
          <w:rFonts w:ascii="Open Sans" w:cs="Open Sans" w:eastAsia="Open Sans" w:hAnsi="Open Sans"/>
          <w:sz w:val="22"/>
          <w:szCs w:val="22"/>
          <w:rtl w:val="0"/>
        </w:rPr>
        <w:t xml:space="preserve">ado o </w:t>
      </w:r>
      <w:r w:rsidDel="00000000" w:rsidR="00000000" w:rsidRPr="00000000">
        <w:rPr>
          <w:rFonts w:ascii="Open Sans" w:cs="Open Sans" w:eastAsia="Open Sans" w:hAnsi="Open Sans"/>
          <w:color w:val="000000"/>
          <w:sz w:val="22"/>
          <w:szCs w:val="22"/>
          <w:rtl w:val="0"/>
        </w:rPr>
        <w:t xml:space="preserve">superado el 10% en siete comunidades, mientras que los aumentos de salarios ofertados han superado el 5% tan solo en dos regiones del país.</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National" w:cs="National" w:eastAsia="National" w:hAnsi="National"/>
          <w:b w:val="1"/>
          <w:color w:val="303ab2"/>
          <w:sz w:val="28"/>
          <w:szCs w:val="28"/>
        </w:rPr>
      </w:pPr>
      <w:bookmarkStart w:colFirst="0" w:colLast="0" w:name="_heading=h.yvh2tro201tu" w:id="3"/>
      <w:bookmarkEnd w:id="3"/>
      <w:r w:rsidDel="00000000" w:rsidR="00000000" w:rsidRPr="00000000">
        <w:rPr>
          <w:rFonts w:ascii="National" w:cs="National" w:eastAsia="National" w:hAnsi="National"/>
          <w:b w:val="1"/>
          <w:color w:val="303ab2"/>
          <w:sz w:val="28"/>
          <w:szCs w:val="28"/>
          <w:rtl w:val="0"/>
        </w:rPr>
        <w:t xml:space="preserve">Extremadura lidera la caída salarial mientras la Comunidad Valenciana encabeza la subida del precio de la vivienda</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bookmarkStart w:colFirst="0" w:colLast="0" w:name="_heading=h.5i5vtoj3jtt" w:id="4"/>
      <w:bookmarkEnd w:id="4"/>
      <w:r w:rsidDel="00000000" w:rsidR="00000000" w:rsidRPr="00000000">
        <w:rPr>
          <w:rFonts w:ascii="Open Sans" w:cs="Open Sans" w:eastAsia="Open Sans" w:hAnsi="Open Sans"/>
          <w:sz w:val="22"/>
          <w:szCs w:val="22"/>
          <w:rtl w:val="0"/>
        </w:rPr>
        <w:t xml:space="preserve">La</w:t>
      </w:r>
      <w:r w:rsidDel="00000000" w:rsidR="00000000" w:rsidRPr="00000000">
        <w:rPr>
          <w:rFonts w:ascii="Open Sans" w:cs="Open Sans" w:eastAsia="Open Sans" w:hAnsi="Open Sans"/>
          <w:color w:val="000000"/>
          <w:sz w:val="22"/>
          <w:szCs w:val="22"/>
          <w:rtl w:val="0"/>
        </w:rPr>
        <w:t xml:space="preserve"> comunidad más afectada por el descenso de los salarios en 2024 </w:t>
      </w:r>
      <w:r w:rsidDel="00000000" w:rsidR="00000000" w:rsidRPr="00000000">
        <w:rPr>
          <w:rFonts w:ascii="Open Sans" w:cs="Open Sans" w:eastAsia="Open Sans" w:hAnsi="Open Sans"/>
          <w:sz w:val="22"/>
          <w:szCs w:val="22"/>
          <w:rtl w:val="0"/>
        </w:rPr>
        <w:t xml:space="preserve">fue Extremadura,</w:t>
      </w:r>
      <w:r w:rsidDel="00000000" w:rsidR="00000000" w:rsidRPr="00000000">
        <w:rPr>
          <w:rFonts w:ascii="Open Sans" w:cs="Open Sans" w:eastAsia="Open Sans" w:hAnsi="Open Sans"/>
          <w:color w:val="000000"/>
          <w:sz w:val="22"/>
          <w:szCs w:val="22"/>
          <w:rtl w:val="0"/>
        </w:rPr>
        <w:t xml:space="preserve"> con una ca</w:t>
      </w:r>
      <w:r w:rsidDel="00000000" w:rsidR="00000000" w:rsidRPr="00000000">
        <w:rPr>
          <w:rFonts w:ascii="Open Sans" w:cs="Open Sans" w:eastAsia="Open Sans" w:hAnsi="Open Sans"/>
          <w:sz w:val="22"/>
          <w:szCs w:val="22"/>
          <w:rtl w:val="0"/>
        </w:rPr>
        <w:t xml:space="preserve">ída del</w:t>
      </w:r>
      <w:r w:rsidDel="00000000" w:rsidR="00000000" w:rsidRPr="00000000">
        <w:rPr>
          <w:rFonts w:ascii="Open Sans" w:cs="Open Sans" w:eastAsia="Open Sans" w:hAnsi="Open Sans"/>
          <w:color w:val="000000"/>
          <w:sz w:val="22"/>
          <w:szCs w:val="22"/>
          <w:rtl w:val="0"/>
        </w:rPr>
        <w:t xml:space="preserve"> 10,6%. Así, </w:t>
      </w:r>
      <w:r w:rsidDel="00000000" w:rsidR="00000000" w:rsidRPr="00000000">
        <w:rPr>
          <w:rFonts w:ascii="Open Sans" w:cs="Open Sans" w:eastAsia="Open Sans" w:hAnsi="Open Sans"/>
          <w:b w:val="1"/>
          <w:color w:val="000000"/>
          <w:sz w:val="22"/>
          <w:szCs w:val="22"/>
          <w:rtl w:val="0"/>
        </w:rPr>
        <w:t xml:space="preserve">los trabajadores extremeños han pasado de cobrar un salario medio de 26.844 euros/año en 2023 a 24.001 euros/año en 2024 (es decir, un 10,6% menos).</w:t>
      </w:r>
      <w:r w:rsidDel="00000000" w:rsidR="00000000" w:rsidRPr="00000000">
        <w:rPr>
          <w:rFonts w:ascii="Open Sans" w:cs="Open Sans" w:eastAsia="Open Sans" w:hAnsi="Open Sans"/>
          <w:color w:val="000000"/>
          <w:sz w:val="22"/>
          <w:szCs w:val="22"/>
          <w:rtl w:val="0"/>
        </w:rPr>
        <w:t xml:space="preserve"> A esto se añade que en </w:t>
      </w:r>
      <w:r w:rsidDel="00000000" w:rsidR="00000000" w:rsidRPr="00000000">
        <w:rPr>
          <w:rFonts w:ascii="Open Sans" w:cs="Open Sans" w:eastAsia="Open Sans" w:hAnsi="Open Sans"/>
          <w:sz w:val="22"/>
          <w:szCs w:val="22"/>
          <w:rtl w:val="0"/>
        </w:rPr>
        <w:t xml:space="preserve">Extremadura</w:t>
      </w:r>
      <w:r w:rsidDel="00000000" w:rsidR="00000000" w:rsidRPr="00000000">
        <w:rPr>
          <w:rFonts w:ascii="Open Sans" w:cs="Open Sans" w:eastAsia="Open Sans" w:hAnsi="Open Sans"/>
          <w:color w:val="000000"/>
          <w:sz w:val="22"/>
          <w:szCs w:val="22"/>
          <w:rtl w:val="0"/>
        </w:rPr>
        <w:t xml:space="preserve"> el precio de la vivienda se encareció un 3,9% respecto al año anterior: se ha pasado de pagar 1.192 euros/m</w:t>
      </w:r>
      <w:r w:rsidDel="00000000" w:rsidR="00000000" w:rsidRPr="00000000">
        <w:rPr>
          <w:rFonts w:ascii="Open Sans" w:cs="Open Sans" w:eastAsia="Open Sans" w:hAnsi="Open Sans"/>
          <w:color w:val="000000"/>
          <w:sz w:val="22"/>
          <w:szCs w:val="22"/>
          <w:vertAlign w:val="superscript"/>
          <w:rtl w:val="0"/>
        </w:rPr>
        <w:t xml:space="preserve">2</w:t>
      </w:r>
      <w:r w:rsidDel="00000000" w:rsidR="00000000" w:rsidRPr="00000000">
        <w:rPr>
          <w:rFonts w:ascii="Open Sans" w:cs="Open Sans" w:eastAsia="Open Sans" w:hAnsi="Open Sans"/>
          <w:color w:val="000000"/>
          <w:sz w:val="22"/>
          <w:szCs w:val="22"/>
          <w:rtl w:val="0"/>
        </w:rPr>
        <w:t xml:space="preserve"> en 2023 a 1.239 euros/m</w:t>
      </w:r>
      <w:r w:rsidDel="00000000" w:rsidR="00000000" w:rsidRPr="00000000">
        <w:rPr>
          <w:rFonts w:ascii="Open Sans" w:cs="Open Sans" w:eastAsia="Open Sans" w:hAnsi="Open Sans"/>
          <w:color w:val="000000"/>
          <w:sz w:val="22"/>
          <w:szCs w:val="22"/>
          <w:vertAlign w:val="superscript"/>
          <w:rtl w:val="0"/>
        </w:rPr>
        <w:t xml:space="preserve">2</w:t>
      </w:r>
      <w:r w:rsidDel="00000000" w:rsidR="00000000" w:rsidRPr="00000000">
        <w:rPr>
          <w:rFonts w:ascii="Open Sans" w:cs="Open Sans" w:eastAsia="Open Sans" w:hAnsi="Open Sans"/>
          <w:color w:val="000000"/>
          <w:sz w:val="22"/>
          <w:szCs w:val="22"/>
          <w:rtl w:val="0"/>
        </w:rPr>
        <w:t xml:space="preserve"> en 2024 (es decir, un 3,9% más).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30"/>
          <w:szCs w:val="30"/>
        </w:rPr>
      </w:pPr>
      <w:r w:rsidDel="00000000" w:rsidR="00000000" w:rsidRPr="00000000">
        <w:rPr>
          <w:rFonts w:ascii="National" w:cs="National" w:eastAsia="National" w:hAnsi="National"/>
          <w:b w:val="1"/>
          <w:color w:val="303ab2"/>
          <w:sz w:val="30"/>
          <w:szCs w:val="30"/>
          <w:rtl w:val="0"/>
        </w:rPr>
        <w:t xml:space="preserve">Variación acumulativa del salario de los últimos años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76" w:lineRule="auto"/>
        <w:ind w:right="-574"/>
        <w:jc w:val="both"/>
        <w:rPr>
          <w:rFonts w:ascii="National" w:cs="National" w:eastAsia="National" w:hAnsi="National"/>
          <w:b w:val="1"/>
          <w:color w:val="303ab2"/>
          <w:sz w:val="30"/>
          <w:szCs w:val="30"/>
        </w:rPr>
      </w:pPr>
      <w:r w:rsidDel="00000000" w:rsidR="00000000" w:rsidRPr="00000000">
        <w:rPr>
          <w:rtl w:val="0"/>
        </w:rPr>
      </w:r>
    </w:p>
    <w:tbl>
      <w:tblPr>
        <w:tblStyle w:val="Table1"/>
        <w:tblW w:w="9296.0" w:type="dxa"/>
        <w:jc w:val="left"/>
        <w:tblInd w:w="-294.0" w:type="dxa"/>
        <w:tblLayout w:type="fixed"/>
        <w:tblLook w:val="0400"/>
      </w:tblPr>
      <w:tblGrid>
        <w:gridCol w:w="1553"/>
        <w:gridCol w:w="1787"/>
        <w:gridCol w:w="1638"/>
        <w:gridCol w:w="1638"/>
        <w:gridCol w:w="1340"/>
        <w:gridCol w:w="1340"/>
        <w:tblGridChange w:id="0">
          <w:tblGrid>
            <w:gridCol w:w="1553"/>
            <w:gridCol w:w="1787"/>
            <w:gridCol w:w="1638"/>
            <w:gridCol w:w="1638"/>
            <w:gridCol w:w="1340"/>
            <w:gridCol w:w="1340"/>
          </w:tblGrid>
        </w:tblGridChange>
      </w:tblGrid>
      <w:tr>
        <w:trPr>
          <w:cantSplit w:val="0"/>
          <w:trHeight w:val="1002" w:hRule="atLeast"/>
          <w:tblHeader w:val="0"/>
        </w:trPr>
        <w:tc>
          <w:tcPr>
            <w:tcBorders>
              <w:top w:color="2e74b5" w:space="0" w:sz="8" w:val="single"/>
              <w:left w:color="2e74b5" w:space="0" w:sz="8" w:val="single"/>
              <w:bottom w:color="2e74b5" w:space="0" w:sz="8" w:val="single"/>
              <w:right w:color="2e74b5" w:space="0" w:sz="8" w:val="single"/>
            </w:tcBorders>
            <w:shd w:fill="9cc2e5" w:val="clear"/>
            <w:vAlign w:val="center"/>
          </w:tcPr>
          <w:p w:rsidR="00000000" w:rsidDel="00000000" w:rsidP="00000000" w:rsidRDefault="00000000" w:rsidRPr="00000000" w14:paraId="0000001B">
            <w:pP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CC. AA.</w:t>
            </w:r>
            <w:r w:rsidDel="00000000" w:rsidR="00000000" w:rsidRPr="00000000">
              <w:rPr>
                <w:rtl w:val="0"/>
              </w:rPr>
            </w:r>
          </w:p>
        </w:tc>
        <w:tc>
          <w:tcPr>
            <w:tcBorders>
              <w:top w:color="2e74b5" w:space="0" w:sz="8" w:val="single"/>
              <w:left w:color="000000" w:space="0" w:sz="0" w:val="nil"/>
              <w:bottom w:color="2e74b5" w:space="0" w:sz="8" w:val="single"/>
              <w:right w:color="2e74b5" w:space="0" w:sz="8" w:val="single"/>
            </w:tcBorders>
            <w:shd w:fill="9cc2e5" w:val="clear"/>
            <w:vAlign w:val="center"/>
          </w:tcPr>
          <w:p w:rsidR="00000000" w:rsidDel="00000000" w:rsidP="00000000" w:rsidRDefault="00000000" w:rsidRPr="00000000" w14:paraId="0000001C">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 Salario medio InfoJobs (€/año) 2021</w:t>
            </w:r>
            <w:r w:rsidDel="00000000" w:rsidR="00000000" w:rsidRPr="00000000">
              <w:rPr>
                <w:rtl w:val="0"/>
              </w:rPr>
            </w:r>
          </w:p>
        </w:tc>
        <w:tc>
          <w:tcPr>
            <w:tcBorders>
              <w:top w:color="2e74b5" w:space="0" w:sz="8" w:val="single"/>
              <w:left w:color="000000" w:space="0" w:sz="0" w:val="nil"/>
              <w:bottom w:color="2e74b5" w:space="0" w:sz="8" w:val="single"/>
              <w:right w:color="2e74b5" w:space="0" w:sz="8" w:val="single"/>
            </w:tcBorders>
            <w:shd w:fill="9cc2e5" w:val="clear"/>
            <w:vAlign w:val="center"/>
          </w:tcPr>
          <w:p w:rsidR="00000000" w:rsidDel="00000000" w:rsidP="00000000" w:rsidRDefault="00000000" w:rsidRPr="00000000" w14:paraId="0000001D">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 Salario medio InfoJobs (€/año) 2023</w:t>
            </w:r>
            <w:r w:rsidDel="00000000" w:rsidR="00000000" w:rsidRPr="00000000">
              <w:rPr>
                <w:rtl w:val="0"/>
              </w:rPr>
            </w:r>
          </w:p>
        </w:tc>
        <w:tc>
          <w:tcPr>
            <w:tcBorders>
              <w:top w:color="2e74b5" w:space="0" w:sz="8" w:val="single"/>
              <w:left w:color="000000" w:space="0" w:sz="0" w:val="nil"/>
              <w:bottom w:color="2e74b5" w:space="0" w:sz="8" w:val="single"/>
              <w:right w:color="2e74b5" w:space="0" w:sz="8" w:val="single"/>
            </w:tcBorders>
            <w:shd w:fill="9cc2e5" w:val="clear"/>
            <w:vAlign w:val="center"/>
          </w:tcPr>
          <w:p w:rsidR="00000000" w:rsidDel="00000000" w:rsidP="00000000" w:rsidRDefault="00000000" w:rsidRPr="00000000" w14:paraId="0000001E">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  Salario medio InfoJobs (€/año) 2024</w:t>
            </w:r>
            <w:r w:rsidDel="00000000" w:rsidR="00000000" w:rsidRPr="00000000">
              <w:rPr>
                <w:rtl w:val="0"/>
              </w:rPr>
            </w:r>
          </w:p>
        </w:tc>
        <w:tc>
          <w:tcPr>
            <w:tcBorders>
              <w:top w:color="2e74b5" w:space="0" w:sz="8" w:val="single"/>
              <w:left w:color="000000" w:space="0" w:sz="0" w:val="nil"/>
              <w:bottom w:color="2e74b5" w:space="0" w:sz="8" w:val="single"/>
              <w:right w:color="2e74b5" w:space="0" w:sz="8" w:val="single"/>
            </w:tcBorders>
            <w:shd w:fill="9cc2e5" w:val="clear"/>
            <w:vAlign w:val="center"/>
          </w:tcPr>
          <w:p w:rsidR="00000000" w:rsidDel="00000000" w:rsidP="00000000" w:rsidRDefault="00000000" w:rsidRPr="00000000" w14:paraId="0000001F">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 1 año (2024 vs. 2023)</w:t>
            </w:r>
            <w:r w:rsidDel="00000000" w:rsidR="00000000" w:rsidRPr="00000000">
              <w:rPr>
                <w:rtl w:val="0"/>
              </w:rPr>
            </w:r>
          </w:p>
        </w:tc>
        <w:tc>
          <w:tcPr>
            <w:tcBorders>
              <w:top w:color="2e74b5" w:space="0" w:sz="8" w:val="single"/>
              <w:left w:color="000000" w:space="0" w:sz="0" w:val="nil"/>
              <w:bottom w:color="2e74b5" w:space="0" w:sz="8" w:val="single"/>
              <w:right w:color="2e74b5" w:space="0" w:sz="8" w:val="single"/>
            </w:tcBorders>
            <w:shd w:fill="9cc2e5" w:val="clear"/>
            <w:vAlign w:val="center"/>
          </w:tcPr>
          <w:p w:rsidR="00000000" w:rsidDel="00000000" w:rsidP="00000000" w:rsidRDefault="00000000" w:rsidRPr="00000000" w14:paraId="00000020">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 3 años (2024 vs. 2021)</w:t>
            </w:r>
            <w:r w:rsidDel="00000000" w:rsidR="00000000" w:rsidRPr="00000000">
              <w:rPr>
                <w:rtl w:val="0"/>
              </w:rPr>
            </w:r>
          </w:p>
        </w:tc>
      </w:tr>
      <w:tr>
        <w:trPr>
          <w:cantSplit w:val="0"/>
          <w:trHeight w:val="203"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21">
            <w:pP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Andalucía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22">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25.771 €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23">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27.221 €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24">
            <w:pPr>
              <w:jc w:val="center"/>
              <w:rPr>
                <w:rFonts w:ascii="Open Sans" w:cs="Open Sans" w:eastAsia="Open Sans" w:hAnsi="Open Sans"/>
                <w:b w:val="1"/>
                <w:color w:val="000000"/>
                <w:sz w:val="20"/>
                <w:szCs w:val="20"/>
              </w:rPr>
            </w:pPr>
            <w:r w:rsidDel="00000000" w:rsidR="00000000" w:rsidRPr="00000000">
              <w:rPr>
                <w:rFonts w:ascii="Open Sans" w:cs="Open Sans" w:eastAsia="Open Sans" w:hAnsi="Open Sans"/>
                <w:color w:val="000000"/>
                <w:sz w:val="20"/>
                <w:szCs w:val="20"/>
                <w:rtl w:val="0"/>
              </w:rPr>
              <w:t xml:space="preserve">28.048 €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25">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000000"/>
                <w:sz w:val="20"/>
                <w:szCs w:val="20"/>
                <w:rtl w:val="0"/>
              </w:rPr>
              <w:t xml:space="preserve">3,0%</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26">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8,8%</w:t>
            </w:r>
            <w:r w:rsidDel="00000000" w:rsidR="00000000" w:rsidRPr="00000000">
              <w:rPr>
                <w:rtl w:val="0"/>
              </w:rPr>
            </w:r>
          </w:p>
        </w:tc>
      </w:tr>
      <w:tr>
        <w:trPr>
          <w:cantSplit w:val="0"/>
          <w:trHeight w:val="203"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27">
            <w:pP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Aragón</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28">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24.000 €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29">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25.309 €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2A">
            <w:pPr>
              <w:jc w:val="center"/>
              <w:rPr>
                <w:rFonts w:ascii="Open Sans" w:cs="Open Sans" w:eastAsia="Open Sans" w:hAnsi="Open Sans"/>
                <w:b w:val="1"/>
                <w:sz w:val="20"/>
                <w:szCs w:val="20"/>
              </w:rPr>
            </w:pPr>
            <w:r w:rsidDel="00000000" w:rsidR="00000000" w:rsidRPr="00000000">
              <w:rPr>
                <w:rFonts w:ascii="Open Sans" w:cs="Open Sans" w:eastAsia="Open Sans" w:hAnsi="Open Sans"/>
                <w:color w:val="000000"/>
                <w:sz w:val="20"/>
                <w:szCs w:val="20"/>
                <w:rtl w:val="0"/>
              </w:rPr>
              <w:t xml:space="preserve">26.171 €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2B">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000000"/>
                <w:sz w:val="20"/>
                <w:szCs w:val="20"/>
                <w:rtl w:val="0"/>
              </w:rPr>
              <w:t xml:space="preserve">3,4%</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2C">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9,0%</w:t>
            </w:r>
            <w:r w:rsidDel="00000000" w:rsidR="00000000" w:rsidRPr="00000000">
              <w:rPr>
                <w:rtl w:val="0"/>
              </w:rPr>
            </w:r>
          </w:p>
        </w:tc>
      </w:tr>
      <w:tr>
        <w:trPr>
          <w:cantSplit w:val="0"/>
          <w:trHeight w:val="203"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2D">
            <w:pP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Asturias</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2E">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24.289 €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2F">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27.857 €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30">
            <w:pPr>
              <w:jc w:val="center"/>
              <w:rPr>
                <w:rFonts w:ascii="Open Sans" w:cs="Open Sans" w:eastAsia="Open Sans" w:hAnsi="Open Sans"/>
                <w:b w:val="1"/>
                <w:sz w:val="20"/>
                <w:szCs w:val="20"/>
              </w:rPr>
            </w:pPr>
            <w:r w:rsidDel="00000000" w:rsidR="00000000" w:rsidRPr="00000000">
              <w:rPr>
                <w:rFonts w:ascii="Open Sans" w:cs="Open Sans" w:eastAsia="Open Sans" w:hAnsi="Open Sans"/>
                <w:color w:val="000000"/>
                <w:sz w:val="20"/>
                <w:szCs w:val="20"/>
                <w:rtl w:val="0"/>
              </w:rPr>
              <w:t xml:space="preserve">27.675 €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31">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9c0006"/>
                <w:sz w:val="20"/>
                <w:szCs w:val="20"/>
                <w:rtl w:val="0"/>
              </w:rPr>
              <w:t xml:space="preserve">-0,7%</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32">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13,9%</w:t>
            </w:r>
            <w:r w:rsidDel="00000000" w:rsidR="00000000" w:rsidRPr="00000000">
              <w:rPr>
                <w:rtl w:val="0"/>
              </w:rPr>
            </w:r>
          </w:p>
        </w:tc>
      </w:tr>
      <w:tr>
        <w:trPr>
          <w:cantSplit w:val="0"/>
          <w:trHeight w:val="203"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33">
            <w:pP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Baleares</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34">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25.542 €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35">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25.727 €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36">
            <w:pPr>
              <w:jc w:val="center"/>
              <w:rPr>
                <w:rFonts w:ascii="Open Sans" w:cs="Open Sans" w:eastAsia="Open Sans" w:hAnsi="Open Sans"/>
                <w:b w:val="1"/>
                <w:sz w:val="20"/>
                <w:szCs w:val="20"/>
              </w:rPr>
            </w:pPr>
            <w:r w:rsidDel="00000000" w:rsidR="00000000" w:rsidRPr="00000000">
              <w:rPr>
                <w:rFonts w:ascii="Open Sans" w:cs="Open Sans" w:eastAsia="Open Sans" w:hAnsi="Open Sans"/>
                <w:color w:val="000000"/>
                <w:sz w:val="20"/>
                <w:szCs w:val="20"/>
                <w:rtl w:val="0"/>
              </w:rPr>
              <w:t xml:space="preserve">27.327 €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37">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000000"/>
                <w:sz w:val="20"/>
                <w:szCs w:val="20"/>
                <w:rtl w:val="0"/>
              </w:rPr>
              <w:t xml:space="preserve">6,2%</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38">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7,0%</w:t>
            </w:r>
            <w:r w:rsidDel="00000000" w:rsidR="00000000" w:rsidRPr="00000000">
              <w:rPr>
                <w:rtl w:val="0"/>
              </w:rPr>
            </w:r>
          </w:p>
        </w:tc>
      </w:tr>
      <w:tr>
        <w:trPr>
          <w:cantSplit w:val="0"/>
          <w:trHeight w:val="203"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39">
            <w:pP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Canarias</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3A">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25.413 €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3B">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23.908 €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3C">
            <w:pPr>
              <w:jc w:val="center"/>
              <w:rPr>
                <w:rFonts w:ascii="Open Sans" w:cs="Open Sans" w:eastAsia="Open Sans" w:hAnsi="Open Sans"/>
                <w:b w:val="1"/>
                <w:sz w:val="20"/>
                <w:szCs w:val="20"/>
              </w:rPr>
            </w:pPr>
            <w:r w:rsidDel="00000000" w:rsidR="00000000" w:rsidRPr="00000000">
              <w:rPr>
                <w:rFonts w:ascii="Open Sans" w:cs="Open Sans" w:eastAsia="Open Sans" w:hAnsi="Open Sans"/>
                <w:color w:val="000000"/>
                <w:sz w:val="20"/>
                <w:szCs w:val="20"/>
                <w:rtl w:val="0"/>
              </w:rPr>
              <w:t xml:space="preserve">23.686 €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3D">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9c0006"/>
                <w:sz w:val="20"/>
                <w:szCs w:val="20"/>
                <w:rtl w:val="0"/>
              </w:rPr>
              <w:t xml:space="preserve">-0,9%</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3E">
            <w:pPr>
              <w:jc w:val="center"/>
              <w:rPr>
                <w:rFonts w:ascii="Open Sans" w:cs="Open Sans" w:eastAsia="Open Sans" w:hAnsi="Open Sans"/>
                <w:sz w:val="20"/>
                <w:szCs w:val="20"/>
              </w:rPr>
            </w:pPr>
            <w:r w:rsidDel="00000000" w:rsidR="00000000" w:rsidRPr="00000000">
              <w:rPr>
                <w:rFonts w:ascii="Open Sans" w:cs="Open Sans" w:eastAsia="Open Sans" w:hAnsi="Open Sans"/>
                <w:color w:val="9c0006"/>
                <w:sz w:val="20"/>
                <w:szCs w:val="20"/>
                <w:rtl w:val="0"/>
              </w:rPr>
              <w:t xml:space="preserve">-6,8%</w:t>
            </w:r>
            <w:r w:rsidDel="00000000" w:rsidR="00000000" w:rsidRPr="00000000">
              <w:rPr>
                <w:rtl w:val="0"/>
              </w:rPr>
            </w:r>
          </w:p>
        </w:tc>
      </w:tr>
      <w:tr>
        <w:trPr>
          <w:cantSplit w:val="0"/>
          <w:trHeight w:val="203"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3F">
            <w:pP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Cantabria</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40">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25.903 €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41">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26.614 €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42">
            <w:pPr>
              <w:jc w:val="center"/>
              <w:rPr>
                <w:rFonts w:ascii="Open Sans" w:cs="Open Sans" w:eastAsia="Open Sans" w:hAnsi="Open Sans"/>
                <w:b w:val="1"/>
                <w:sz w:val="20"/>
                <w:szCs w:val="20"/>
              </w:rPr>
            </w:pPr>
            <w:r w:rsidDel="00000000" w:rsidR="00000000" w:rsidRPr="00000000">
              <w:rPr>
                <w:rFonts w:ascii="Open Sans" w:cs="Open Sans" w:eastAsia="Open Sans" w:hAnsi="Open Sans"/>
                <w:color w:val="000000"/>
                <w:sz w:val="20"/>
                <w:szCs w:val="20"/>
                <w:rtl w:val="0"/>
              </w:rPr>
              <w:t xml:space="preserve">26.213 €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43">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9c0006"/>
                <w:sz w:val="20"/>
                <w:szCs w:val="20"/>
                <w:rtl w:val="0"/>
              </w:rPr>
              <w:t xml:space="preserve">-1,5%</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44">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1,2%</w:t>
            </w:r>
            <w:r w:rsidDel="00000000" w:rsidR="00000000" w:rsidRPr="00000000">
              <w:rPr>
                <w:rtl w:val="0"/>
              </w:rPr>
            </w:r>
          </w:p>
        </w:tc>
      </w:tr>
      <w:tr>
        <w:trPr>
          <w:cantSplit w:val="0"/>
          <w:trHeight w:val="203"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45">
            <w:pP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Castilla y León</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46">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23.613 €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47">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24.305 €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48">
            <w:pPr>
              <w:jc w:val="center"/>
              <w:rPr>
                <w:rFonts w:ascii="Open Sans" w:cs="Open Sans" w:eastAsia="Open Sans" w:hAnsi="Open Sans"/>
                <w:b w:val="1"/>
                <w:sz w:val="20"/>
                <w:szCs w:val="20"/>
              </w:rPr>
            </w:pPr>
            <w:r w:rsidDel="00000000" w:rsidR="00000000" w:rsidRPr="00000000">
              <w:rPr>
                <w:rFonts w:ascii="Open Sans" w:cs="Open Sans" w:eastAsia="Open Sans" w:hAnsi="Open Sans"/>
                <w:color w:val="000000"/>
                <w:sz w:val="20"/>
                <w:szCs w:val="20"/>
                <w:rtl w:val="0"/>
              </w:rPr>
              <w:t xml:space="preserve">25.132 €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49">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000000"/>
                <w:sz w:val="20"/>
                <w:szCs w:val="20"/>
                <w:rtl w:val="0"/>
              </w:rPr>
              <w:t xml:space="preserve">3,4%</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4A">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6,4%</w:t>
            </w:r>
            <w:r w:rsidDel="00000000" w:rsidR="00000000" w:rsidRPr="00000000">
              <w:rPr>
                <w:rtl w:val="0"/>
              </w:rPr>
            </w:r>
          </w:p>
        </w:tc>
      </w:tr>
      <w:tr>
        <w:trPr>
          <w:cantSplit w:val="0"/>
          <w:trHeight w:val="203"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4B">
            <w:pP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Castilla-La Mancha</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4C">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22.010 €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4D">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23.785 €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4E">
            <w:pPr>
              <w:jc w:val="center"/>
              <w:rPr>
                <w:rFonts w:ascii="Open Sans" w:cs="Open Sans" w:eastAsia="Open Sans" w:hAnsi="Open Sans"/>
                <w:b w:val="1"/>
                <w:sz w:val="20"/>
                <w:szCs w:val="20"/>
              </w:rPr>
            </w:pPr>
            <w:r w:rsidDel="00000000" w:rsidR="00000000" w:rsidRPr="00000000">
              <w:rPr>
                <w:rFonts w:ascii="Open Sans" w:cs="Open Sans" w:eastAsia="Open Sans" w:hAnsi="Open Sans"/>
                <w:color w:val="000000"/>
                <w:sz w:val="20"/>
                <w:szCs w:val="20"/>
                <w:rtl w:val="0"/>
              </w:rPr>
              <w:t xml:space="preserve">24.219 €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4F">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000000"/>
                <w:sz w:val="20"/>
                <w:szCs w:val="20"/>
                <w:rtl w:val="0"/>
              </w:rPr>
              <w:t xml:space="preserve">1,8%</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50">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10,0%</w:t>
            </w:r>
            <w:r w:rsidDel="00000000" w:rsidR="00000000" w:rsidRPr="00000000">
              <w:rPr>
                <w:rtl w:val="0"/>
              </w:rPr>
            </w:r>
          </w:p>
        </w:tc>
      </w:tr>
      <w:tr>
        <w:trPr>
          <w:cantSplit w:val="0"/>
          <w:trHeight w:val="203"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51">
            <w:pP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Cataluña</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52">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25.159 €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53">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26.263 €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54">
            <w:pPr>
              <w:jc w:val="center"/>
              <w:rPr>
                <w:rFonts w:ascii="Open Sans" w:cs="Open Sans" w:eastAsia="Open Sans" w:hAnsi="Open Sans"/>
                <w:b w:val="1"/>
                <w:sz w:val="20"/>
                <w:szCs w:val="20"/>
              </w:rPr>
            </w:pPr>
            <w:r w:rsidDel="00000000" w:rsidR="00000000" w:rsidRPr="00000000">
              <w:rPr>
                <w:rFonts w:ascii="Open Sans" w:cs="Open Sans" w:eastAsia="Open Sans" w:hAnsi="Open Sans"/>
                <w:color w:val="000000"/>
                <w:sz w:val="20"/>
                <w:szCs w:val="20"/>
                <w:rtl w:val="0"/>
              </w:rPr>
              <w:t xml:space="preserve">26.951 €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55">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000000"/>
                <w:sz w:val="20"/>
                <w:szCs w:val="20"/>
                <w:rtl w:val="0"/>
              </w:rPr>
              <w:t xml:space="preserve">2,6%</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56">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7,1%</w:t>
            </w:r>
            <w:r w:rsidDel="00000000" w:rsidR="00000000" w:rsidRPr="00000000">
              <w:rPr>
                <w:rtl w:val="0"/>
              </w:rPr>
            </w:r>
          </w:p>
        </w:tc>
      </w:tr>
      <w:tr>
        <w:trPr>
          <w:cantSplit w:val="0"/>
          <w:trHeight w:val="235"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57">
            <w:pP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Comunidad Valenciana</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58">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25.102 €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59">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25.540 €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5A">
            <w:pPr>
              <w:jc w:val="center"/>
              <w:rPr>
                <w:rFonts w:ascii="Open Sans" w:cs="Open Sans" w:eastAsia="Open Sans" w:hAnsi="Open Sans"/>
                <w:b w:val="1"/>
                <w:sz w:val="20"/>
                <w:szCs w:val="20"/>
              </w:rPr>
            </w:pPr>
            <w:r w:rsidDel="00000000" w:rsidR="00000000" w:rsidRPr="00000000">
              <w:rPr>
                <w:rFonts w:ascii="Open Sans" w:cs="Open Sans" w:eastAsia="Open Sans" w:hAnsi="Open Sans"/>
                <w:color w:val="000000"/>
                <w:sz w:val="20"/>
                <w:szCs w:val="20"/>
                <w:rtl w:val="0"/>
              </w:rPr>
              <w:t xml:space="preserve">26.190 €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5B">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000000"/>
                <w:sz w:val="20"/>
                <w:szCs w:val="20"/>
                <w:rtl w:val="0"/>
              </w:rPr>
              <w:t xml:space="preserve">2,5%</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5C">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4,3%</w:t>
            </w:r>
            <w:r w:rsidDel="00000000" w:rsidR="00000000" w:rsidRPr="00000000">
              <w:rPr>
                <w:rtl w:val="0"/>
              </w:rPr>
            </w:r>
          </w:p>
        </w:tc>
      </w:tr>
      <w:tr>
        <w:trPr>
          <w:cantSplit w:val="0"/>
          <w:trHeight w:val="203"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05D">
            <w:pPr>
              <w:rPr>
                <w:rFonts w:ascii="Open Sans" w:cs="Open Sans" w:eastAsia="Open Sans" w:hAnsi="Open Sans"/>
                <w:b w:val="1"/>
                <w:sz w:val="20"/>
                <w:szCs w:val="20"/>
              </w:rPr>
            </w:pPr>
            <w:r w:rsidDel="00000000" w:rsidR="00000000" w:rsidRPr="00000000">
              <w:rPr>
                <w:rFonts w:ascii="Open Sans" w:cs="Open Sans" w:eastAsia="Open Sans" w:hAnsi="Open Sans"/>
                <w:color w:val="000000"/>
                <w:sz w:val="20"/>
                <w:szCs w:val="20"/>
                <w:rtl w:val="0"/>
              </w:rPr>
              <w:t xml:space="preserve">Extremadura</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5E">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23.999 €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5F">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26.844 €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60">
            <w:pPr>
              <w:jc w:val="center"/>
              <w:rPr>
                <w:rFonts w:ascii="Open Sans" w:cs="Open Sans" w:eastAsia="Open Sans" w:hAnsi="Open Sans"/>
                <w:b w:val="1"/>
                <w:sz w:val="20"/>
                <w:szCs w:val="20"/>
              </w:rPr>
            </w:pPr>
            <w:r w:rsidDel="00000000" w:rsidR="00000000" w:rsidRPr="00000000">
              <w:rPr>
                <w:rFonts w:ascii="Open Sans" w:cs="Open Sans" w:eastAsia="Open Sans" w:hAnsi="Open Sans"/>
                <w:color w:val="000000"/>
                <w:sz w:val="20"/>
                <w:szCs w:val="20"/>
                <w:rtl w:val="0"/>
              </w:rPr>
              <w:t xml:space="preserve">24.001 €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61">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9c0006"/>
                <w:sz w:val="20"/>
                <w:szCs w:val="20"/>
                <w:rtl w:val="0"/>
              </w:rPr>
              <w:t xml:space="preserve">-10,6%</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62">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0,0%</w:t>
            </w:r>
            <w:r w:rsidDel="00000000" w:rsidR="00000000" w:rsidRPr="00000000">
              <w:rPr>
                <w:rtl w:val="0"/>
              </w:rPr>
            </w:r>
          </w:p>
        </w:tc>
      </w:tr>
      <w:tr>
        <w:trPr>
          <w:cantSplit w:val="0"/>
          <w:trHeight w:val="203"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63">
            <w:pP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Galicia</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64">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23.227 €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65">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25.069 €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66">
            <w:pPr>
              <w:jc w:val="center"/>
              <w:rPr>
                <w:rFonts w:ascii="Open Sans" w:cs="Open Sans" w:eastAsia="Open Sans" w:hAnsi="Open Sans"/>
                <w:b w:val="1"/>
                <w:sz w:val="20"/>
                <w:szCs w:val="20"/>
              </w:rPr>
            </w:pPr>
            <w:r w:rsidDel="00000000" w:rsidR="00000000" w:rsidRPr="00000000">
              <w:rPr>
                <w:rFonts w:ascii="Open Sans" w:cs="Open Sans" w:eastAsia="Open Sans" w:hAnsi="Open Sans"/>
                <w:color w:val="000000"/>
                <w:sz w:val="20"/>
                <w:szCs w:val="20"/>
                <w:rtl w:val="0"/>
              </w:rPr>
              <w:t xml:space="preserve">25.299 €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67">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000000"/>
                <w:sz w:val="20"/>
                <w:szCs w:val="20"/>
                <w:rtl w:val="0"/>
              </w:rPr>
              <w:t xml:space="preserve">0,9%</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68">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8,9%</w:t>
            </w:r>
            <w:r w:rsidDel="00000000" w:rsidR="00000000" w:rsidRPr="00000000">
              <w:rPr>
                <w:rtl w:val="0"/>
              </w:rPr>
            </w:r>
          </w:p>
        </w:tc>
      </w:tr>
      <w:tr>
        <w:trPr>
          <w:cantSplit w:val="0"/>
          <w:trHeight w:val="203"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69">
            <w:pP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La Rioja</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6A">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24.961 €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6B">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25.939 €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6C">
            <w:pPr>
              <w:jc w:val="center"/>
              <w:rPr>
                <w:rFonts w:ascii="Open Sans" w:cs="Open Sans" w:eastAsia="Open Sans" w:hAnsi="Open Sans"/>
                <w:b w:val="1"/>
                <w:sz w:val="20"/>
                <w:szCs w:val="20"/>
              </w:rPr>
            </w:pPr>
            <w:r w:rsidDel="00000000" w:rsidR="00000000" w:rsidRPr="00000000">
              <w:rPr>
                <w:rFonts w:ascii="Open Sans" w:cs="Open Sans" w:eastAsia="Open Sans" w:hAnsi="Open Sans"/>
                <w:color w:val="000000"/>
                <w:sz w:val="20"/>
                <w:szCs w:val="20"/>
                <w:rtl w:val="0"/>
              </w:rPr>
              <w:t xml:space="preserve">25.656 €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6D">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9c0006"/>
                <w:sz w:val="20"/>
                <w:szCs w:val="20"/>
                <w:rtl w:val="0"/>
              </w:rPr>
              <w:t xml:space="preserve">-1,1%</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6E">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2,8%</w:t>
            </w:r>
            <w:r w:rsidDel="00000000" w:rsidR="00000000" w:rsidRPr="00000000">
              <w:rPr>
                <w:rtl w:val="0"/>
              </w:rPr>
            </w:r>
          </w:p>
        </w:tc>
      </w:tr>
      <w:tr>
        <w:trPr>
          <w:cantSplit w:val="0"/>
          <w:trHeight w:val="203"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6F">
            <w:pP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Madrid</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70">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26.012 €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71">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26.836 €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72">
            <w:pPr>
              <w:jc w:val="center"/>
              <w:rPr>
                <w:rFonts w:ascii="Open Sans" w:cs="Open Sans" w:eastAsia="Open Sans" w:hAnsi="Open Sans"/>
                <w:b w:val="1"/>
                <w:sz w:val="20"/>
                <w:szCs w:val="20"/>
              </w:rPr>
            </w:pPr>
            <w:r w:rsidDel="00000000" w:rsidR="00000000" w:rsidRPr="00000000">
              <w:rPr>
                <w:rFonts w:ascii="Open Sans" w:cs="Open Sans" w:eastAsia="Open Sans" w:hAnsi="Open Sans"/>
                <w:color w:val="000000"/>
                <w:sz w:val="20"/>
                <w:szCs w:val="20"/>
                <w:rtl w:val="0"/>
              </w:rPr>
              <w:t xml:space="preserve">28.075 €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73">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000000"/>
                <w:sz w:val="20"/>
                <w:szCs w:val="20"/>
                <w:rtl w:val="0"/>
              </w:rPr>
              <w:t xml:space="preserve">4,6%</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74">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7,9%</w:t>
            </w:r>
            <w:r w:rsidDel="00000000" w:rsidR="00000000" w:rsidRPr="00000000">
              <w:rPr>
                <w:rtl w:val="0"/>
              </w:rPr>
            </w:r>
          </w:p>
        </w:tc>
      </w:tr>
      <w:tr>
        <w:trPr>
          <w:cantSplit w:val="0"/>
          <w:trHeight w:val="203"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75">
            <w:pP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Navarra</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76">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25.211 €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77">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26.471 €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78">
            <w:pPr>
              <w:jc w:val="center"/>
              <w:rPr>
                <w:rFonts w:ascii="Open Sans" w:cs="Open Sans" w:eastAsia="Open Sans" w:hAnsi="Open Sans"/>
                <w:b w:val="1"/>
                <w:sz w:val="20"/>
                <w:szCs w:val="20"/>
              </w:rPr>
            </w:pPr>
            <w:r w:rsidDel="00000000" w:rsidR="00000000" w:rsidRPr="00000000">
              <w:rPr>
                <w:rFonts w:ascii="Open Sans" w:cs="Open Sans" w:eastAsia="Open Sans" w:hAnsi="Open Sans"/>
                <w:color w:val="000000"/>
                <w:sz w:val="20"/>
                <w:szCs w:val="20"/>
                <w:rtl w:val="0"/>
              </w:rPr>
              <w:t xml:space="preserve">28.346 €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79">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000000"/>
                <w:sz w:val="20"/>
                <w:szCs w:val="20"/>
                <w:rtl w:val="0"/>
              </w:rPr>
              <w:t xml:space="preserve">7,1%</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7A">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12,4%</w:t>
            </w:r>
            <w:r w:rsidDel="00000000" w:rsidR="00000000" w:rsidRPr="00000000">
              <w:rPr>
                <w:rtl w:val="0"/>
              </w:rPr>
            </w:r>
          </w:p>
        </w:tc>
      </w:tr>
      <w:tr>
        <w:trPr>
          <w:cantSplit w:val="0"/>
          <w:trHeight w:val="203"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7B">
            <w:pP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País Vasco</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7C">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26.683 €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7D">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27.431 €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7E">
            <w:pPr>
              <w:jc w:val="center"/>
              <w:rPr>
                <w:rFonts w:ascii="Open Sans" w:cs="Open Sans" w:eastAsia="Open Sans" w:hAnsi="Open Sans"/>
                <w:b w:val="1"/>
                <w:sz w:val="20"/>
                <w:szCs w:val="20"/>
              </w:rPr>
            </w:pPr>
            <w:r w:rsidDel="00000000" w:rsidR="00000000" w:rsidRPr="00000000">
              <w:rPr>
                <w:rFonts w:ascii="Open Sans" w:cs="Open Sans" w:eastAsia="Open Sans" w:hAnsi="Open Sans"/>
                <w:color w:val="000000"/>
                <w:sz w:val="20"/>
                <w:szCs w:val="20"/>
                <w:rtl w:val="0"/>
              </w:rPr>
              <w:t xml:space="preserve">28.402 €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7F">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000000"/>
                <w:sz w:val="20"/>
                <w:szCs w:val="20"/>
                <w:rtl w:val="0"/>
              </w:rPr>
              <w:t xml:space="preserve">3,5%</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80">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6,4%</w:t>
            </w:r>
            <w:r w:rsidDel="00000000" w:rsidR="00000000" w:rsidRPr="00000000">
              <w:rPr>
                <w:rtl w:val="0"/>
              </w:rPr>
            </w:r>
          </w:p>
        </w:tc>
      </w:tr>
      <w:tr>
        <w:trPr>
          <w:cantSplit w:val="0"/>
          <w:trHeight w:val="235"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81">
            <w:pP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Región de Murcia</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82">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23.200 €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83">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26.077 €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84">
            <w:pPr>
              <w:jc w:val="center"/>
              <w:rPr>
                <w:rFonts w:ascii="Open Sans" w:cs="Open Sans" w:eastAsia="Open Sans" w:hAnsi="Open Sans"/>
                <w:b w:val="1"/>
                <w:sz w:val="20"/>
                <w:szCs w:val="20"/>
              </w:rPr>
            </w:pPr>
            <w:r w:rsidDel="00000000" w:rsidR="00000000" w:rsidRPr="00000000">
              <w:rPr>
                <w:rFonts w:ascii="Open Sans" w:cs="Open Sans" w:eastAsia="Open Sans" w:hAnsi="Open Sans"/>
                <w:color w:val="000000"/>
                <w:sz w:val="20"/>
                <w:szCs w:val="20"/>
                <w:rtl w:val="0"/>
              </w:rPr>
              <w:t xml:space="preserve">27.175 €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85">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000000"/>
                <w:sz w:val="20"/>
                <w:szCs w:val="20"/>
                <w:rtl w:val="0"/>
              </w:rPr>
              <w:t xml:space="preserve">4,2%</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86">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17,1%</w:t>
            </w:r>
            <w:r w:rsidDel="00000000" w:rsidR="00000000" w:rsidRPr="00000000">
              <w:rPr>
                <w:rtl w:val="0"/>
              </w:rPr>
            </w:r>
          </w:p>
        </w:tc>
      </w:tr>
      <w:tr>
        <w:trPr>
          <w:cantSplit w:val="0"/>
          <w:trHeight w:val="203"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87">
            <w:pPr>
              <w:rPr>
                <w:rFonts w:ascii="Open Sans" w:cs="Open Sans" w:eastAsia="Open Sans" w:hAnsi="Open Sans"/>
                <w:b w:val="1"/>
                <w:sz w:val="20"/>
                <w:szCs w:val="20"/>
              </w:rPr>
            </w:pPr>
            <w:r w:rsidDel="00000000" w:rsidR="00000000" w:rsidRPr="00000000">
              <w:rPr>
                <w:rFonts w:ascii="Open Sans" w:cs="Open Sans" w:eastAsia="Open Sans" w:hAnsi="Open Sans"/>
                <w:color w:val="000000"/>
                <w:sz w:val="20"/>
                <w:szCs w:val="20"/>
                <w:rtl w:val="0"/>
              </w:rPr>
              <w:t xml:space="preserve">España</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9cc3e5" w:val="clear"/>
            <w:vAlign w:val="bottom"/>
          </w:tcPr>
          <w:p w:rsidR="00000000" w:rsidDel="00000000" w:rsidP="00000000" w:rsidRDefault="00000000" w:rsidRPr="00000000" w14:paraId="00000088">
            <w:pPr>
              <w:jc w:val="center"/>
              <w:rPr>
                <w:rFonts w:ascii="Open Sans" w:cs="Open Sans" w:eastAsia="Open Sans" w:hAnsi="Open Sans"/>
                <w:b w:val="1"/>
                <w:sz w:val="20"/>
                <w:szCs w:val="20"/>
              </w:rPr>
            </w:pPr>
            <w:r w:rsidDel="00000000" w:rsidR="00000000" w:rsidRPr="00000000">
              <w:rPr>
                <w:rFonts w:ascii="Open Sans" w:cs="Open Sans" w:eastAsia="Open Sans" w:hAnsi="Open Sans"/>
                <w:color w:val="000000"/>
                <w:sz w:val="20"/>
                <w:szCs w:val="20"/>
                <w:rtl w:val="0"/>
              </w:rPr>
              <w:t xml:space="preserve">25.193 €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9cc3e5" w:val="clear"/>
            <w:vAlign w:val="bottom"/>
          </w:tcPr>
          <w:p w:rsidR="00000000" w:rsidDel="00000000" w:rsidP="00000000" w:rsidRDefault="00000000" w:rsidRPr="00000000" w14:paraId="00000089">
            <w:pPr>
              <w:jc w:val="center"/>
              <w:rPr>
                <w:rFonts w:ascii="Open Sans" w:cs="Open Sans" w:eastAsia="Open Sans" w:hAnsi="Open Sans"/>
                <w:b w:val="1"/>
                <w:sz w:val="20"/>
                <w:szCs w:val="20"/>
              </w:rPr>
            </w:pPr>
            <w:r w:rsidDel="00000000" w:rsidR="00000000" w:rsidRPr="00000000">
              <w:rPr>
                <w:rFonts w:ascii="Open Sans" w:cs="Open Sans" w:eastAsia="Open Sans" w:hAnsi="Open Sans"/>
                <w:color w:val="000000"/>
                <w:sz w:val="20"/>
                <w:szCs w:val="20"/>
                <w:rtl w:val="0"/>
              </w:rPr>
              <w:t xml:space="preserve">26.245 €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9cc3e5" w:val="clear"/>
            <w:vAlign w:val="bottom"/>
          </w:tcPr>
          <w:p w:rsidR="00000000" w:rsidDel="00000000" w:rsidP="00000000" w:rsidRDefault="00000000" w:rsidRPr="00000000" w14:paraId="0000008A">
            <w:pPr>
              <w:jc w:val="center"/>
              <w:rPr>
                <w:rFonts w:ascii="Open Sans" w:cs="Open Sans" w:eastAsia="Open Sans" w:hAnsi="Open Sans"/>
                <w:b w:val="1"/>
                <w:sz w:val="20"/>
                <w:szCs w:val="20"/>
              </w:rPr>
            </w:pPr>
            <w:r w:rsidDel="00000000" w:rsidR="00000000" w:rsidRPr="00000000">
              <w:rPr>
                <w:rFonts w:ascii="Open Sans" w:cs="Open Sans" w:eastAsia="Open Sans" w:hAnsi="Open Sans"/>
                <w:color w:val="000000"/>
                <w:sz w:val="20"/>
                <w:szCs w:val="20"/>
                <w:rtl w:val="0"/>
              </w:rPr>
              <w:t xml:space="preserve">27.060 €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9cc3e5" w:val="clear"/>
            <w:vAlign w:val="bottom"/>
          </w:tcPr>
          <w:p w:rsidR="00000000" w:rsidDel="00000000" w:rsidP="00000000" w:rsidRDefault="00000000" w:rsidRPr="00000000" w14:paraId="0000008B">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000000"/>
                <w:sz w:val="20"/>
                <w:szCs w:val="20"/>
                <w:rtl w:val="0"/>
              </w:rPr>
              <w:t xml:space="preserve">3,1%</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9cc3e5" w:val="clear"/>
            <w:vAlign w:val="bottom"/>
          </w:tcPr>
          <w:p w:rsidR="00000000" w:rsidDel="00000000" w:rsidP="00000000" w:rsidRDefault="00000000" w:rsidRPr="00000000" w14:paraId="0000008C">
            <w:pPr>
              <w:jc w:val="center"/>
              <w:rPr>
                <w:rFonts w:ascii="Open Sans" w:cs="Open Sans" w:eastAsia="Open Sans" w:hAnsi="Open Sans"/>
                <w:b w:val="1"/>
                <w:sz w:val="20"/>
                <w:szCs w:val="20"/>
              </w:rPr>
            </w:pPr>
            <w:r w:rsidDel="00000000" w:rsidR="00000000" w:rsidRPr="00000000">
              <w:rPr>
                <w:rFonts w:ascii="Open Sans" w:cs="Open Sans" w:eastAsia="Open Sans" w:hAnsi="Open Sans"/>
                <w:color w:val="000000"/>
                <w:sz w:val="20"/>
                <w:szCs w:val="20"/>
                <w:rtl w:val="0"/>
              </w:rPr>
              <w:t xml:space="preserve">7,4%</w:t>
            </w:r>
            <w:r w:rsidDel="00000000" w:rsidR="00000000" w:rsidRPr="00000000">
              <w:rPr>
                <w:rtl w:val="0"/>
              </w:rPr>
            </w:r>
          </w:p>
        </w:tc>
      </w:tr>
    </w:tbl>
    <w:p w:rsidR="00000000" w:rsidDel="00000000" w:rsidP="00000000" w:rsidRDefault="00000000" w:rsidRPr="00000000" w14:paraId="0000008D">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bookmarkStart w:colFirst="0" w:colLast="0" w:name="_heading=h.ru4owh4rwbyi" w:id="5"/>
      <w:bookmarkEnd w:id="5"/>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bookmarkStart w:colFirst="0" w:colLast="0" w:name="_heading=h.anxdwhmq2fv" w:id="6"/>
      <w:bookmarkEnd w:id="6"/>
      <w:r w:rsidDel="00000000" w:rsidR="00000000" w:rsidRPr="00000000">
        <w:rPr>
          <w:rFonts w:ascii="Open Sans" w:cs="Open Sans" w:eastAsia="Open Sans" w:hAnsi="Open Sans"/>
          <w:color w:val="000000"/>
          <w:sz w:val="22"/>
          <w:szCs w:val="22"/>
          <w:rtl w:val="0"/>
        </w:rPr>
        <w:t xml:space="preserve">Por otro lado, </w:t>
      </w:r>
      <w:r w:rsidDel="00000000" w:rsidR="00000000" w:rsidRPr="00000000">
        <w:rPr>
          <w:rFonts w:ascii="Open Sans" w:cs="Open Sans" w:eastAsia="Open Sans" w:hAnsi="Open Sans"/>
          <w:b w:val="1"/>
          <w:color w:val="000000"/>
          <w:sz w:val="22"/>
          <w:szCs w:val="22"/>
          <w:rtl w:val="0"/>
        </w:rPr>
        <w:t xml:space="preserve">la región en la que se ha encarecido más el precio de la vivienda en venta en el último año es la Comunidad Valenciana con un 19,8%. </w:t>
      </w:r>
      <w:r w:rsidDel="00000000" w:rsidR="00000000" w:rsidRPr="00000000">
        <w:rPr>
          <w:rFonts w:ascii="Open Sans" w:cs="Open Sans" w:eastAsia="Open Sans" w:hAnsi="Open Sans"/>
          <w:color w:val="000000"/>
          <w:sz w:val="22"/>
          <w:szCs w:val="22"/>
          <w:rtl w:val="0"/>
        </w:rPr>
        <w:t xml:space="preserve">Así, si nos centramos en los datos del último año, vemos que los valencianos han pasado de pagar 1.758 euros/m</w:t>
      </w:r>
      <w:r w:rsidDel="00000000" w:rsidR="00000000" w:rsidRPr="00000000">
        <w:rPr>
          <w:rFonts w:ascii="Open Sans" w:cs="Open Sans" w:eastAsia="Open Sans" w:hAnsi="Open Sans"/>
          <w:color w:val="000000"/>
          <w:sz w:val="22"/>
          <w:szCs w:val="22"/>
          <w:vertAlign w:val="superscript"/>
          <w:rtl w:val="0"/>
        </w:rPr>
        <w:t xml:space="preserve">2</w:t>
      </w:r>
      <w:r w:rsidDel="00000000" w:rsidR="00000000" w:rsidRPr="00000000">
        <w:rPr>
          <w:rFonts w:ascii="Open Sans" w:cs="Open Sans" w:eastAsia="Open Sans" w:hAnsi="Open Sans"/>
          <w:color w:val="000000"/>
          <w:sz w:val="22"/>
          <w:szCs w:val="22"/>
          <w:rtl w:val="0"/>
        </w:rPr>
        <w:t xml:space="preserve"> en 2023 a pagar 2.106 euros en 2024 por el metro cuadrado de una vivienda en venta (es decir, un 19,8% más). A esto se añade que los salarios medios de la Comunidad Valenciana </w:t>
      </w:r>
      <w:r w:rsidDel="00000000" w:rsidR="00000000" w:rsidRPr="00000000">
        <w:rPr>
          <w:rFonts w:ascii="Open Sans" w:cs="Open Sans" w:eastAsia="Open Sans" w:hAnsi="Open Sans"/>
          <w:sz w:val="22"/>
          <w:szCs w:val="22"/>
          <w:rtl w:val="0"/>
        </w:rPr>
        <w:t xml:space="preserve">apenas han subido en el último año un 2,5%</w:t>
      </w:r>
      <w:r w:rsidDel="00000000" w:rsidR="00000000" w:rsidRPr="00000000">
        <w:rPr>
          <w:rFonts w:ascii="Open Sans" w:cs="Open Sans" w:eastAsia="Open Sans" w:hAnsi="Open Sans"/>
          <w:color w:val="000000"/>
          <w:sz w:val="22"/>
          <w:szCs w:val="22"/>
          <w:rtl w:val="0"/>
        </w:rPr>
        <w:t xml:space="preserve"> (han pasado de los 25.540 euros/año en 2023 a los 26.190 euros/año en 2024).</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30"/>
          <w:szCs w:val="30"/>
        </w:rPr>
      </w:pPr>
      <w:bookmarkStart w:colFirst="0" w:colLast="0" w:name="_heading=h.9sbmsxzg68jy" w:id="7"/>
      <w:bookmarkEnd w:id="7"/>
      <w:r w:rsidDel="00000000" w:rsidR="00000000" w:rsidRPr="00000000">
        <w:rPr>
          <w:rFonts w:ascii="National" w:cs="National" w:eastAsia="National" w:hAnsi="National"/>
          <w:b w:val="1"/>
          <w:color w:val="303ab2"/>
          <w:sz w:val="30"/>
          <w:szCs w:val="30"/>
          <w:rtl w:val="0"/>
        </w:rPr>
        <w:t xml:space="preserve">Variación acumulativa del precio de la vivienda de los últimos años </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30"/>
          <w:szCs w:val="30"/>
        </w:rPr>
      </w:pPr>
      <w:r w:rsidDel="00000000" w:rsidR="00000000" w:rsidRPr="00000000">
        <w:rPr>
          <w:rtl w:val="0"/>
        </w:rPr>
      </w:r>
    </w:p>
    <w:tbl>
      <w:tblPr>
        <w:tblStyle w:val="Table2"/>
        <w:tblW w:w="9356.0" w:type="dxa"/>
        <w:jc w:val="left"/>
        <w:tblInd w:w="-294.0" w:type="dxa"/>
        <w:tblLayout w:type="fixed"/>
        <w:tblLook w:val="0400"/>
      </w:tblPr>
      <w:tblGrid>
        <w:gridCol w:w="1985"/>
        <w:gridCol w:w="1560"/>
        <w:gridCol w:w="1559"/>
        <w:gridCol w:w="1549"/>
        <w:gridCol w:w="1428"/>
        <w:gridCol w:w="1275"/>
        <w:tblGridChange w:id="0">
          <w:tblGrid>
            <w:gridCol w:w="1985"/>
            <w:gridCol w:w="1560"/>
            <w:gridCol w:w="1559"/>
            <w:gridCol w:w="1549"/>
            <w:gridCol w:w="1428"/>
            <w:gridCol w:w="1275"/>
          </w:tblGrid>
        </w:tblGridChange>
      </w:tblGrid>
      <w:tr>
        <w:trPr>
          <w:cantSplit w:val="0"/>
          <w:trHeight w:val="988" w:hRule="atLeast"/>
          <w:tblHeader w:val="0"/>
        </w:trPr>
        <w:tc>
          <w:tcPr>
            <w:tcBorders>
              <w:top w:color="2e74b5" w:space="0" w:sz="8" w:val="single"/>
              <w:left w:color="2e74b5" w:space="0" w:sz="8" w:val="single"/>
              <w:bottom w:color="2e74b5" w:space="0" w:sz="8" w:val="single"/>
              <w:right w:color="2e74b5" w:space="0" w:sz="8" w:val="single"/>
            </w:tcBorders>
            <w:shd w:fill="9cc2e5" w:val="clear"/>
            <w:vAlign w:val="center"/>
          </w:tcPr>
          <w:p w:rsidR="00000000" w:rsidDel="00000000" w:rsidP="00000000" w:rsidRDefault="00000000" w:rsidRPr="00000000" w14:paraId="00000092">
            <w:pP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CC. AA.</w:t>
            </w:r>
            <w:r w:rsidDel="00000000" w:rsidR="00000000" w:rsidRPr="00000000">
              <w:rPr>
                <w:rtl w:val="0"/>
              </w:rPr>
            </w:r>
          </w:p>
        </w:tc>
        <w:tc>
          <w:tcPr>
            <w:tcBorders>
              <w:top w:color="2e74b5" w:space="0" w:sz="8" w:val="single"/>
              <w:left w:color="000000" w:space="0" w:sz="0" w:val="nil"/>
              <w:bottom w:color="2e74b5" w:space="0" w:sz="8" w:val="single"/>
              <w:right w:color="2e74b5" w:space="0" w:sz="8" w:val="single"/>
            </w:tcBorders>
            <w:shd w:fill="9cc2e5" w:val="clear"/>
            <w:vAlign w:val="center"/>
          </w:tcPr>
          <w:p w:rsidR="00000000" w:rsidDel="00000000" w:rsidP="00000000" w:rsidRDefault="00000000" w:rsidRPr="00000000" w14:paraId="00000093">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  Precio medio vivienda (€/m</w:t>
            </w:r>
            <w:r w:rsidDel="00000000" w:rsidR="00000000" w:rsidRPr="00000000">
              <w:rPr>
                <w:rFonts w:ascii="Open Sans" w:cs="Open Sans" w:eastAsia="Open Sans" w:hAnsi="Open Sans"/>
                <w:color w:val="000000"/>
                <w:sz w:val="20"/>
                <w:szCs w:val="20"/>
                <w:vertAlign w:val="superscript"/>
                <w:rtl w:val="0"/>
              </w:rPr>
              <w:t xml:space="preserve">2</w:t>
            </w:r>
            <w:r w:rsidDel="00000000" w:rsidR="00000000" w:rsidRPr="00000000">
              <w:rPr>
                <w:rFonts w:ascii="Open Sans" w:cs="Open Sans" w:eastAsia="Open Sans" w:hAnsi="Open Sans"/>
                <w:color w:val="000000"/>
                <w:sz w:val="20"/>
                <w:szCs w:val="20"/>
                <w:rtl w:val="0"/>
              </w:rPr>
              <w:t xml:space="preserve">) 2021</w:t>
            </w:r>
            <w:r w:rsidDel="00000000" w:rsidR="00000000" w:rsidRPr="00000000">
              <w:rPr>
                <w:rtl w:val="0"/>
              </w:rPr>
            </w:r>
          </w:p>
        </w:tc>
        <w:tc>
          <w:tcPr>
            <w:tcBorders>
              <w:top w:color="2e74b5" w:space="0" w:sz="8" w:val="single"/>
              <w:left w:color="000000" w:space="0" w:sz="0" w:val="nil"/>
              <w:bottom w:color="2e74b5" w:space="0" w:sz="8" w:val="single"/>
              <w:right w:color="2e74b5" w:space="0" w:sz="8" w:val="single"/>
            </w:tcBorders>
            <w:shd w:fill="9cc2e5" w:val="clear"/>
            <w:vAlign w:val="center"/>
          </w:tcPr>
          <w:p w:rsidR="00000000" w:rsidDel="00000000" w:rsidP="00000000" w:rsidRDefault="00000000" w:rsidRPr="00000000" w14:paraId="00000094">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 Precio medio vivienda (€/m</w:t>
            </w:r>
            <w:r w:rsidDel="00000000" w:rsidR="00000000" w:rsidRPr="00000000">
              <w:rPr>
                <w:rFonts w:ascii="Open Sans" w:cs="Open Sans" w:eastAsia="Open Sans" w:hAnsi="Open Sans"/>
                <w:color w:val="000000"/>
                <w:sz w:val="20"/>
                <w:szCs w:val="20"/>
                <w:vertAlign w:val="superscript"/>
                <w:rtl w:val="0"/>
              </w:rPr>
              <w:t xml:space="preserve">2</w:t>
            </w:r>
            <w:r w:rsidDel="00000000" w:rsidR="00000000" w:rsidRPr="00000000">
              <w:rPr>
                <w:rFonts w:ascii="Open Sans" w:cs="Open Sans" w:eastAsia="Open Sans" w:hAnsi="Open Sans"/>
                <w:color w:val="000000"/>
                <w:sz w:val="20"/>
                <w:szCs w:val="20"/>
                <w:rtl w:val="0"/>
              </w:rPr>
              <w:t xml:space="preserve">) 2023</w:t>
            </w:r>
            <w:r w:rsidDel="00000000" w:rsidR="00000000" w:rsidRPr="00000000">
              <w:rPr>
                <w:rtl w:val="0"/>
              </w:rPr>
            </w:r>
          </w:p>
        </w:tc>
        <w:tc>
          <w:tcPr>
            <w:tcBorders>
              <w:top w:color="2e74b5" w:space="0" w:sz="8" w:val="single"/>
              <w:left w:color="000000" w:space="0" w:sz="0" w:val="nil"/>
              <w:bottom w:color="2e74b5" w:space="0" w:sz="8" w:val="single"/>
              <w:right w:color="2e74b5" w:space="0" w:sz="8" w:val="single"/>
            </w:tcBorders>
            <w:shd w:fill="9cc2e5" w:val="clear"/>
            <w:vAlign w:val="center"/>
          </w:tcPr>
          <w:p w:rsidR="00000000" w:rsidDel="00000000" w:rsidP="00000000" w:rsidRDefault="00000000" w:rsidRPr="00000000" w14:paraId="00000095">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 Precio medio vivienda (€/m</w:t>
            </w:r>
            <w:r w:rsidDel="00000000" w:rsidR="00000000" w:rsidRPr="00000000">
              <w:rPr>
                <w:rFonts w:ascii="Open Sans" w:cs="Open Sans" w:eastAsia="Open Sans" w:hAnsi="Open Sans"/>
                <w:color w:val="000000"/>
                <w:sz w:val="20"/>
                <w:szCs w:val="20"/>
                <w:vertAlign w:val="superscript"/>
                <w:rtl w:val="0"/>
              </w:rPr>
              <w:t xml:space="preserve">2</w:t>
            </w:r>
            <w:r w:rsidDel="00000000" w:rsidR="00000000" w:rsidRPr="00000000">
              <w:rPr>
                <w:rFonts w:ascii="Open Sans" w:cs="Open Sans" w:eastAsia="Open Sans" w:hAnsi="Open Sans"/>
                <w:color w:val="000000"/>
                <w:sz w:val="20"/>
                <w:szCs w:val="20"/>
                <w:rtl w:val="0"/>
              </w:rPr>
              <w:t xml:space="preserve">) 2024</w:t>
            </w:r>
            <w:r w:rsidDel="00000000" w:rsidR="00000000" w:rsidRPr="00000000">
              <w:rPr>
                <w:rtl w:val="0"/>
              </w:rPr>
            </w:r>
          </w:p>
        </w:tc>
        <w:tc>
          <w:tcPr>
            <w:tcBorders>
              <w:top w:color="2e74b5" w:space="0" w:sz="8" w:val="single"/>
              <w:left w:color="000000" w:space="0" w:sz="0" w:val="nil"/>
              <w:bottom w:color="2e74b5" w:space="0" w:sz="8" w:val="single"/>
              <w:right w:color="2e74b5" w:space="0" w:sz="8" w:val="single"/>
            </w:tcBorders>
            <w:shd w:fill="9cc2e5" w:val="clear"/>
            <w:vAlign w:val="center"/>
          </w:tcPr>
          <w:p w:rsidR="00000000" w:rsidDel="00000000" w:rsidP="00000000" w:rsidRDefault="00000000" w:rsidRPr="00000000" w14:paraId="00000096">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 1 año (2024 vs. 2023)</w:t>
            </w:r>
            <w:r w:rsidDel="00000000" w:rsidR="00000000" w:rsidRPr="00000000">
              <w:rPr>
                <w:rtl w:val="0"/>
              </w:rPr>
            </w:r>
          </w:p>
        </w:tc>
        <w:tc>
          <w:tcPr>
            <w:tcBorders>
              <w:top w:color="2e74b5" w:space="0" w:sz="8" w:val="single"/>
              <w:left w:color="000000" w:space="0" w:sz="0" w:val="nil"/>
              <w:bottom w:color="2e74b5" w:space="0" w:sz="8" w:val="single"/>
              <w:right w:color="2e74b5" w:space="0" w:sz="8" w:val="single"/>
            </w:tcBorders>
            <w:shd w:fill="9cc2e5" w:val="clear"/>
            <w:vAlign w:val="center"/>
          </w:tcPr>
          <w:p w:rsidR="00000000" w:rsidDel="00000000" w:rsidP="00000000" w:rsidRDefault="00000000" w:rsidRPr="00000000" w14:paraId="00000097">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 3 años (2024 vs. 2021)</w:t>
            </w:r>
            <w:r w:rsidDel="00000000" w:rsidR="00000000" w:rsidRPr="00000000">
              <w:rPr>
                <w:rtl w:val="0"/>
              </w:rPr>
            </w:r>
          </w:p>
        </w:tc>
      </w:tr>
      <w:tr>
        <w:trPr>
          <w:cantSplit w:val="0"/>
          <w:trHeight w:val="200"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98">
            <w:pP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Andalucía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9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1.714 €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9A">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1.994 €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9B">
            <w:pPr>
              <w:jc w:val="center"/>
              <w:rPr>
                <w:rFonts w:ascii="Open Sans" w:cs="Open Sans" w:eastAsia="Open Sans" w:hAnsi="Open Sans"/>
                <w:b w:val="1"/>
                <w:color w:val="000000"/>
                <w:sz w:val="20"/>
                <w:szCs w:val="20"/>
              </w:rPr>
            </w:pPr>
            <w:r w:rsidDel="00000000" w:rsidR="00000000" w:rsidRPr="00000000">
              <w:rPr>
                <w:rFonts w:ascii="Open Sans" w:cs="Open Sans" w:eastAsia="Open Sans" w:hAnsi="Open Sans"/>
                <w:b w:val="1"/>
                <w:color w:val="000000"/>
                <w:sz w:val="20"/>
                <w:szCs w:val="20"/>
                <w:rtl w:val="0"/>
              </w:rPr>
              <w:t xml:space="preserve">2.236 €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9C">
            <w:pPr>
              <w:jc w:val="center"/>
              <w:rPr>
                <w:rFonts w:ascii="Open Sans" w:cs="Open Sans" w:eastAsia="Open Sans" w:hAnsi="Open Sans"/>
                <w:b w:val="1"/>
                <w:color w:val="000000"/>
                <w:sz w:val="20"/>
                <w:szCs w:val="20"/>
              </w:rPr>
            </w:pPr>
            <w:r w:rsidDel="00000000" w:rsidR="00000000" w:rsidRPr="00000000">
              <w:rPr>
                <w:rFonts w:ascii="Open Sans" w:cs="Open Sans" w:eastAsia="Open Sans" w:hAnsi="Open Sans"/>
                <w:b w:val="1"/>
                <w:color w:val="000000"/>
                <w:sz w:val="20"/>
                <w:szCs w:val="20"/>
                <w:rtl w:val="0"/>
              </w:rPr>
              <w:t xml:space="preserve">12,1%</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9D">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30,5%</w:t>
            </w:r>
          </w:p>
        </w:tc>
      </w:tr>
      <w:tr>
        <w:trPr>
          <w:cantSplit w:val="0"/>
          <w:trHeight w:val="200"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9E">
            <w:pP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Aragón</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9F">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1.593 €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A0">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1.746 €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A1">
            <w:pPr>
              <w:jc w:val="center"/>
              <w:rPr>
                <w:rFonts w:ascii="Open Sans" w:cs="Open Sans" w:eastAsia="Open Sans" w:hAnsi="Open Sans"/>
                <w:b w:val="1"/>
                <w:color w:val="000000"/>
                <w:sz w:val="20"/>
                <w:szCs w:val="20"/>
              </w:rPr>
            </w:pPr>
            <w:r w:rsidDel="00000000" w:rsidR="00000000" w:rsidRPr="00000000">
              <w:rPr>
                <w:rFonts w:ascii="Open Sans" w:cs="Open Sans" w:eastAsia="Open Sans" w:hAnsi="Open Sans"/>
                <w:b w:val="1"/>
                <w:color w:val="000000"/>
                <w:sz w:val="20"/>
                <w:szCs w:val="20"/>
                <w:rtl w:val="0"/>
              </w:rPr>
              <w:t xml:space="preserve">1.735 €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A2">
            <w:pPr>
              <w:jc w:val="center"/>
              <w:rPr>
                <w:rFonts w:ascii="Open Sans" w:cs="Open Sans" w:eastAsia="Open Sans" w:hAnsi="Open Sans"/>
                <w:b w:val="1"/>
                <w:color w:val="000000"/>
                <w:sz w:val="20"/>
                <w:szCs w:val="20"/>
              </w:rPr>
            </w:pPr>
            <w:r w:rsidDel="00000000" w:rsidR="00000000" w:rsidRPr="00000000">
              <w:rPr>
                <w:rFonts w:ascii="Open Sans" w:cs="Open Sans" w:eastAsia="Open Sans" w:hAnsi="Open Sans"/>
                <w:b w:val="1"/>
                <w:color w:val="9c0006"/>
                <w:sz w:val="20"/>
                <w:szCs w:val="20"/>
                <w:rtl w:val="0"/>
              </w:rPr>
              <w:t xml:space="preserve">-0,6%</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A3">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8,9%</w:t>
            </w:r>
            <w:r w:rsidDel="00000000" w:rsidR="00000000" w:rsidRPr="00000000">
              <w:rPr>
                <w:rtl w:val="0"/>
              </w:rPr>
            </w:r>
          </w:p>
        </w:tc>
      </w:tr>
      <w:tr>
        <w:trPr>
          <w:cantSplit w:val="0"/>
          <w:trHeight w:val="200"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A4">
            <w:pP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Asturias</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A5">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1.565 €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A6">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1.658 €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A7">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000000"/>
                <w:sz w:val="20"/>
                <w:szCs w:val="20"/>
                <w:rtl w:val="0"/>
              </w:rPr>
              <w:t xml:space="preserve">1.806 €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A8">
            <w:pPr>
              <w:jc w:val="center"/>
              <w:rPr>
                <w:rFonts w:ascii="Open Sans" w:cs="Open Sans" w:eastAsia="Open Sans" w:hAnsi="Open Sans"/>
                <w:b w:val="1"/>
                <w:color w:val="000000"/>
                <w:sz w:val="20"/>
                <w:szCs w:val="20"/>
              </w:rPr>
            </w:pPr>
            <w:r w:rsidDel="00000000" w:rsidR="00000000" w:rsidRPr="00000000">
              <w:rPr>
                <w:rFonts w:ascii="Open Sans" w:cs="Open Sans" w:eastAsia="Open Sans" w:hAnsi="Open Sans"/>
                <w:b w:val="1"/>
                <w:color w:val="000000"/>
                <w:sz w:val="20"/>
                <w:szCs w:val="20"/>
                <w:rtl w:val="0"/>
              </w:rPr>
              <w:t xml:space="preserve">8,9%</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A9">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15,4%</w:t>
            </w:r>
            <w:r w:rsidDel="00000000" w:rsidR="00000000" w:rsidRPr="00000000">
              <w:rPr>
                <w:rtl w:val="0"/>
              </w:rPr>
            </w:r>
          </w:p>
        </w:tc>
      </w:tr>
      <w:tr>
        <w:trPr>
          <w:cantSplit w:val="0"/>
          <w:trHeight w:val="200"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AA">
            <w:pP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Baleares</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AB">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2.890 €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AC">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3.847 €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AD">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000000"/>
                <w:sz w:val="20"/>
                <w:szCs w:val="20"/>
                <w:rtl w:val="0"/>
              </w:rPr>
              <w:t xml:space="preserve">4.597 €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AE">
            <w:pPr>
              <w:jc w:val="center"/>
              <w:rPr>
                <w:rFonts w:ascii="Open Sans" w:cs="Open Sans" w:eastAsia="Open Sans" w:hAnsi="Open Sans"/>
                <w:b w:val="1"/>
                <w:color w:val="000000"/>
                <w:sz w:val="20"/>
                <w:szCs w:val="20"/>
              </w:rPr>
            </w:pPr>
            <w:r w:rsidDel="00000000" w:rsidR="00000000" w:rsidRPr="00000000">
              <w:rPr>
                <w:rFonts w:ascii="Open Sans" w:cs="Open Sans" w:eastAsia="Open Sans" w:hAnsi="Open Sans"/>
                <w:b w:val="1"/>
                <w:color w:val="000000"/>
                <w:sz w:val="20"/>
                <w:szCs w:val="20"/>
                <w:rtl w:val="0"/>
              </w:rPr>
              <w:t xml:space="preserve">19,5%</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AF">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59,1%</w:t>
            </w:r>
            <w:r w:rsidDel="00000000" w:rsidR="00000000" w:rsidRPr="00000000">
              <w:rPr>
                <w:rtl w:val="0"/>
              </w:rPr>
            </w:r>
          </w:p>
        </w:tc>
      </w:tr>
      <w:tr>
        <w:trPr>
          <w:cantSplit w:val="0"/>
          <w:trHeight w:val="200"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B0">
            <w:pP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Canarias</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B1">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1.782 €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B2">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2.421 €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B3">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000000"/>
                <w:sz w:val="20"/>
                <w:szCs w:val="20"/>
                <w:rtl w:val="0"/>
              </w:rPr>
              <w:t xml:space="preserve">2.736 €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B4">
            <w:pPr>
              <w:jc w:val="center"/>
              <w:rPr>
                <w:rFonts w:ascii="Open Sans" w:cs="Open Sans" w:eastAsia="Open Sans" w:hAnsi="Open Sans"/>
                <w:b w:val="1"/>
                <w:color w:val="000000"/>
                <w:sz w:val="20"/>
                <w:szCs w:val="20"/>
              </w:rPr>
            </w:pPr>
            <w:r w:rsidDel="00000000" w:rsidR="00000000" w:rsidRPr="00000000">
              <w:rPr>
                <w:rFonts w:ascii="Open Sans" w:cs="Open Sans" w:eastAsia="Open Sans" w:hAnsi="Open Sans"/>
                <w:b w:val="1"/>
                <w:color w:val="000000"/>
                <w:sz w:val="20"/>
                <w:szCs w:val="20"/>
                <w:rtl w:val="0"/>
              </w:rPr>
              <w:t xml:space="preserve">13,0%</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B5">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53,6%</w:t>
            </w:r>
            <w:r w:rsidDel="00000000" w:rsidR="00000000" w:rsidRPr="00000000">
              <w:rPr>
                <w:rtl w:val="0"/>
              </w:rPr>
            </w:r>
          </w:p>
        </w:tc>
      </w:tr>
      <w:tr>
        <w:trPr>
          <w:cantSplit w:val="0"/>
          <w:trHeight w:val="200"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B6">
            <w:pP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Cantabria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B7">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1.778 €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B8">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1.912 €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B9">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000000"/>
                <w:sz w:val="20"/>
                <w:szCs w:val="20"/>
                <w:rtl w:val="0"/>
              </w:rPr>
              <w:t xml:space="preserve">2.065 €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BA">
            <w:pPr>
              <w:jc w:val="center"/>
              <w:rPr>
                <w:rFonts w:ascii="Open Sans" w:cs="Open Sans" w:eastAsia="Open Sans" w:hAnsi="Open Sans"/>
                <w:b w:val="1"/>
                <w:color w:val="000000"/>
                <w:sz w:val="20"/>
                <w:szCs w:val="20"/>
              </w:rPr>
            </w:pPr>
            <w:r w:rsidDel="00000000" w:rsidR="00000000" w:rsidRPr="00000000">
              <w:rPr>
                <w:rFonts w:ascii="Open Sans" w:cs="Open Sans" w:eastAsia="Open Sans" w:hAnsi="Open Sans"/>
                <w:b w:val="1"/>
                <w:color w:val="000000"/>
                <w:sz w:val="20"/>
                <w:szCs w:val="20"/>
                <w:rtl w:val="0"/>
              </w:rPr>
              <w:t xml:space="preserve">8,0%</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BB">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16,1%</w:t>
            </w:r>
            <w:r w:rsidDel="00000000" w:rsidR="00000000" w:rsidRPr="00000000">
              <w:rPr>
                <w:rtl w:val="0"/>
              </w:rPr>
            </w:r>
          </w:p>
        </w:tc>
      </w:tr>
      <w:tr>
        <w:trPr>
          <w:cantSplit w:val="0"/>
          <w:trHeight w:val="200"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BC">
            <w:pP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Castilla y León</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BD">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1.444 €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BE">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1.481 €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BF">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000000"/>
                <w:sz w:val="20"/>
                <w:szCs w:val="20"/>
                <w:rtl w:val="0"/>
              </w:rPr>
              <w:t xml:space="preserve">1.538 €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C0">
            <w:pPr>
              <w:jc w:val="center"/>
              <w:rPr>
                <w:rFonts w:ascii="Open Sans" w:cs="Open Sans" w:eastAsia="Open Sans" w:hAnsi="Open Sans"/>
                <w:b w:val="1"/>
                <w:color w:val="000000"/>
                <w:sz w:val="20"/>
                <w:szCs w:val="20"/>
              </w:rPr>
            </w:pPr>
            <w:r w:rsidDel="00000000" w:rsidR="00000000" w:rsidRPr="00000000">
              <w:rPr>
                <w:rFonts w:ascii="Open Sans" w:cs="Open Sans" w:eastAsia="Open Sans" w:hAnsi="Open Sans"/>
                <w:b w:val="1"/>
                <w:color w:val="000000"/>
                <w:sz w:val="20"/>
                <w:szCs w:val="20"/>
                <w:rtl w:val="0"/>
              </w:rPr>
              <w:t xml:space="preserve">3,8%</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C1">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6,5%</w:t>
            </w:r>
            <w:r w:rsidDel="00000000" w:rsidR="00000000" w:rsidRPr="00000000">
              <w:rPr>
                <w:rtl w:val="0"/>
              </w:rPr>
            </w:r>
          </w:p>
        </w:tc>
      </w:tr>
      <w:tr>
        <w:trPr>
          <w:cantSplit w:val="0"/>
          <w:trHeight w:val="200"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C2">
            <w:pP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Castilla-La Mancha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C3">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1.112 €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C4">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1.201 €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C5">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000000"/>
                <w:sz w:val="20"/>
                <w:szCs w:val="20"/>
                <w:rtl w:val="0"/>
              </w:rPr>
              <w:t xml:space="preserve">1.234 €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C6">
            <w:pPr>
              <w:jc w:val="center"/>
              <w:rPr>
                <w:rFonts w:ascii="Open Sans" w:cs="Open Sans" w:eastAsia="Open Sans" w:hAnsi="Open Sans"/>
                <w:b w:val="1"/>
                <w:color w:val="000000"/>
                <w:sz w:val="20"/>
                <w:szCs w:val="20"/>
              </w:rPr>
            </w:pPr>
            <w:r w:rsidDel="00000000" w:rsidR="00000000" w:rsidRPr="00000000">
              <w:rPr>
                <w:rFonts w:ascii="Open Sans" w:cs="Open Sans" w:eastAsia="Open Sans" w:hAnsi="Open Sans"/>
                <w:b w:val="1"/>
                <w:color w:val="000000"/>
                <w:sz w:val="20"/>
                <w:szCs w:val="20"/>
                <w:rtl w:val="0"/>
              </w:rPr>
              <w:t xml:space="preserve">2,7%</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C7">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10,9%</w:t>
            </w:r>
            <w:r w:rsidDel="00000000" w:rsidR="00000000" w:rsidRPr="00000000">
              <w:rPr>
                <w:rtl w:val="0"/>
              </w:rPr>
            </w:r>
          </w:p>
        </w:tc>
      </w:tr>
      <w:tr>
        <w:trPr>
          <w:cantSplit w:val="0"/>
          <w:trHeight w:val="200"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C8">
            <w:pP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Cataluña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C9">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2.544 €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CA">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2.760 €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CB">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000000"/>
                <w:sz w:val="20"/>
                <w:szCs w:val="20"/>
                <w:rtl w:val="0"/>
              </w:rPr>
              <w:t xml:space="preserve">2.824 €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CC">
            <w:pPr>
              <w:jc w:val="center"/>
              <w:rPr>
                <w:rFonts w:ascii="Open Sans" w:cs="Open Sans" w:eastAsia="Open Sans" w:hAnsi="Open Sans"/>
                <w:b w:val="1"/>
                <w:color w:val="000000"/>
                <w:sz w:val="20"/>
                <w:szCs w:val="20"/>
              </w:rPr>
            </w:pPr>
            <w:r w:rsidDel="00000000" w:rsidR="00000000" w:rsidRPr="00000000">
              <w:rPr>
                <w:rFonts w:ascii="Open Sans" w:cs="Open Sans" w:eastAsia="Open Sans" w:hAnsi="Open Sans"/>
                <w:b w:val="1"/>
                <w:color w:val="000000"/>
                <w:sz w:val="20"/>
                <w:szCs w:val="20"/>
                <w:rtl w:val="0"/>
              </w:rPr>
              <w:t xml:space="preserve">2,3%</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CD">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11,0%</w:t>
            </w:r>
            <w:r w:rsidDel="00000000" w:rsidR="00000000" w:rsidRPr="00000000">
              <w:rPr>
                <w:rtl w:val="0"/>
              </w:rPr>
            </w:r>
          </w:p>
        </w:tc>
      </w:tr>
      <w:tr>
        <w:trPr>
          <w:cantSplit w:val="0"/>
          <w:trHeight w:val="232"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CE">
            <w:pP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Comunidad Valenciana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CF">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1.448 €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D0">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1.758 €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D1">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000000"/>
                <w:sz w:val="20"/>
                <w:szCs w:val="20"/>
                <w:rtl w:val="0"/>
              </w:rPr>
              <w:t xml:space="preserve">2.106 €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D2">
            <w:pPr>
              <w:jc w:val="center"/>
              <w:rPr>
                <w:rFonts w:ascii="Open Sans" w:cs="Open Sans" w:eastAsia="Open Sans" w:hAnsi="Open Sans"/>
                <w:b w:val="1"/>
                <w:color w:val="000000"/>
                <w:sz w:val="20"/>
                <w:szCs w:val="20"/>
              </w:rPr>
            </w:pPr>
            <w:r w:rsidDel="00000000" w:rsidR="00000000" w:rsidRPr="00000000">
              <w:rPr>
                <w:rFonts w:ascii="Open Sans" w:cs="Open Sans" w:eastAsia="Open Sans" w:hAnsi="Open Sans"/>
                <w:b w:val="1"/>
                <w:color w:val="000000"/>
                <w:sz w:val="20"/>
                <w:szCs w:val="20"/>
                <w:rtl w:val="0"/>
              </w:rPr>
              <w:t xml:space="preserve">19,8%</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D3">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45,5%</w:t>
            </w:r>
            <w:r w:rsidDel="00000000" w:rsidR="00000000" w:rsidRPr="00000000">
              <w:rPr>
                <w:rtl w:val="0"/>
              </w:rPr>
            </w:r>
          </w:p>
        </w:tc>
      </w:tr>
      <w:tr>
        <w:trPr>
          <w:cantSplit w:val="0"/>
          <w:trHeight w:val="200"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D4">
            <w:pP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Extremadura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D5">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1.142 €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D6">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1.192 €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D7">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000000"/>
                <w:sz w:val="20"/>
                <w:szCs w:val="20"/>
                <w:rtl w:val="0"/>
              </w:rPr>
              <w:t xml:space="preserve">1.239 €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D8">
            <w:pPr>
              <w:jc w:val="center"/>
              <w:rPr>
                <w:rFonts w:ascii="Open Sans" w:cs="Open Sans" w:eastAsia="Open Sans" w:hAnsi="Open Sans"/>
                <w:b w:val="1"/>
                <w:color w:val="000000"/>
                <w:sz w:val="20"/>
                <w:szCs w:val="20"/>
              </w:rPr>
            </w:pPr>
            <w:r w:rsidDel="00000000" w:rsidR="00000000" w:rsidRPr="00000000">
              <w:rPr>
                <w:rFonts w:ascii="Open Sans" w:cs="Open Sans" w:eastAsia="Open Sans" w:hAnsi="Open Sans"/>
                <w:b w:val="1"/>
                <w:color w:val="000000"/>
                <w:sz w:val="20"/>
                <w:szCs w:val="20"/>
                <w:rtl w:val="0"/>
              </w:rPr>
              <w:t xml:space="preserve">3,9%</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D9">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8,5%</w:t>
            </w:r>
            <w:r w:rsidDel="00000000" w:rsidR="00000000" w:rsidRPr="00000000">
              <w:rPr>
                <w:rtl w:val="0"/>
              </w:rPr>
            </w:r>
          </w:p>
        </w:tc>
      </w:tr>
      <w:tr>
        <w:trPr>
          <w:cantSplit w:val="0"/>
          <w:trHeight w:val="200"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DA">
            <w:pP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Galicia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DB">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1.629 €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DC">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1.720 €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DD">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000000"/>
                <w:sz w:val="20"/>
                <w:szCs w:val="20"/>
                <w:rtl w:val="0"/>
              </w:rPr>
              <w:t xml:space="preserve">1.891 €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DE">
            <w:pPr>
              <w:jc w:val="center"/>
              <w:rPr>
                <w:rFonts w:ascii="Open Sans" w:cs="Open Sans" w:eastAsia="Open Sans" w:hAnsi="Open Sans"/>
                <w:b w:val="1"/>
                <w:color w:val="000000"/>
                <w:sz w:val="20"/>
                <w:szCs w:val="20"/>
              </w:rPr>
            </w:pPr>
            <w:r w:rsidDel="00000000" w:rsidR="00000000" w:rsidRPr="00000000">
              <w:rPr>
                <w:rFonts w:ascii="Open Sans" w:cs="Open Sans" w:eastAsia="Open Sans" w:hAnsi="Open Sans"/>
                <w:b w:val="1"/>
                <w:color w:val="000000"/>
                <w:sz w:val="20"/>
                <w:szCs w:val="20"/>
                <w:rtl w:val="0"/>
              </w:rPr>
              <w:t xml:space="preserve">10,0%</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DF">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16,1%</w:t>
            </w:r>
            <w:r w:rsidDel="00000000" w:rsidR="00000000" w:rsidRPr="00000000">
              <w:rPr>
                <w:rtl w:val="0"/>
              </w:rPr>
            </w:r>
          </w:p>
        </w:tc>
      </w:tr>
      <w:tr>
        <w:trPr>
          <w:cantSplit w:val="0"/>
          <w:trHeight w:val="200"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E0">
            <w:pP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La Rioja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E1">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1.483 €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E2">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1.670 €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E3">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000000"/>
                <w:sz w:val="20"/>
                <w:szCs w:val="20"/>
                <w:rtl w:val="0"/>
              </w:rPr>
              <w:t xml:space="preserve">1.668 €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E4">
            <w:pPr>
              <w:jc w:val="center"/>
              <w:rPr>
                <w:rFonts w:ascii="Open Sans" w:cs="Open Sans" w:eastAsia="Open Sans" w:hAnsi="Open Sans"/>
                <w:b w:val="1"/>
                <w:color w:val="000000"/>
                <w:sz w:val="20"/>
                <w:szCs w:val="20"/>
              </w:rPr>
            </w:pPr>
            <w:r w:rsidDel="00000000" w:rsidR="00000000" w:rsidRPr="00000000">
              <w:rPr>
                <w:rFonts w:ascii="Open Sans" w:cs="Open Sans" w:eastAsia="Open Sans" w:hAnsi="Open Sans"/>
                <w:b w:val="1"/>
                <w:color w:val="9c0006"/>
                <w:sz w:val="20"/>
                <w:szCs w:val="20"/>
                <w:rtl w:val="0"/>
              </w:rPr>
              <w:t xml:space="preserve">-0,1%</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E5">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12,5%</w:t>
            </w:r>
            <w:r w:rsidDel="00000000" w:rsidR="00000000" w:rsidRPr="00000000">
              <w:rPr>
                <w:rtl w:val="0"/>
              </w:rPr>
            </w:r>
          </w:p>
        </w:tc>
      </w:tr>
      <w:tr>
        <w:trPr>
          <w:cantSplit w:val="0"/>
          <w:trHeight w:val="200"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E6">
            <w:pP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Madrid</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E7">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3.123 €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E8">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3.767 €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E9">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000000"/>
                <w:sz w:val="20"/>
                <w:szCs w:val="20"/>
                <w:rtl w:val="0"/>
              </w:rPr>
              <w:t xml:space="preserve">4.278 €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EA">
            <w:pPr>
              <w:jc w:val="center"/>
              <w:rPr>
                <w:rFonts w:ascii="Open Sans" w:cs="Open Sans" w:eastAsia="Open Sans" w:hAnsi="Open Sans"/>
                <w:b w:val="1"/>
                <w:color w:val="000000"/>
                <w:sz w:val="20"/>
                <w:szCs w:val="20"/>
              </w:rPr>
            </w:pPr>
            <w:r w:rsidDel="00000000" w:rsidR="00000000" w:rsidRPr="00000000">
              <w:rPr>
                <w:rFonts w:ascii="Open Sans" w:cs="Open Sans" w:eastAsia="Open Sans" w:hAnsi="Open Sans"/>
                <w:b w:val="1"/>
                <w:color w:val="000000"/>
                <w:sz w:val="20"/>
                <w:szCs w:val="20"/>
                <w:rtl w:val="0"/>
              </w:rPr>
              <w:t xml:space="preserve">13,6%</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EB">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37,0%</w:t>
            </w:r>
            <w:r w:rsidDel="00000000" w:rsidR="00000000" w:rsidRPr="00000000">
              <w:rPr>
                <w:rtl w:val="0"/>
              </w:rPr>
            </w:r>
          </w:p>
        </w:tc>
      </w:tr>
      <w:tr>
        <w:trPr>
          <w:cantSplit w:val="0"/>
          <w:trHeight w:val="200"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EC">
            <w:pP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Navarra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ED">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1.608 €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EE">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2.064 €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EF">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000000"/>
                <w:sz w:val="20"/>
                <w:szCs w:val="20"/>
                <w:rtl w:val="0"/>
              </w:rPr>
              <w:t xml:space="preserve">2.122 €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F0">
            <w:pPr>
              <w:jc w:val="center"/>
              <w:rPr>
                <w:rFonts w:ascii="Open Sans" w:cs="Open Sans" w:eastAsia="Open Sans" w:hAnsi="Open Sans"/>
                <w:b w:val="1"/>
                <w:color w:val="000000"/>
                <w:sz w:val="20"/>
                <w:szCs w:val="20"/>
              </w:rPr>
            </w:pPr>
            <w:r w:rsidDel="00000000" w:rsidR="00000000" w:rsidRPr="00000000">
              <w:rPr>
                <w:rFonts w:ascii="Open Sans" w:cs="Open Sans" w:eastAsia="Open Sans" w:hAnsi="Open Sans"/>
                <w:b w:val="1"/>
                <w:color w:val="000000"/>
                <w:sz w:val="20"/>
                <w:szCs w:val="20"/>
                <w:rtl w:val="0"/>
              </w:rPr>
              <w:t xml:space="preserve">2,8%</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F1">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32,0%</w:t>
            </w:r>
            <w:r w:rsidDel="00000000" w:rsidR="00000000" w:rsidRPr="00000000">
              <w:rPr>
                <w:rtl w:val="0"/>
              </w:rPr>
            </w:r>
          </w:p>
        </w:tc>
      </w:tr>
      <w:tr>
        <w:trPr>
          <w:cantSplit w:val="0"/>
          <w:trHeight w:val="200"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F2">
            <w:pP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País Vasco</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F3">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2.882 €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F4">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3.091 €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F5">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000000"/>
                <w:sz w:val="20"/>
                <w:szCs w:val="20"/>
                <w:rtl w:val="0"/>
              </w:rPr>
              <w:t xml:space="preserve">3.284 €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F6">
            <w:pPr>
              <w:jc w:val="center"/>
              <w:rPr>
                <w:rFonts w:ascii="Open Sans" w:cs="Open Sans" w:eastAsia="Open Sans" w:hAnsi="Open Sans"/>
                <w:b w:val="1"/>
                <w:color w:val="000000"/>
                <w:sz w:val="20"/>
                <w:szCs w:val="20"/>
              </w:rPr>
            </w:pPr>
            <w:r w:rsidDel="00000000" w:rsidR="00000000" w:rsidRPr="00000000">
              <w:rPr>
                <w:rFonts w:ascii="Open Sans" w:cs="Open Sans" w:eastAsia="Open Sans" w:hAnsi="Open Sans"/>
                <w:b w:val="1"/>
                <w:color w:val="000000"/>
                <w:sz w:val="20"/>
                <w:szCs w:val="20"/>
                <w:rtl w:val="0"/>
              </w:rPr>
              <w:t xml:space="preserve">6,3%</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F7">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14,0%</w:t>
            </w:r>
            <w:r w:rsidDel="00000000" w:rsidR="00000000" w:rsidRPr="00000000">
              <w:rPr>
                <w:rtl w:val="0"/>
              </w:rPr>
            </w:r>
          </w:p>
        </w:tc>
      </w:tr>
      <w:tr>
        <w:trPr>
          <w:cantSplit w:val="0"/>
          <w:trHeight w:val="232"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F8">
            <w:pP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Región de Murcia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F9">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1.145 €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FA">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1.308 €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FB">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000000"/>
                <w:sz w:val="20"/>
                <w:szCs w:val="20"/>
                <w:rtl w:val="0"/>
              </w:rPr>
              <w:t xml:space="preserve">1.485 €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FC">
            <w:pPr>
              <w:jc w:val="center"/>
              <w:rPr>
                <w:rFonts w:ascii="Open Sans" w:cs="Open Sans" w:eastAsia="Open Sans" w:hAnsi="Open Sans"/>
                <w:b w:val="1"/>
                <w:color w:val="000000"/>
                <w:sz w:val="20"/>
                <w:szCs w:val="20"/>
              </w:rPr>
            </w:pPr>
            <w:r w:rsidDel="00000000" w:rsidR="00000000" w:rsidRPr="00000000">
              <w:rPr>
                <w:rFonts w:ascii="Open Sans" w:cs="Open Sans" w:eastAsia="Open Sans" w:hAnsi="Open Sans"/>
                <w:b w:val="1"/>
                <w:color w:val="000000"/>
                <w:sz w:val="20"/>
                <w:szCs w:val="20"/>
                <w:rtl w:val="0"/>
              </w:rPr>
              <w:t xml:space="preserve">13,6%</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0FD">
            <w:pPr>
              <w:jc w:val="center"/>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29,7%</w:t>
            </w:r>
            <w:r w:rsidDel="00000000" w:rsidR="00000000" w:rsidRPr="00000000">
              <w:rPr>
                <w:rtl w:val="0"/>
              </w:rPr>
            </w:r>
          </w:p>
        </w:tc>
      </w:tr>
      <w:tr>
        <w:trPr>
          <w:cantSplit w:val="0"/>
          <w:trHeight w:val="200" w:hRule="atLeast"/>
          <w:tblHeader w:val="0"/>
        </w:trPr>
        <w:tc>
          <w:tcPr>
            <w:tcBorders>
              <w:top w:color="000000" w:space="0" w:sz="0" w:val="nil"/>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0FE">
            <w:pPr>
              <w:rPr>
                <w:rFonts w:ascii="Open Sans" w:cs="Open Sans" w:eastAsia="Open Sans" w:hAnsi="Open Sans"/>
                <w:b w:val="1"/>
                <w:color w:val="000000"/>
                <w:sz w:val="20"/>
                <w:szCs w:val="20"/>
              </w:rPr>
            </w:pPr>
            <w:r w:rsidDel="00000000" w:rsidR="00000000" w:rsidRPr="00000000">
              <w:rPr>
                <w:rFonts w:ascii="Open Sans" w:cs="Open Sans" w:eastAsia="Open Sans" w:hAnsi="Open Sans"/>
                <w:color w:val="000000"/>
                <w:sz w:val="20"/>
                <w:szCs w:val="20"/>
                <w:rtl w:val="0"/>
              </w:rPr>
              <w:t xml:space="preserve">España</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9cc2e5" w:val="clear"/>
            <w:vAlign w:val="bottom"/>
          </w:tcPr>
          <w:p w:rsidR="00000000" w:rsidDel="00000000" w:rsidP="00000000" w:rsidRDefault="00000000" w:rsidRPr="00000000" w14:paraId="000000FF">
            <w:pPr>
              <w:jc w:val="center"/>
              <w:rPr>
                <w:rFonts w:ascii="Open Sans" w:cs="Open Sans" w:eastAsia="Open Sans" w:hAnsi="Open Sans"/>
                <w:b w:val="1"/>
                <w:sz w:val="20"/>
                <w:szCs w:val="20"/>
              </w:rPr>
            </w:pPr>
            <w:r w:rsidDel="00000000" w:rsidR="00000000" w:rsidRPr="00000000">
              <w:rPr>
                <w:rFonts w:ascii="Open Sans" w:cs="Open Sans" w:eastAsia="Open Sans" w:hAnsi="Open Sans"/>
                <w:color w:val="000000"/>
                <w:sz w:val="20"/>
                <w:szCs w:val="20"/>
                <w:rtl w:val="0"/>
              </w:rPr>
              <w:t xml:space="preserve">1.907 €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9cc2e5" w:val="clear"/>
            <w:vAlign w:val="bottom"/>
          </w:tcPr>
          <w:p w:rsidR="00000000" w:rsidDel="00000000" w:rsidP="00000000" w:rsidRDefault="00000000" w:rsidRPr="00000000" w14:paraId="00000100">
            <w:pPr>
              <w:jc w:val="center"/>
              <w:rPr>
                <w:rFonts w:ascii="Open Sans" w:cs="Open Sans" w:eastAsia="Open Sans" w:hAnsi="Open Sans"/>
                <w:b w:val="1"/>
                <w:sz w:val="20"/>
                <w:szCs w:val="20"/>
              </w:rPr>
            </w:pPr>
            <w:r w:rsidDel="00000000" w:rsidR="00000000" w:rsidRPr="00000000">
              <w:rPr>
                <w:rFonts w:ascii="Open Sans" w:cs="Open Sans" w:eastAsia="Open Sans" w:hAnsi="Open Sans"/>
                <w:color w:val="000000"/>
                <w:sz w:val="20"/>
                <w:szCs w:val="20"/>
                <w:rtl w:val="0"/>
              </w:rPr>
              <w:t xml:space="preserve">2.203 €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9cc2e5" w:val="clear"/>
            <w:vAlign w:val="bottom"/>
          </w:tcPr>
          <w:p w:rsidR="00000000" w:rsidDel="00000000" w:rsidP="00000000" w:rsidRDefault="00000000" w:rsidRPr="00000000" w14:paraId="00000101">
            <w:pPr>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000000"/>
                <w:sz w:val="20"/>
                <w:szCs w:val="20"/>
                <w:rtl w:val="0"/>
              </w:rPr>
              <w:t xml:space="preserve">2.389 €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9cc2e5" w:val="clear"/>
            <w:vAlign w:val="bottom"/>
          </w:tcPr>
          <w:p w:rsidR="00000000" w:rsidDel="00000000" w:rsidP="00000000" w:rsidRDefault="00000000" w:rsidRPr="00000000" w14:paraId="00000102">
            <w:pPr>
              <w:jc w:val="center"/>
              <w:rPr>
                <w:rFonts w:ascii="Open Sans" w:cs="Open Sans" w:eastAsia="Open Sans" w:hAnsi="Open Sans"/>
                <w:b w:val="1"/>
                <w:color w:val="000000"/>
                <w:sz w:val="20"/>
                <w:szCs w:val="20"/>
              </w:rPr>
            </w:pPr>
            <w:r w:rsidDel="00000000" w:rsidR="00000000" w:rsidRPr="00000000">
              <w:rPr>
                <w:rFonts w:ascii="Open Sans" w:cs="Open Sans" w:eastAsia="Open Sans" w:hAnsi="Open Sans"/>
                <w:b w:val="1"/>
                <w:color w:val="000000"/>
                <w:sz w:val="20"/>
                <w:szCs w:val="20"/>
                <w:rtl w:val="0"/>
              </w:rPr>
              <w:t xml:space="preserve">8,4%</w:t>
            </w:r>
          </w:p>
        </w:tc>
        <w:tc>
          <w:tcPr>
            <w:tcBorders>
              <w:top w:color="000000" w:space="0" w:sz="0" w:val="nil"/>
              <w:left w:color="000000" w:space="0" w:sz="0" w:val="nil"/>
              <w:bottom w:color="2e74b5" w:space="0" w:sz="8" w:val="single"/>
              <w:right w:color="2e74b5" w:space="0" w:sz="8" w:val="single"/>
            </w:tcBorders>
            <w:shd w:fill="9cc2e5" w:val="clear"/>
            <w:vAlign w:val="bottom"/>
          </w:tcPr>
          <w:p w:rsidR="00000000" w:rsidDel="00000000" w:rsidP="00000000" w:rsidRDefault="00000000" w:rsidRPr="00000000" w14:paraId="00000103">
            <w:pPr>
              <w:jc w:val="center"/>
              <w:rPr>
                <w:rFonts w:ascii="Open Sans" w:cs="Open Sans" w:eastAsia="Open Sans" w:hAnsi="Open Sans"/>
                <w:b w:val="1"/>
                <w:sz w:val="20"/>
                <w:szCs w:val="20"/>
              </w:rPr>
            </w:pPr>
            <w:r w:rsidDel="00000000" w:rsidR="00000000" w:rsidRPr="00000000">
              <w:rPr>
                <w:rFonts w:ascii="Open Sans" w:cs="Open Sans" w:eastAsia="Open Sans" w:hAnsi="Open Sans"/>
                <w:color w:val="000000"/>
                <w:sz w:val="20"/>
                <w:szCs w:val="20"/>
                <w:rtl w:val="0"/>
              </w:rPr>
              <w:t xml:space="preserve">25,3%</w:t>
            </w:r>
            <w:r w:rsidDel="00000000" w:rsidR="00000000" w:rsidRPr="00000000">
              <w:rPr>
                <w:rtl w:val="0"/>
              </w:rPr>
            </w:r>
          </w:p>
        </w:tc>
      </w:tr>
    </w:tbl>
    <w:p w:rsidR="00000000" w:rsidDel="00000000" w:rsidP="00000000" w:rsidRDefault="00000000" w:rsidRPr="00000000" w14:paraId="00000104">
      <w:pPr>
        <w:pBdr>
          <w:top w:space="0" w:sz="0" w:val="nil"/>
          <w:left w:space="0" w:sz="0" w:val="nil"/>
          <w:bottom w:space="0" w:sz="0" w:val="nil"/>
          <w:right w:space="0" w:sz="0" w:val="nil"/>
          <w:between w:space="0" w:sz="0" w:val="nil"/>
        </w:pBdr>
        <w:shd w:fill="ffffff" w:val="clear"/>
        <w:spacing w:after="280" w:before="280" w:line="276" w:lineRule="auto"/>
        <w:ind w:right="-574"/>
        <w:jc w:val="center"/>
        <w:rPr>
          <w:rFonts w:ascii="National" w:cs="National" w:eastAsia="National" w:hAnsi="National"/>
          <w:b w:val="1"/>
          <w:color w:val="303ab2"/>
          <w:sz w:val="30"/>
          <w:szCs w:val="30"/>
        </w:rPr>
      </w:pPr>
      <w:r w:rsidDel="00000000" w:rsidR="00000000" w:rsidRPr="00000000">
        <w:rPr>
          <w:rFonts w:ascii="National" w:cs="National" w:eastAsia="National" w:hAnsi="National"/>
          <w:b w:val="1"/>
          <w:color w:val="303ab2"/>
          <w:sz w:val="28"/>
          <w:szCs w:val="28"/>
          <w:rtl w:val="0"/>
        </w:rPr>
        <w:t xml:space="preserve">Variación anual 2024 de la media del precio de la vivienda en venta y los salarios de InfoJobs</w:t>
      </w:r>
      <w:r w:rsidDel="00000000" w:rsidR="00000000" w:rsidRPr="00000000">
        <w:rPr>
          <w:rFonts w:ascii="National" w:cs="National" w:eastAsia="National" w:hAnsi="National"/>
          <w:b w:val="1"/>
          <w:color w:val="303ab2"/>
          <w:sz w:val="30"/>
          <w:szCs w:val="30"/>
        </w:rPr>
        <w:drawing>
          <wp:inline distB="0" distT="0" distL="0" distR="0">
            <wp:extent cx="5840254" cy="2549012"/>
            <wp:effectExtent b="0" l="0" r="0" t="0"/>
            <wp:docPr descr="Mapa&#10;&#10;El contenido generado por IA puede ser incorrecto." id="2033337804" name="image2.png"/>
            <a:graphic>
              <a:graphicData uri="http://schemas.openxmlformats.org/drawingml/2006/picture">
                <pic:pic>
                  <pic:nvPicPr>
                    <pic:cNvPr descr="Mapa&#10;&#10;El contenido generado por IA puede ser incorrecto." id="0" name="image2.png"/>
                    <pic:cNvPicPr preferRelativeResize="0"/>
                  </pic:nvPicPr>
                  <pic:blipFill>
                    <a:blip r:embed="rId15"/>
                    <a:srcRect b="0" l="0" r="0" t="0"/>
                    <a:stretch>
                      <a:fillRect/>
                    </a:stretch>
                  </pic:blipFill>
                  <pic:spPr>
                    <a:xfrm>
                      <a:off x="0" y="0"/>
                      <a:ext cx="5840254" cy="2549012"/>
                    </a:xfrm>
                    <a:prstGeom prst="rect"/>
                    <a:ln/>
                  </pic:spPr>
                </pic:pic>
              </a:graphicData>
            </a:graphic>
          </wp:inline>
        </w:drawing>
      </w: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76" w:lineRule="auto"/>
        <w:ind w:right="-574"/>
        <w:rPr>
          <w:rFonts w:ascii="National" w:cs="National" w:eastAsia="National" w:hAnsi="National"/>
          <w:b w:val="1"/>
          <w:color w:val="303ab2"/>
          <w:sz w:val="30"/>
          <w:szCs w:val="30"/>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76" w:lineRule="auto"/>
        <w:ind w:right="-574"/>
        <w:rPr>
          <w:rFonts w:ascii="National" w:cs="National" w:eastAsia="National" w:hAnsi="National"/>
          <w:b w:val="1"/>
          <w:color w:val="303ab2"/>
          <w:sz w:val="30"/>
          <w:szCs w:val="30"/>
        </w:rPr>
      </w:pPr>
      <w:r w:rsidDel="00000000" w:rsidR="00000000" w:rsidRPr="00000000">
        <w:rPr>
          <w:rFonts w:ascii="National" w:cs="National" w:eastAsia="National" w:hAnsi="National"/>
          <w:b w:val="1"/>
          <w:color w:val="303ab2"/>
          <w:sz w:val="30"/>
          <w:szCs w:val="30"/>
          <w:rtl w:val="0"/>
        </w:rPr>
        <w:t xml:space="preserve">Provincias</w:t>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bookmarkStart w:colFirst="0" w:colLast="0" w:name="_heading=h.gsgf3z9juz0b" w:id="8"/>
      <w:bookmarkEnd w:id="8"/>
      <w:r w:rsidDel="00000000" w:rsidR="00000000" w:rsidRPr="00000000">
        <w:rPr>
          <w:rFonts w:ascii="Open Sans" w:cs="Open Sans" w:eastAsia="Open Sans" w:hAnsi="Open Sans"/>
          <w:sz w:val="22"/>
          <w:szCs w:val="22"/>
          <w:rtl w:val="0"/>
        </w:rPr>
        <w:t xml:space="preserve">Por </w:t>
      </w:r>
      <w:r w:rsidDel="00000000" w:rsidR="00000000" w:rsidRPr="00000000">
        <w:rPr>
          <w:rFonts w:ascii="Open Sans" w:cs="Open Sans" w:eastAsia="Open Sans" w:hAnsi="Open Sans"/>
          <w:color w:val="000000"/>
          <w:sz w:val="22"/>
          <w:szCs w:val="22"/>
          <w:rtl w:val="0"/>
        </w:rPr>
        <w:t xml:space="preserve">provincias, si analizamos el último año respecto al anterior, en 2024 los sueldos descendi</w:t>
      </w:r>
      <w:r w:rsidDel="00000000" w:rsidR="00000000" w:rsidRPr="00000000">
        <w:rPr>
          <w:rFonts w:ascii="Open Sans" w:cs="Open Sans" w:eastAsia="Open Sans" w:hAnsi="Open Sans"/>
          <w:sz w:val="22"/>
          <w:szCs w:val="22"/>
          <w:rtl w:val="0"/>
        </w:rPr>
        <w:t xml:space="preserve">eron</w:t>
      </w:r>
      <w:r w:rsidDel="00000000" w:rsidR="00000000" w:rsidRPr="00000000">
        <w:rPr>
          <w:rFonts w:ascii="Open Sans" w:cs="Open Sans" w:eastAsia="Open Sans" w:hAnsi="Open Sans"/>
          <w:color w:val="000000"/>
          <w:sz w:val="22"/>
          <w:szCs w:val="22"/>
          <w:rtl w:val="0"/>
        </w:rPr>
        <w:t xml:space="preserve"> en 18 de las 50 provincias analizadas y, sin embargo, en 45 aument</w:t>
      </w:r>
      <w:r w:rsidDel="00000000" w:rsidR="00000000" w:rsidRPr="00000000">
        <w:rPr>
          <w:rFonts w:ascii="Open Sans" w:cs="Open Sans" w:eastAsia="Open Sans" w:hAnsi="Open Sans"/>
          <w:sz w:val="22"/>
          <w:szCs w:val="22"/>
          <w:rtl w:val="0"/>
        </w:rPr>
        <w:t xml:space="preserve">ó</w:t>
      </w:r>
      <w:r w:rsidDel="00000000" w:rsidR="00000000" w:rsidRPr="00000000">
        <w:rPr>
          <w:rFonts w:ascii="Open Sans" w:cs="Open Sans" w:eastAsia="Open Sans" w:hAnsi="Open Sans"/>
          <w:color w:val="000000"/>
          <w:sz w:val="22"/>
          <w:szCs w:val="22"/>
          <w:rtl w:val="0"/>
        </w:rPr>
        <w:t xml:space="preserve"> el precio de la vivienda.</w:t>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Los trabajadores </w:t>
      </w:r>
      <w:r w:rsidDel="00000000" w:rsidR="00000000" w:rsidRPr="00000000">
        <w:rPr>
          <w:rFonts w:ascii="Open Sans" w:cs="Open Sans" w:eastAsia="Open Sans" w:hAnsi="Open Sans"/>
          <w:sz w:val="22"/>
          <w:szCs w:val="22"/>
          <w:rtl w:val="0"/>
        </w:rPr>
        <w:t xml:space="preserve">más afectados</w:t>
      </w:r>
      <w:r w:rsidDel="00000000" w:rsidR="00000000" w:rsidRPr="00000000">
        <w:rPr>
          <w:rFonts w:ascii="Open Sans" w:cs="Open Sans" w:eastAsia="Open Sans" w:hAnsi="Open Sans"/>
          <w:color w:val="000000"/>
          <w:sz w:val="22"/>
          <w:szCs w:val="22"/>
          <w:rtl w:val="0"/>
        </w:rPr>
        <w:t xml:space="preserve"> por el descenso de los salarios ofertados en 2024 </w:t>
      </w:r>
      <w:r w:rsidDel="00000000" w:rsidR="00000000" w:rsidRPr="00000000">
        <w:rPr>
          <w:rFonts w:ascii="Open Sans" w:cs="Open Sans" w:eastAsia="Open Sans" w:hAnsi="Open Sans"/>
          <w:sz w:val="22"/>
          <w:szCs w:val="22"/>
          <w:rtl w:val="0"/>
        </w:rPr>
        <w:t xml:space="preserve">fueron los</w:t>
      </w:r>
      <w:r w:rsidDel="00000000" w:rsidR="00000000" w:rsidRPr="00000000">
        <w:rPr>
          <w:rFonts w:ascii="Open Sans" w:cs="Open Sans" w:eastAsia="Open Sans" w:hAnsi="Open Sans"/>
          <w:color w:val="000000"/>
          <w:sz w:val="22"/>
          <w:szCs w:val="22"/>
          <w:rtl w:val="0"/>
        </w:rPr>
        <w:t xml:space="preserve"> de Badajoz. Así, </w:t>
      </w:r>
      <w:r w:rsidDel="00000000" w:rsidR="00000000" w:rsidRPr="00000000">
        <w:rPr>
          <w:rFonts w:ascii="Open Sans" w:cs="Open Sans" w:eastAsia="Open Sans" w:hAnsi="Open Sans"/>
          <w:b w:val="1"/>
          <w:color w:val="000000"/>
          <w:sz w:val="22"/>
          <w:szCs w:val="22"/>
          <w:rtl w:val="0"/>
        </w:rPr>
        <w:t xml:space="preserve">los badajocenses han pasado de cobrar un salario medio de 26.461 euros/año en 2023 a cobrar 23.421 euros/año en 2024 (es decir, un 11,5% menos). </w:t>
      </w:r>
      <w:r w:rsidDel="00000000" w:rsidR="00000000" w:rsidRPr="00000000">
        <w:rPr>
          <w:rFonts w:ascii="Open Sans" w:cs="Open Sans" w:eastAsia="Open Sans" w:hAnsi="Open Sans"/>
          <w:color w:val="000000"/>
          <w:sz w:val="22"/>
          <w:szCs w:val="22"/>
          <w:rtl w:val="0"/>
        </w:rPr>
        <w:t xml:space="preserve">A esto se añade, que en Badajoz </w:t>
      </w:r>
      <w:r w:rsidDel="00000000" w:rsidR="00000000" w:rsidRPr="00000000">
        <w:rPr>
          <w:rFonts w:ascii="Open Sans" w:cs="Open Sans" w:eastAsia="Open Sans" w:hAnsi="Open Sans"/>
          <w:b w:val="1"/>
          <w:color w:val="000000"/>
          <w:sz w:val="22"/>
          <w:szCs w:val="22"/>
          <w:rtl w:val="0"/>
        </w:rPr>
        <w:t xml:space="preserve">el precio de la vivienda se encareció un 4,6% </w:t>
      </w:r>
      <w:r w:rsidDel="00000000" w:rsidR="00000000" w:rsidRPr="00000000">
        <w:rPr>
          <w:rFonts w:ascii="Open Sans" w:cs="Open Sans" w:eastAsia="Open Sans" w:hAnsi="Open Sans"/>
          <w:color w:val="000000"/>
          <w:sz w:val="22"/>
          <w:szCs w:val="22"/>
          <w:rtl w:val="0"/>
        </w:rPr>
        <w:t xml:space="preserve">respecto al año anterior, </w:t>
      </w:r>
      <w:r w:rsidDel="00000000" w:rsidR="00000000" w:rsidRPr="00000000">
        <w:rPr>
          <w:rFonts w:ascii="Open Sans" w:cs="Open Sans" w:eastAsia="Open Sans" w:hAnsi="Open Sans"/>
          <w:sz w:val="22"/>
          <w:szCs w:val="22"/>
          <w:rtl w:val="0"/>
        </w:rPr>
        <w:t xml:space="preserve">y</w:t>
      </w:r>
      <w:r w:rsidDel="00000000" w:rsidR="00000000" w:rsidRPr="00000000">
        <w:rPr>
          <w:rFonts w:ascii="Open Sans" w:cs="Open Sans" w:eastAsia="Open Sans" w:hAnsi="Open Sans"/>
          <w:color w:val="000000"/>
          <w:sz w:val="22"/>
          <w:szCs w:val="22"/>
          <w:rtl w:val="0"/>
        </w:rPr>
        <w:t xml:space="preserve"> se ha pasado de pagar 1.175 euros/m</w:t>
      </w:r>
      <w:r w:rsidDel="00000000" w:rsidR="00000000" w:rsidRPr="00000000">
        <w:rPr>
          <w:rFonts w:ascii="Open Sans" w:cs="Open Sans" w:eastAsia="Open Sans" w:hAnsi="Open Sans"/>
          <w:color w:val="000000"/>
          <w:sz w:val="22"/>
          <w:szCs w:val="22"/>
          <w:vertAlign w:val="superscript"/>
          <w:rtl w:val="0"/>
        </w:rPr>
        <w:t xml:space="preserve">2</w:t>
      </w:r>
      <w:r w:rsidDel="00000000" w:rsidR="00000000" w:rsidRPr="00000000">
        <w:rPr>
          <w:rFonts w:ascii="Open Sans" w:cs="Open Sans" w:eastAsia="Open Sans" w:hAnsi="Open Sans"/>
          <w:color w:val="000000"/>
          <w:sz w:val="22"/>
          <w:szCs w:val="22"/>
          <w:rtl w:val="0"/>
        </w:rPr>
        <w:t xml:space="preserve"> en 2023 a pagar 1.229 euros/m</w:t>
      </w:r>
      <w:r w:rsidDel="00000000" w:rsidR="00000000" w:rsidRPr="00000000">
        <w:rPr>
          <w:rFonts w:ascii="Open Sans" w:cs="Open Sans" w:eastAsia="Open Sans" w:hAnsi="Open Sans"/>
          <w:color w:val="000000"/>
          <w:sz w:val="22"/>
          <w:szCs w:val="22"/>
          <w:vertAlign w:val="superscript"/>
          <w:rtl w:val="0"/>
        </w:rPr>
        <w:t xml:space="preserve">2</w:t>
      </w:r>
      <w:r w:rsidDel="00000000" w:rsidR="00000000" w:rsidRPr="00000000">
        <w:rPr>
          <w:rFonts w:ascii="Open Sans" w:cs="Open Sans" w:eastAsia="Open Sans" w:hAnsi="Open Sans"/>
          <w:color w:val="000000"/>
          <w:sz w:val="22"/>
          <w:szCs w:val="22"/>
          <w:rtl w:val="0"/>
        </w:rPr>
        <w:t xml:space="preserve"> en 2024.</w:t>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Por otro lado, </w:t>
      </w:r>
      <w:r w:rsidDel="00000000" w:rsidR="00000000" w:rsidRPr="00000000">
        <w:rPr>
          <w:rFonts w:ascii="Open Sans" w:cs="Open Sans" w:eastAsia="Open Sans" w:hAnsi="Open Sans"/>
          <w:b w:val="1"/>
          <w:color w:val="000000"/>
          <w:sz w:val="22"/>
          <w:szCs w:val="22"/>
          <w:rtl w:val="0"/>
        </w:rPr>
        <w:t xml:space="preserve">la provincia en la que se ha encarecido más el precio de la vivienda en venta en el último año es Alicante/Alacant con un 21,3% en el último año</w:t>
      </w:r>
      <w:r w:rsidDel="00000000" w:rsidR="00000000" w:rsidRPr="00000000">
        <w:rPr>
          <w:rFonts w:ascii="Open Sans" w:cs="Open Sans" w:eastAsia="Open Sans" w:hAnsi="Open Sans"/>
          <w:color w:val="000000"/>
          <w:sz w:val="22"/>
          <w:szCs w:val="22"/>
          <w:rtl w:val="0"/>
        </w:rPr>
        <w:t xml:space="preserve"> (respecto a 2023). Así, si nos centramos en estos datos, vemos que los alicantinos han pasado de pagar 2.024 euros/m</w:t>
      </w:r>
      <w:r w:rsidDel="00000000" w:rsidR="00000000" w:rsidRPr="00000000">
        <w:rPr>
          <w:rFonts w:ascii="Open Sans" w:cs="Open Sans" w:eastAsia="Open Sans" w:hAnsi="Open Sans"/>
          <w:color w:val="000000"/>
          <w:sz w:val="22"/>
          <w:szCs w:val="22"/>
          <w:vertAlign w:val="superscript"/>
          <w:rtl w:val="0"/>
        </w:rPr>
        <w:t xml:space="preserve">2</w:t>
      </w:r>
      <w:r w:rsidDel="00000000" w:rsidR="00000000" w:rsidRPr="00000000">
        <w:rPr>
          <w:rFonts w:ascii="Open Sans" w:cs="Open Sans" w:eastAsia="Open Sans" w:hAnsi="Open Sans"/>
          <w:color w:val="000000"/>
          <w:sz w:val="22"/>
          <w:szCs w:val="22"/>
          <w:rtl w:val="0"/>
        </w:rPr>
        <w:t xml:space="preserve"> en 20</w:t>
      </w:r>
      <w:r w:rsidDel="00000000" w:rsidR="00000000" w:rsidRPr="00000000">
        <w:rPr>
          <w:rFonts w:ascii="Open Sans" w:cs="Open Sans" w:eastAsia="Open Sans" w:hAnsi="Open Sans"/>
          <w:sz w:val="22"/>
          <w:szCs w:val="22"/>
          <w:rtl w:val="0"/>
        </w:rPr>
        <w:t xml:space="preserve">23</w:t>
      </w:r>
      <w:r w:rsidDel="00000000" w:rsidR="00000000" w:rsidRPr="00000000">
        <w:rPr>
          <w:rFonts w:ascii="Open Sans" w:cs="Open Sans" w:eastAsia="Open Sans" w:hAnsi="Open Sans"/>
          <w:color w:val="000000"/>
          <w:sz w:val="22"/>
          <w:szCs w:val="22"/>
          <w:rtl w:val="0"/>
        </w:rPr>
        <w:t xml:space="preserve"> a pagar 2.456 euros en 2024 por el metro cuadrado de una vivienda en venta (un 21,3% más). A esto se añade que los salarios medios de Alicante/Alacant cayeron un 2,6% en 2024 (han pasado de los 27.348 euros/año en 2023 a los 26.634 euros/año en 2024).</w:t>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Zaragoza y Jaén son las provincias que se </w:t>
      </w:r>
      <w:r w:rsidDel="00000000" w:rsidR="00000000" w:rsidRPr="00000000">
        <w:rPr>
          <w:rFonts w:ascii="Open Sans" w:cs="Open Sans" w:eastAsia="Open Sans" w:hAnsi="Open Sans"/>
          <w:sz w:val="22"/>
          <w:szCs w:val="22"/>
          <w:rtl w:val="0"/>
        </w:rPr>
        <w:t xml:space="preserve">han visto </w:t>
      </w:r>
      <w:r w:rsidDel="00000000" w:rsidR="00000000" w:rsidRPr="00000000">
        <w:rPr>
          <w:rFonts w:ascii="Open Sans" w:cs="Open Sans" w:eastAsia="Open Sans" w:hAnsi="Open Sans"/>
          <w:color w:val="000000"/>
          <w:sz w:val="22"/>
          <w:szCs w:val="22"/>
          <w:rtl w:val="0"/>
        </w:rPr>
        <w:t xml:space="preserve">beneficiadas </w:t>
      </w:r>
      <w:r w:rsidDel="00000000" w:rsidR="00000000" w:rsidRPr="00000000">
        <w:rPr>
          <w:rFonts w:ascii="Open Sans" w:cs="Open Sans" w:eastAsia="Open Sans" w:hAnsi="Open Sans"/>
          <w:sz w:val="22"/>
          <w:szCs w:val="22"/>
          <w:rtl w:val="0"/>
        </w:rPr>
        <w:t xml:space="preserve">por la subida del salario medio provincial y la bajada del precio de la vivienda</w:t>
      </w:r>
      <w:r w:rsidDel="00000000" w:rsidR="00000000" w:rsidRPr="00000000">
        <w:rPr>
          <w:rFonts w:ascii="Open Sans" w:cs="Open Sans" w:eastAsia="Open Sans" w:hAnsi="Open Sans"/>
          <w:color w:val="000000"/>
          <w:sz w:val="22"/>
          <w:szCs w:val="22"/>
          <w:rtl w:val="0"/>
        </w:rPr>
        <w:t xml:space="preserve"> en el último año (2024). </w:t>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National" w:cs="National" w:eastAsia="National" w:hAnsi="National"/>
          <w:b w:val="1"/>
          <w:color w:val="303ab2"/>
          <w:sz w:val="30"/>
          <w:szCs w:val="30"/>
        </w:rPr>
      </w:pPr>
      <w:r w:rsidDel="00000000" w:rsidR="00000000" w:rsidRPr="00000000">
        <w:rPr>
          <w:rFonts w:ascii="National" w:cs="National" w:eastAsia="National" w:hAnsi="National"/>
          <w:b w:val="1"/>
          <w:color w:val="303ab2"/>
          <w:sz w:val="30"/>
          <w:szCs w:val="30"/>
          <w:rtl w:val="0"/>
        </w:rPr>
        <w:t xml:space="preserve">Provincias con aumento de sueldo y descenso del precio de la vivienda </w:t>
      </w:r>
    </w:p>
    <w:tbl>
      <w:tblPr>
        <w:tblStyle w:val="Table3"/>
        <w:tblW w:w="9667.0" w:type="dxa"/>
        <w:jc w:val="left"/>
        <w:tblInd w:w="-436.0" w:type="dxa"/>
        <w:tblLayout w:type="fixed"/>
        <w:tblLook w:val="0400"/>
      </w:tblPr>
      <w:tblGrid>
        <w:gridCol w:w="1319"/>
        <w:gridCol w:w="1464"/>
        <w:gridCol w:w="1471"/>
        <w:gridCol w:w="1275"/>
        <w:gridCol w:w="1418"/>
        <w:gridCol w:w="1417"/>
        <w:gridCol w:w="1303"/>
        <w:tblGridChange w:id="0">
          <w:tblGrid>
            <w:gridCol w:w="1319"/>
            <w:gridCol w:w="1464"/>
            <w:gridCol w:w="1471"/>
            <w:gridCol w:w="1275"/>
            <w:gridCol w:w="1418"/>
            <w:gridCol w:w="1417"/>
            <w:gridCol w:w="1303"/>
          </w:tblGrid>
        </w:tblGridChange>
      </w:tblGrid>
      <w:tr>
        <w:trPr>
          <w:cantSplit w:val="0"/>
          <w:trHeight w:val="651" w:hRule="atLeast"/>
          <w:tblHeader w:val="0"/>
        </w:trPr>
        <w:tc>
          <w:tcPr>
            <w:tcBorders>
              <w:top w:color="2e74b5" w:space="0" w:sz="8" w:val="single"/>
              <w:left w:color="2e74b5" w:space="0" w:sz="8" w:val="single"/>
              <w:bottom w:color="000000" w:space="0" w:sz="0" w:val="nil"/>
              <w:right w:color="2e74b5" w:space="0" w:sz="8" w:val="single"/>
            </w:tcBorders>
            <w:shd w:fill="9cc2e5" w:val="clear"/>
            <w:vAlign w:val="center"/>
          </w:tcPr>
          <w:p w:rsidR="00000000" w:rsidDel="00000000" w:rsidP="00000000" w:rsidRDefault="00000000" w:rsidRPr="00000000" w14:paraId="0000010C">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Provincia</w:t>
            </w:r>
          </w:p>
        </w:tc>
        <w:tc>
          <w:tcPr>
            <w:tcBorders>
              <w:top w:color="2e74b5" w:space="0" w:sz="8" w:val="single"/>
              <w:left w:color="000000" w:space="0" w:sz="0" w:val="nil"/>
              <w:bottom w:color="000000" w:space="0" w:sz="0" w:val="nil"/>
              <w:right w:color="2e74b5" w:space="0" w:sz="8" w:val="single"/>
            </w:tcBorders>
            <w:shd w:fill="9cc2e5" w:val="clear"/>
          </w:tcPr>
          <w:p w:rsidR="00000000" w:rsidDel="00000000" w:rsidP="00000000" w:rsidRDefault="00000000" w:rsidRPr="00000000" w14:paraId="0000010D">
            <w:pPr>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 Salario medio InfoJobs (€/año) 2023</w:t>
            </w:r>
          </w:p>
        </w:tc>
        <w:tc>
          <w:tcPr>
            <w:tcBorders>
              <w:top w:color="2e74b5" w:space="0" w:sz="8" w:val="single"/>
              <w:left w:color="000000" w:space="0" w:sz="0" w:val="nil"/>
              <w:bottom w:color="000000" w:space="0" w:sz="0" w:val="nil"/>
              <w:right w:color="2e74b5" w:space="0" w:sz="8" w:val="single"/>
            </w:tcBorders>
            <w:shd w:fill="9cc2e5" w:val="clear"/>
          </w:tcPr>
          <w:p w:rsidR="00000000" w:rsidDel="00000000" w:rsidP="00000000" w:rsidRDefault="00000000" w:rsidRPr="00000000" w14:paraId="0000010E">
            <w:pPr>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  Salario medio InfoJobs (€/año) 2024</w:t>
            </w:r>
          </w:p>
        </w:tc>
        <w:tc>
          <w:tcPr>
            <w:tcBorders>
              <w:top w:color="2e74b5" w:space="0" w:sz="8" w:val="single"/>
              <w:left w:color="000000" w:space="0" w:sz="0" w:val="nil"/>
              <w:bottom w:color="000000" w:space="0" w:sz="0" w:val="nil"/>
              <w:right w:color="2e74b5" w:space="0" w:sz="8" w:val="single"/>
            </w:tcBorders>
            <w:shd w:fill="9cc2e5" w:val="clear"/>
          </w:tcPr>
          <w:p w:rsidR="00000000" w:rsidDel="00000000" w:rsidP="00000000" w:rsidRDefault="00000000" w:rsidRPr="00000000" w14:paraId="0000010F">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 1 año (2024 vs. 2023)</w:t>
            </w:r>
          </w:p>
        </w:tc>
        <w:tc>
          <w:tcPr>
            <w:tcBorders>
              <w:top w:color="2e74b5" w:space="0" w:sz="8" w:val="single"/>
              <w:left w:color="000000" w:space="0" w:sz="0" w:val="nil"/>
              <w:bottom w:color="000000" w:space="0" w:sz="0" w:val="nil"/>
              <w:right w:color="2e74b5" w:space="0" w:sz="8" w:val="single"/>
            </w:tcBorders>
            <w:shd w:fill="9cc2e5" w:val="clear"/>
          </w:tcPr>
          <w:p w:rsidR="00000000" w:rsidDel="00000000" w:rsidP="00000000" w:rsidRDefault="00000000" w:rsidRPr="00000000" w14:paraId="00000110">
            <w:pPr>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 Precio medio vivienda (€/m</w:t>
            </w:r>
            <w:r w:rsidDel="00000000" w:rsidR="00000000" w:rsidRPr="00000000">
              <w:rPr>
                <w:rFonts w:ascii="Open Sans" w:cs="Open Sans" w:eastAsia="Open Sans" w:hAnsi="Open Sans"/>
                <w:sz w:val="18"/>
                <w:szCs w:val="18"/>
                <w:vertAlign w:val="superscript"/>
                <w:rtl w:val="0"/>
              </w:rPr>
              <w:t xml:space="preserve">2</w:t>
            </w:r>
            <w:r w:rsidDel="00000000" w:rsidR="00000000" w:rsidRPr="00000000">
              <w:rPr>
                <w:rFonts w:ascii="Open Sans" w:cs="Open Sans" w:eastAsia="Open Sans" w:hAnsi="Open Sans"/>
                <w:sz w:val="18"/>
                <w:szCs w:val="18"/>
                <w:rtl w:val="0"/>
              </w:rPr>
              <w:t xml:space="preserve">) 2023</w:t>
            </w:r>
          </w:p>
        </w:tc>
        <w:tc>
          <w:tcPr>
            <w:tcBorders>
              <w:top w:color="2e74b5" w:space="0" w:sz="8" w:val="single"/>
              <w:left w:color="000000" w:space="0" w:sz="0" w:val="nil"/>
              <w:bottom w:color="000000" w:space="0" w:sz="0" w:val="nil"/>
              <w:right w:color="2e74b5" w:space="0" w:sz="8" w:val="single"/>
            </w:tcBorders>
            <w:shd w:fill="9cc2e5" w:val="clear"/>
          </w:tcPr>
          <w:p w:rsidR="00000000" w:rsidDel="00000000" w:rsidP="00000000" w:rsidRDefault="00000000" w:rsidRPr="00000000" w14:paraId="00000111">
            <w:pPr>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 Precio medio vivienda (€/m</w:t>
            </w:r>
            <w:r w:rsidDel="00000000" w:rsidR="00000000" w:rsidRPr="00000000">
              <w:rPr>
                <w:rFonts w:ascii="Open Sans" w:cs="Open Sans" w:eastAsia="Open Sans" w:hAnsi="Open Sans"/>
                <w:sz w:val="18"/>
                <w:szCs w:val="18"/>
                <w:vertAlign w:val="superscript"/>
                <w:rtl w:val="0"/>
              </w:rPr>
              <w:t xml:space="preserve">2</w:t>
            </w:r>
            <w:r w:rsidDel="00000000" w:rsidR="00000000" w:rsidRPr="00000000">
              <w:rPr>
                <w:rFonts w:ascii="Open Sans" w:cs="Open Sans" w:eastAsia="Open Sans" w:hAnsi="Open Sans"/>
                <w:sz w:val="18"/>
                <w:szCs w:val="18"/>
                <w:rtl w:val="0"/>
              </w:rPr>
              <w:t xml:space="preserve">) 2024</w:t>
            </w:r>
          </w:p>
        </w:tc>
        <w:tc>
          <w:tcPr>
            <w:tcBorders>
              <w:top w:color="2e74b5" w:space="0" w:sz="8" w:val="single"/>
              <w:left w:color="000000" w:space="0" w:sz="0" w:val="nil"/>
              <w:bottom w:color="000000" w:space="0" w:sz="0" w:val="nil"/>
              <w:right w:color="2e74b5" w:space="0" w:sz="8" w:val="single"/>
            </w:tcBorders>
            <w:shd w:fill="9cc2e5" w:val="clear"/>
          </w:tcPr>
          <w:p w:rsidR="00000000" w:rsidDel="00000000" w:rsidP="00000000" w:rsidRDefault="00000000" w:rsidRPr="00000000" w14:paraId="00000112">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 1 año (2024 vs. 2023)</w:t>
            </w:r>
          </w:p>
        </w:tc>
      </w:tr>
      <w:tr>
        <w:trPr>
          <w:cantSplit w:val="0"/>
          <w:trHeight w:val="132" w:hRule="atLeast"/>
          <w:tblHeader w:val="0"/>
        </w:trPr>
        <w:tc>
          <w:tcPr>
            <w:tcBorders>
              <w:top w:color="2e74b5" w:space="0" w:sz="8" w:val="single"/>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11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Zaragoza</w:t>
            </w:r>
          </w:p>
          <w:p w:rsidR="00000000" w:rsidDel="00000000" w:rsidP="00000000" w:rsidRDefault="00000000" w:rsidRPr="00000000" w14:paraId="00000114">
            <w:pPr>
              <w:rPr>
                <w:rFonts w:ascii="Open Sans" w:cs="Open Sans" w:eastAsia="Open Sans" w:hAnsi="Open Sans"/>
                <w:color w:val="000000"/>
                <w:sz w:val="18"/>
                <w:szCs w:val="18"/>
              </w:rPr>
            </w:pPr>
            <w:r w:rsidDel="00000000" w:rsidR="00000000" w:rsidRPr="00000000">
              <w:rPr>
                <w:rtl w:val="0"/>
              </w:rPr>
            </w:r>
          </w:p>
        </w:tc>
        <w:tc>
          <w:tcPr>
            <w:tcBorders>
              <w:top w:color="2e74b5" w:space="0" w:sz="8" w:val="single"/>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15">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25.304 €</w:t>
            </w:r>
          </w:p>
        </w:tc>
        <w:tc>
          <w:tcPr>
            <w:tcBorders>
              <w:top w:color="2e74b5" w:space="0" w:sz="8" w:val="single"/>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16">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25.965 €</w:t>
            </w:r>
          </w:p>
        </w:tc>
        <w:tc>
          <w:tcPr>
            <w:tcBorders>
              <w:top w:color="2e74b5" w:space="0" w:sz="8" w:val="single"/>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17">
            <w:pPr>
              <w:jc w:val="center"/>
              <w:rPr>
                <w:rFonts w:ascii="Open Sans" w:cs="Open Sans" w:eastAsia="Open Sans" w:hAnsi="Open Sans"/>
                <w:b w:val="1"/>
                <w:color w:val="000000"/>
                <w:sz w:val="18"/>
                <w:szCs w:val="18"/>
              </w:rPr>
            </w:pPr>
            <w:r w:rsidDel="00000000" w:rsidR="00000000" w:rsidRPr="00000000">
              <w:rPr>
                <w:rFonts w:ascii="Open Sans" w:cs="Open Sans" w:eastAsia="Open Sans" w:hAnsi="Open Sans"/>
                <w:color w:val="000000"/>
                <w:sz w:val="18"/>
                <w:szCs w:val="18"/>
                <w:rtl w:val="0"/>
              </w:rPr>
              <w:t xml:space="preserve">2,6%</w:t>
            </w:r>
            <w:r w:rsidDel="00000000" w:rsidR="00000000" w:rsidRPr="00000000">
              <w:rPr>
                <w:rtl w:val="0"/>
              </w:rPr>
            </w:r>
          </w:p>
        </w:tc>
        <w:tc>
          <w:tcPr>
            <w:tcBorders>
              <w:top w:color="2e74b5" w:space="0" w:sz="8" w:val="single"/>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18">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1.821 €</w:t>
            </w:r>
          </w:p>
        </w:tc>
        <w:tc>
          <w:tcPr>
            <w:tcBorders>
              <w:top w:color="2e74b5" w:space="0" w:sz="8" w:val="single"/>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19">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1.819 €</w:t>
            </w:r>
          </w:p>
        </w:tc>
        <w:tc>
          <w:tcPr>
            <w:tcBorders>
              <w:top w:color="2e74b5" w:space="0" w:sz="8" w:val="single"/>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1A">
            <w:pPr>
              <w:jc w:val="center"/>
              <w:rPr>
                <w:rFonts w:ascii="Open Sans" w:cs="Open Sans" w:eastAsia="Open Sans" w:hAnsi="Open Sans"/>
                <w:b w:val="1"/>
                <w:color w:val="9c0006"/>
                <w:sz w:val="18"/>
                <w:szCs w:val="18"/>
              </w:rPr>
            </w:pPr>
            <w:r w:rsidDel="00000000" w:rsidR="00000000" w:rsidRPr="00000000">
              <w:rPr>
                <w:rFonts w:ascii="Open Sans" w:cs="Open Sans" w:eastAsia="Open Sans" w:hAnsi="Open Sans"/>
                <w:color w:val="9c0006"/>
                <w:sz w:val="18"/>
                <w:szCs w:val="18"/>
                <w:rtl w:val="0"/>
              </w:rPr>
              <w:t xml:space="preserve">-0,1%</w:t>
            </w:r>
            <w:r w:rsidDel="00000000" w:rsidR="00000000" w:rsidRPr="00000000">
              <w:rPr>
                <w:rtl w:val="0"/>
              </w:rPr>
            </w:r>
          </w:p>
        </w:tc>
      </w:tr>
      <w:tr>
        <w:trPr>
          <w:cantSplit w:val="0"/>
          <w:trHeight w:val="132" w:hRule="atLeast"/>
          <w:tblHeader w:val="0"/>
        </w:trPr>
        <w:tc>
          <w:tcPr>
            <w:tcBorders>
              <w:top w:color="2e74b5" w:space="0" w:sz="8" w:val="single"/>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11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Jaén</w:t>
            </w:r>
          </w:p>
        </w:tc>
        <w:tc>
          <w:tcPr>
            <w:tcBorders>
              <w:top w:color="2e74b5" w:space="0" w:sz="8" w:val="single"/>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1C">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26.595 €</w:t>
            </w:r>
          </w:p>
        </w:tc>
        <w:tc>
          <w:tcPr>
            <w:tcBorders>
              <w:top w:color="2e74b5" w:space="0" w:sz="8" w:val="single"/>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1D">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26.968 €</w:t>
            </w:r>
          </w:p>
        </w:tc>
        <w:tc>
          <w:tcPr>
            <w:tcBorders>
              <w:top w:color="2e74b5" w:space="0" w:sz="8" w:val="single"/>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1E">
            <w:pPr>
              <w:jc w:val="center"/>
              <w:rPr>
                <w:rFonts w:ascii="Open Sans" w:cs="Open Sans" w:eastAsia="Open Sans" w:hAnsi="Open Sans"/>
                <w:b w:val="1"/>
                <w:color w:val="000000"/>
                <w:sz w:val="18"/>
                <w:szCs w:val="18"/>
              </w:rPr>
            </w:pPr>
            <w:r w:rsidDel="00000000" w:rsidR="00000000" w:rsidRPr="00000000">
              <w:rPr>
                <w:rFonts w:ascii="Open Sans" w:cs="Open Sans" w:eastAsia="Open Sans" w:hAnsi="Open Sans"/>
                <w:color w:val="000000"/>
                <w:sz w:val="18"/>
                <w:szCs w:val="18"/>
                <w:rtl w:val="0"/>
              </w:rPr>
              <w:t xml:space="preserve">1,4%</w:t>
            </w:r>
            <w:r w:rsidDel="00000000" w:rsidR="00000000" w:rsidRPr="00000000">
              <w:rPr>
                <w:rtl w:val="0"/>
              </w:rPr>
            </w:r>
          </w:p>
        </w:tc>
        <w:tc>
          <w:tcPr>
            <w:tcBorders>
              <w:top w:color="2e74b5" w:space="0" w:sz="8" w:val="single"/>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1F">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1.006 €</w:t>
            </w:r>
          </w:p>
        </w:tc>
        <w:tc>
          <w:tcPr>
            <w:tcBorders>
              <w:top w:color="2e74b5" w:space="0" w:sz="8" w:val="single"/>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20">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1.002 €</w:t>
            </w:r>
          </w:p>
        </w:tc>
        <w:tc>
          <w:tcPr>
            <w:tcBorders>
              <w:top w:color="2e74b5" w:space="0" w:sz="8" w:val="single"/>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21">
            <w:pPr>
              <w:jc w:val="center"/>
              <w:rPr>
                <w:rFonts w:ascii="Open Sans" w:cs="Open Sans" w:eastAsia="Open Sans" w:hAnsi="Open Sans"/>
                <w:b w:val="1"/>
                <w:color w:val="9c0006"/>
                <w:sz w:val="18"/>
                <w:szCs w:val="18"/>
              </w:rPr>
            </w:pPr>
            <w:r w:rsidDel="00000000" w:rsidR="00000000" w:rsidRPr="00000000">
              <w:rPr>
                <w:rFonts w:ascii="Open Sans" w:cs="Open Sans" w:eastAsia="Open Sans" w:hAnsi="Open Sans"/>
                <w:color w:val="9c0006"/>
                <w:sz w:val="18"/>
                <w:szCs w:val="18"/>
                <w:rtl w:val="0"/>
              </w:rPr>
              <w:t xml:space="preserve">-0,4%</w:t>
            </w:r>
            <w:r w:rsidDel="00000000" w:rsidR="00000000" w:rsidRPr="00000000">
              <w:rPr>
                <w:rtl w:val="0"/>
              </w:rPr>
            </w:r>
          </w:p>
        </w:tc>
      </w:tr>
    </w:tbl>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30"/>
          <w:szCs w:val="30"/>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30"/>
          <w:szCs w:val="30"/>
        </w:rPr>
      </w:pPr>
      <w:r w:rsidDel="00000000" w:rsidR="00000000" w:rsidRPr="00000000">
        <w:rPr>
          <w:rFonts w:ascii="National" w:cs="National" w:eastAsia="National" w:hAnsi="National"/>
          <w:b w:val="1"/>
          <w:color w:val="303ab2"/>
          <w:sz w:val="30"/>
          <w:szCs w:val="30"/>
          <w:rtl w:val="0"/>
        </w:rPr>
        <w:t xml:space="preserve">Provincias con descenso de sueldo y de precio de la vivienda </w:t>
      </w:r>
    </w:p>
    <w:p w:rsidR="00000000" w:rsidDel="00000000" w:rsidP="00000000" w:rsidRDefault="00000000" w:rsidRPr="00000000" w14:paraId="00000124">
      <w:pPr>
        <w:spacing w:line="276" w:lineRule="auto"/>
        <w:ind w:right="-574"/>
        <w:rPr>
          <w:rFonts w:ascii="Open Sans Light" w:cs="Open Sans Light" w:eastAsia="Open Sans Light" w:hAnsi="Open Sans Light"/>
          <w:b w:val="1"/>
          <w:color w:val="303ab2"/>
        </w:rPr>
      </w:pPr>
      <w:r w:rsidDel="00000000" w:rsidR="00000000" w:rsidRPr="00000000">
        <w:rPr>
          <w:rtl w:val="0"/>
        </w:rPr>
      </w:r>
    </w:p>
    <w:tbl>
      <w:tblPr>
        <w:tblStyle w:val="Table4"/>
        <w:tblW w:w="9667.0" w:type="dxa"/>
        <w:jc w:val="left"/>
        <w:tblInd w:w="-436.0" w:type="dxa"/>
        <w:tblLayout w:type="fixed"/>
        <w:tblLook w:val="0400"/>
      </w:tblPr>
      <w:tblGrid>
        <w:gridCol w:w="1319"/>
        <w:gridCol w:w="1464"/>
        <w:gridCol w:w="1471"/>
        <w:gridCol w:w="1275"/>
        <w:gridCol w:w="1418"/>
        <w:gridCol w:w="1417"/>
        <w:gridCol w:w="1303"/>
        <w:tblGridChange w:id="0">
          <w:tblGrid>
            <w:gridCol w:w="1319"/>
            <w:gridCol w:w="1464"/>
            <w:gridCol w:w="1471"/>
            <w:gridCol w:w="1275"/>
            <w:gridCol w:w="1418"/>
            <w:gridCol w:w="1417"/>
            <w:gridCol w:w="1303"/>
          </w:tblGrid>
        </w:tblGridChange>
      </w:tblGrid>
      <w:tr>
        <w:trPr>
          <w:cantSplit w:val="0"/>
          <w:trHeight w:val="651" w:hRule="atLeast"/>
          <w:tblHeader w:val="0"/>
        </w:trPr>
        <w:tc>
          <w:tcPr>
            <w:tcBorders>
              <w:top w:color="2e74b5" w:space="0" w:sz="8" w:val="single"/>
              <w:left w:color="2e74b5" w:space="0" w:sz="8" w:val="single"/>
              <w:bottom w:color="000000" w:space="0" w:sz="0" w:val="nil"/>
              <w:right w:color="2e74b5" w:space="0" w:sz="8" w:val="single"/>
            </w:tcBorders>
            <w:shd w:fill="9cc2e5" w:val="clear"/>
            <w:vAlign w:val="center"/>
          </w:tcPr>
          <w:p w:rsidR="00000000" w:rsidDel="00000000" w:rsidP="00000000" w:rsidRDefault="00000000" w:rsidRPr="00000000" w14:paraId="00000125">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Provincia</w:t>
            </w:r>
          </w:p>
        </w:tc>
        <w:tc>
          <w:tcPr>
            <w:tcBorders>
              <w:top w:color="2e74b5" w:space="0" w:sz="8" w:val="single"/>
              <w:left w:color="000000" w:space="0" w:sz="0" w:val="nil"/>
              <w:bottom w:color="000000" w:space="0" w:sz="0" w:val="nil"/>
              <w:right w:color="2e74b5" w:space="0" w:sz="8" w:val="single"/>
            </w:tcBorders>
            <w:shd w:fill="9cc2e5" w:val="clear"/>
          </w:tcPr>
          <w:p w:rsidR="00000000" w:rsidDel="00000000" w:rsidP="00000000" w:rsidRDefault="00000000" w:rsidRPr="00000000" w14:paraId="00000126">
            <w:pPr>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 Salario medio InfoJobs (€/año) 2023</w:t>
            </w:r>
          </w:p>
        </w:tc>
        <w:tc>
          <w:tcPr>
            <w:tcBorders>
              <w:top w:color="2e74b5" w:space="0" w:sz="8" w:val="single"/>
              <w:left w:color="000000" w:space="0" w:sz="0" w:val="nil"/>
              <w:bottom w:color="000000" w:space="0" w:sz="0" w:val="nil"/>
              <w:right w:color="2e74b5" w:space="0" w:sz="8" w:val="single"/>
            </w:tcBorders>
            <w:shd w:fill="9cc2e5" w:val="clear"/>
          </w:tcPr>
          <w:p w:rsidR="00000000" w:rsidDel="00000000" w:rsidP="00000000" w:rsidRDefault="00000000" w:rsidRPr="00000000" w14:paraId="00000127">
            <w:pPr>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  Salario medio InfoJobs (€/año) 2024</w:t>
            </w:r>
          </w:p>
        </w:tc>
        <w:tc>
          <w:tcPr>
            <w:tcBorders>
              <w:top w:color="2e74b5" w:space="0" w:sz="8" w:val="single"/>
              <w:left w:color="000000" w:space="0" w:sz="0" w:val="nil"/>
              <w:bottom w:color="000000" w:space="0" w:sz="0" w:val="nil"/>
              <w:right w:color="2e74b5" w:space="0" w:sz="8" w:val="single"/>
            </w:tcBorders>
            <w:shd w:fill="9cc2e5" w:val="clear"/>
          </w:tcPr>
          <w:p w:rsidR="00000000" w:rsidDel="00000000" w:rsidP="00000000" w:rsidRDefault="00000000" w:rsidRPr="00000000" w14:paraId="00000128">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 1 año (2024 vs. 2023)</w:t>
            </w:r>
          </w:p>
        </w:tc>
        <w:tc>
          <w:tcPr>
            <w:tcBorders>
              <w:top w:color="2e74b5" w:space="0" w:sz="8" w:val="single"/>
              <w:left w:color="000000" w:space="0" w:sz="0" w:val="nil"/>
              <w:bottom w:color="000000" w:space="0" w:sz="0" w:val="nil"/>
              <w:right w:color="2e74b5" w:space="0" w:sz="8" w:val="single"/>
            </w:tcBorders>
            <w:shd w:fill="9cc2e5" w:val="clear"/>
          </w:tcPr>
          <w:p w:rsidR="00000000" w:rsidDel="00000000" w:rsidP="00000000" w:rsidRDefault="00000000" w:rsidRPr="00000000" w14:paraId="00000129">
            <w:pPr>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 Precio medio vivienda (€/m</w:t>
            </w:r>
            <w:r w:rsidDel="00000000" w:rsidR="00000000" w:rsidRPr="00000000">
              <w:rPr>
                <w:rFonts w:ascii="Open Sans" w:cs="Open Sans" w:eastAsia="Open Sans" w:hAnsi="Open Sans"/>
                <w:sz w:val="18"/>
                <w:szCs w:val="18"/>
                <w:vertAlign w:val="superscript"/>
                <w:rtl w:val="0"/>
              </w:rPr>
              <w:t xml:space="preserve">2</w:t>
            </w:r>
            <w:r w:rsidDel="00000000" w:rsidR="00000000" w:rsidRPr="00000000">
              <w:rPr>
                <w:rFonts w:ascii="Open Sans" w:cs="Open Sans" w:eastAsia="Open Sans" w:hAnsi="Open Sans"/>
                <w:sz w:val="18"/>
                <w:szCs w:val="18"/>
                <w:rtl w:val="0"/>
              </w:rPr>
              <w:t xml:space="preserve">) 2023</w:t>
            </w:r>
          </w:p>
        </w:tc>
        <w:tc>
          <w:tcPr>
            <w:tcBorders>
              <w:top w:color="2e74b5" w:space="0" w:sz="8" w:val="single"/>
              <w:left w:color="000000" w:space="0" w:sz="0" w:val="nil"/>
              <w:bottom w:color="000000" w:space="0" w:sz="0" w:val="nil"/>
              <w:right w:color="2e74b5" w:space="0" w:sz="8" w:val="single"/>
            </w:tcBorders>
            <w:shd w:fill="9cc2e5" w:val="clear"/>
          </w:tcPr>
          <w:p w:rsidR="00000000" w:rsidDel="00000000" w:rsidP="00000000" w:rsidRDefault="00000000" w:rsidRPr="00000000" w14:paraId="0000012A">
            <w:pPr>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 Precio medio vivienda (€/m</w:t>
            </w:r>
            <w:r w:rsidDel="00000000" w:rsidR="00000000" w:rsidRPr="00000000">
              <w:rPr>
                <w:rFonts w:ascii="Open Sans" w:cs="Open Sans" w:eastAsia="Open Sans" w:hAnsi="Open Sans"/>
                <w:sz w:val="18"/>
                <w:szCs w:val="18"/>
                <w:vertAlign w:val="superscript"/>
                <w:rtl w:val="0"/>
              </w:rPr>
              <w:t xml:space="preserve">2</w:t>
            </w:r>
            <w:r w:rsidDel="00000000" w:rsidR="00000000" w:rsidRPr="00000000">
              <w:rPr>
                <w:rFonts w:ascii="Open Sans" w:cs="Open Sans" w:eastAsia="Open Sans" w:hAnsi="Open Sans"/>
                <w:sz w:val="18"/>
                <w:szCs w:val="18"/>
                <w:rtl w:val="0"/>
              </w:rPr>
              <w:t xml:space="preserve">) 2024</w:t>
            </w:r>
          </w:p>
        </w:tc>
        <w:tc>
          <w:tcPr>
            <w:tcBorders>
              <w:top w:color="2e74b5" w:space="0" w:sz="8" w:val="single"/>
              <w:left w:color="000000" w:space="0" w:sz="0" w:val="nil"/>
              <w:bottom w:color="000000" w:space="0" w:sz="0" w:val="nil"/>
              <w:right w:color="2e74b5" w:space="0" w:sz="8" w:val="single"/>
            </w:tcBorders>
            <w:shd w:fill="9cc2e5" w:val="clear"/>
          </w:tcPr>
          <w:p w:rsidR="00000000" w:rsidDel="00000000" w:rsidP="00000000" w:rsidRDefault="00000000" w:rsidRPr="00000000" w14:paraId="0000012B">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 1 año (2024 vs. 2023)</w:t>
            </w:r>
          </w:p>
        </w:tc>
      </w:tr>
      <w:tr>
        <w:trPr>
          <w:cantSplit w:val="0"/>
          <w:trHeight w:val="132" w:hRule="atLeast"/>
          <w:tblHeader w:val="0"/>
        </w:trPr>
        <w:tc>
          <w:tcPr>
            <w:tcBorders>
              <w:top w:color="2e74b5" w:space="0" w:sz="8" w:val="single"/>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12C">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Córdoba</w:t>
            </w:r>
          </w:p>
        </w:tc>
        <w:tc>
          <w:tcPr>
            <w:tcBorders>
              <w:top w:color="2e74b5" w:space="0" w:sz="8" w:val="single"/>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2D">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29.644 €</w:t>
            </w:r>
          </w:p>
        </w:tc>
        <w:tc>
          <w:tcPr>
            <w:tcBorders>
              <w:top w:color="2e74b5" w:space="0" w:sz="8" w:val="single"/>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2E">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28.943 €</w:t>
            </w:r>
          </w:p>
        </w:tc>
        <w:tc>
          <w:tcPr>
            <w:tcBorders>
              <w:top w:color="2e74b5" w:space="0" w:sz="8" w:val="single"/>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2F">
            <w:pPr>
              <w:jc w:val="center"/>
              <w:rPr>
                <w:rFonts w:ascii="Open Sans" w:cs="Open Sans" w:eastAsia="Open Sans" w:hAnsi="Open Sans"/>
                <w:b w:val="1"/>
                <w:color w:val="000000"/>
                <w:sz w:val="18"/>
                <w:szCs w:val="18"/>
              </w:rPr>
            </w:pPr>
            <w:r w:rsidDel="00000000" w:rsidR="00000000" w:rsidRPr="00000000">
              <w:rPr>
                <w:rFonts w:ascii="Open Sans" w:cs="Open Sans" w:eastAsia="Open Sans" w:hAnsi="Open Sans"/>
                <w:color w:val="9c0006"/>
                <w:sz w:val="18"/>
                <w:szCs w:val="18"/>
                <w:rtl w:val="0"/>
              </w:rPr>
              <w:t xml:space="preserve">-2,4%</w:t>
            </w:r>
            <w:r w:rsidDel="00000000" w:rsidR="00000000" w:rsidRPr="00000000">
              <w:rPr>
                <w:rtl w:val="0"/>
              </w:rPr>
            </w:r>
          </w:p>
        </w:tc>
        <w:tc>
          <w:tcPr>
            <w:tcBorders>
              <w:top w:color="2e74b5" w:space="0" w:sz="8" w:val="single"/>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30">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1.497 €</w:t>
            </w:r>
          </w:p>
        </w:tc>
        <w:tc>
          <w:tcPr>
            <w:tcBorders>
              <w:top w:color="2e74b5" w:space="0" w:sz="8" w:val="single"/>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31">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1.423 €</w:t>
            </w:r>
          </w:p>
        </w:tc>
        <w:tc>
          <w:tcPr>
            <w:tcBorders>
              <w:top w:color="2e74b5" w:space="0" w:sz="8" w:val="single"/>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32">
            <w:pPr>
              <w:jc w:val="center"/>
              <w:rPr>
                <w:rFonts w:ascii="Open Sans" w:cs="Open Sans" w:eastAsia="Open Sans" w:hAnsi="Open Sans"/>
                <w:b w:val="1"/>
                <w:color w:val="9c0006"/>
                <w:sz w:val="18"/>
                <w:szCs w:val="18"/>
              </w:rPr>
            </w:pPr>
            <w:r w:rsidDel="00000000" w:rsidR="00000000" w:rsidRPr="00000000">
              <w:rPr>
                <w:rFonts w:ascii="Open Sans" w:cs="Open Sans" w:eastAsia="Open Sans" w:hAnsi="Open Sans"/>
                <w:color w:val="9c0006"/>
                <w:sz w:val="18"/>
                <w:szCs w:val="18"/>
                <w:rtl w:val="0"/>
              </w:rPr>
              <w:t xml:space="preserve">-4,9%</w:t>
            </w:r>
            <w:r w:rsidDel="00000000" w:rsidR="00000000" w:rsidRPr="00000000">
              <w:rPr>
                <w:rtl w:val="0"/>
              </w:rPr>
            </w:r>
          </w:p>
        </w:tc>
      </w:tr>
      <w:tr>
        <w:trPr>
          <w:cantSplit w:val="0"/>
          <w:trHeight w:val="132" w:hRule="atLeast"/>
          <w:tblHeader w:val="0"/>
        </w:trPr>
        <w:tc>
          <w:tcPr>
            <w:tcBorders>
              <w:top w:color="2e74b5" w:space="0" w:sz="8" w:val="single"/>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13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Ciudad Real</w:t>
            </w:r>
          </w:p>
        </w:tc>
        <w:tc>
          <w:tcPr>
            <w:tcBorders>
              <w:top w:color="2e74b5" w:space="0" w:sz="8" w:val="single"/>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34">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28.256 €</w:t>
            </w:r>
          </w:p>
        </w:tc>
        <w:tc>
          <w:tcPr>
            <w:tcBorders>
              <w:top w:color="2e74b5" w:space="0" w:sz="8" w:val="single"/>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35">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27.001 €</w:t>
            </w:r>
          </w:p>
        </w:tc>
        <w:tc>
          <w:tcPr>
            <w:tcBorders>
              <w:top w:color="2e74b5" w:space="0" w:sz="8" w:val="single"/>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36">
            <w:pPr>
              <w:jc w:val="center"/>
              <w:rPr>
                <w:rFonts w:ascii="Open Sans" w:cs="Open Sans" w:eastAsia="Open Sans" w:hAnsi="Open Sans"/>
                <w:b w:val="1"/>
                <w:color w:val="000000"/>
                <w:sz w:val="18"/>
                <w:szCs w:val="18"/>
              </w:rPr>
            </w:pPr>
            <w:r w:rsidDel="00000000" w:rsidR="00000000" w:rsidRPr="00000000">
              <w:rPr>
                <w:rFonts w:ascii="Open Sans" w:cs="Open Sans" w:eastAsia="Open Sans" w:hAnsi="Open Sans"/>
                <w:color w:val="9c0006"/>
                <w:sz w:val="18"/>
                <w:szCs w:val="18"/>
                <w:rtl w:val="0"/>
              </w:rPr>
              <w:t xml:space="preserve">-4,4%</w:t>
            </w:r>
            <w:r w:rsidDel="00000000" w:rsidR="00000000" w:rsidRPr="00000000">
              <w:rPr>
                <w:rtl w:val="0"/>
              </w:rPr>
            </w:r>
          </w:p>
        </w:tc>
        <w:tc>
          <w:tcPr>
            <w:tcBorders>
              <w:top w:color="2e74b5" w:space="0" w:sz="8" w:val="single"/>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37">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980 €</w:t>
            </w:r>
          </w:p>
        </w:tc>
        <w:tc>
          <w:tcPr>
            <w:tcBorders>
              <w:top w:color="2e74b5" w:space="0" w:sz="8" w:val="single"/>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38">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960 €</w:t>
            </w:r>
          </w:p>
        </w:tc>
        <w:tc>
          <w:tcPr>
            <w:tcBorders>
              <w:top w:color="2e74b5" w:space="0" w:sz="8" w:val="single"/>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39">
            <w:pPr>
              <w:jc w:val="center"/>
              <w:rPr>
                <w:rFonts w:ascii="Open Sans" w:cs="Open Sans" w:eastAsia="Open Sans" w:hAnsi="Open Sans"/>
                <w:b w:val="1"/>
                <w:color w:val="9c0006"/>
                <w:sz w:val="18"/>
                <w:szCs w:val="18"/>
              </w:rPr>
            </w:pPr>
            <w:r w:rsidDel="00000000" w:rsidR="00000000" w:rsidRPr="00000000">
              <w:rPr>
                <w:rFonts w:ascii="Open Sans" w:cs="Open Sans" w:eastAsia="Open Sans" w:hAnsi="Open Sans"/>
                <w:color w:val="9c0006"/>
                <w:sz w:val="18"/>
                <w:szCs w:val="18"/>
                <w:rtl w:val="0"/>
              </w:rPr>
              <w:t xml:space="preserve">-2,1%</w:t>
            </w:r>
            <w:r w:rsidDel="00000000" w:rsidR="00000000" w:rsidRPr="00000000">
              <w:rPr>
                <w:rtl w:val="0"/>
              </w:rPr>
            </w:r>
          </w:p>
        </w:tc>
      </w:tr>
      <w:tr>
        <w:trPr>
          <w:cantSplit w:val="0"/>
          <w:trHeight w:val="132" w:hRule="atLeast"/>
          <w:tblHeader w:val="0"/>
        </w:trPr>
        <w:tc>
          <w:tcPr>
            <w:tcBorders>
              <w:top w:color="2e74b5" w:space="0" w:sz="8" w:val="single"/>
              <w:left w:color="2e74b5" w:space="0" w:sz="8" w:val="single"/>
              <w:bottom w:color="2e74b5" w:space="0" w:sz="8" w:val="single"/>
              <w:right w:color="2e74b5" w:space="0" w:sz="8" w:val="single"/>
            </w:tcBorders>
            <w:shd w:fill="9cc2e5" w:val="clear"/>
            <w:vAlign w:val="bottom"/>
          </w:tcPr>
          <w:p w:rsidR="00000000" w:rsidDel="00000000" w:rsidP="00000000" w:rsidRDefault="00000000" w:rsidRPr="00000000" w14:paraId="0000013A">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La Rioja</w:t>
            </w:r>
          </w:p>
        </w:tc>
        <w:tc>
          <w:tcPr>
            <w:tcBorders>
              <w:top w:color="2e74b5" w:space="0" w:sz="8" w:val="single"/>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3B">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25.939 €</w:t>
            </w:r>
          </w:p>
        </w:tc>
        <w:tc>
          <w:tcPr>
            <w:tcBorders>
              <w:top w:color="2e74b5" w:space="0" w:sz="8" w:val="single"/>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3C">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25.656 €</w:t>
            </w:r>
          </w:p>
        </w:tc>
        <w:tc>
          <w:tcPr>
            <w:tcBorders>
              <w:top w:color="2e74b5" w:space="0" w:sz="8" w:val="single"/>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3D">
            <w:pPr>
              <w:jc w:val="center"/>
              <w:rPr>
                <w:rFonts w:ascii="Open Sans" w:cs="Open Sans" w:eastAsia="Open Sans" w:hAnsi="Open Sans"/>
                <w:b w:val="1"/>
                <w:color w:val="000000"/>
                <w:sz w:val="18"/>
                <w:szCs w:val="18"/>
              </w:rPr>
            </w:pPr>
            <w:r w:rsidDel="00000000" w:rsidR="00000000" w:rsidRPr="00000000">
              <w:rPr>
                <w:rFonts w:ascii="Open Sans" w:cs="Open Sans" w:eastAsia="Open Sans" w:hAnsi="Open Sans"/>
                <w:color w:val="9c0006"/>
                <w:sz w:val="18"/>
                <w:szCs w:val="18"/>
                <w:rtl w:val="0"/>
              </w:rPr>
              <w:t xml:space="preserve">-1,1%</w:t>
            </w:r>
            <w:r w:rsidDel="00000000" w:rsidR="00000000" w:rsidRPr="00000000">
              <w:rPr>
                <w:rtl w:val="0"/>
              </w:rPr>
            </w:r>
          </w:p>
        </w:tc>
        <w:tc>
          <w:tcPr>
            <w:tcBorders>
              <w:top w:color="2e74b5" w:space="0" w:sz="8" w:val="single"/>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3E">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1.670 €</w:t>
            </w:r>
          </w:p>
        </w:tc>
        <w:tc>
          <w:tcPr>
            <w:tcBorders>
              <w:top w:color="2e74b5" w:space="0" w:sz="8" w:val="single"/>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3F">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1.668 €</w:t>
            </w:r>
          </w:p>
        </w:tc>
        <w:tc>
          <w:tcPr>
            <w:tcBorders>
              <w:top w:color="2e74b5" w:space="0" w:sz="8" w:val="single"/>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40">
            <w:pPr>
              <w:jc w:val="center"/>
              <w:rPr>
                <w:rFonts w:ascii="Open Sans" w:cs="Open Sans" w:eastAsia="Open Sans" w:hAnsi="Open Sans"/>
                <w:b w:val="1"/>
                <w:color w:val="9c0006"/>
                <w:sz w:val="18"/>
                <w:szCs w:val="18"/>
              </w:rPr>
            </w:pPr>
            <w:r w:rsidDel="00000000" w:rsidR="00000000" w:rsidRPr="00000000">
              <w:rPr>
                <w:rFonts w:ascii="Open Sans" w:cs="Open Sans" w:eastAsia="Open Sans" w:hAnsi="Open Sans"/>
                <w:color w:val="9c0006"/>
                <w:sz w:val="18"/>
                <w:szCs w:val="18"/>
                <w:rtl w:val="0"/>
              </w:rPr>
              <w:t xml:space="preserve">-0,1%</w:t>
            </w:r>
            <w:r w:rsidDel="00000000" w:rsidR="00000000" w:rsidRPr="00000000">
              <w:rPr>
                <w:rtl w:val="0"/>
              </w:rPr>
            </w:r>
          </w:p>
        </w:tc>
      </w:tr>
    </w:tbl>
    <w:p w:rsidR="00000000" w:rsidDel="00000000" w:rsidP="00000000" w:rsidRDefault="00000000" w:rsidRPr="00000000" w14:paraId="00000141">
      <w:pPr>
        <w:pBdr>
          <w:top w:space="0" w:sz="0" w:val="nil"/>
          <w:left w:space="0" w:sz="0" w:val="nil"/>
          <w:bottom w:space="0" w:sz="0" w:val="nil"/>
          <w:right w:space="0" w:sz="0" w:val="nil"/>
          <w:between w:space="0" w:sz="0" w:val="nil"/>
        </w:pBdr>
        <w:shd w:fill="ffffff" w:val="clear"/>
        <w:spacing w:after="280" w:before="280" w:line="276" w:lineRule="auto"/>
        <w:ind w:right="-574"/>
        <w:jc w:val="center"/>
        <w:rPr>
          <w:rFonts w:ascii="National" w:cs="National" w:eastAsia="National" w:hAnsi="National"/>
          <w:b w:val="1"/>
          <w:color w:val="303ab2"/>
          <w:sz w:val="28"/>
          <w:szCs w:val="28"/>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ffffff" w:val="clear"/>
        <w:spacing w:after="280" w:before="280" w:line="276" w:lineRule="auto"/>
        <w:ind w:right="-574"/>
        <w:jc w:val="center"/>
        <w:rPr>
          <w:rFonts w:ascii="National" w:cs="National" w:eastAsia="National" w:hAnsi="National"/>
          <w:b w:val="1"/>
          <w:color w:val="303ab2"/>
          <w:sz w:val="28"/>
          <w:szCs w:val="28"/>
        </w:rPr>
      </w:pPr>
      <w:r w:rsidDel="00000000" w:rsidR="00000000" w:rsidRPr="00000000">
        <w:rPr>
          <w:rFonts w:ascii="National" w:cs="National" w:eastAsia="National" w:hAnsi="National"/>
          <w:b w:val="1"/>
          <w:color w:val="303ab2"/>
          <w:sz w:val="28"/>
          <w:szCs w:val="28"/>
          <w:rtl w:val="0"/>
        </w:rPr>
        <w:t xml:space="preserve">Variación anual de los salarios y del precio de la vivienda en venta por provincias</w:t>
      </w:r>
      <w:r w:rsidDel="00000000" w:rsidR="00000000" w:rsidRPr="00000000">
        <w:drawing>
          <wp:anchor allowOverlap="1" behindDoc="0" distB="0" distT="0" distL="114300" distR="114300" hidden="0" layoutInCell="1" locked="0" relativeHeight="0" simplePos="0">
            <wp:simplePos x="0" y="0"/>
            <wp:positionH relativeFrom="column">
              <wp:posOffset>-201879</wp:posOffset>
            </wp:positionH>
            <wp:positionV relativeFrom="paragraph">
              <wp:posOffset>679450</wp:posOffset>
            </wp:positionV>
            <wp:extent cx="5962659" cy="2552700"/>
            <wp:wrapSquare wrapText="bothSides" distB="0" distT="0" distL="114300" distR="114300"/>
            <wp:docPr id="2033337801" name=""/>
            <a:graphic>
              <a:graphicData uri="http://schemas.openxmlformats.org/drawingml/2006/chart">
                <c:chart r:id="rId16"/>
              </a:graphicData>
            </a:graphic>
          </wp:anchor>
        </w:drawing>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30"/>
          <w:szCs w:val="30"/>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30"/>
          <w:szCs w:val="30"/>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30"/>
          <w:szCs w:val="30"/>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30"/>
          <w:szCs w:val="30"/>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30"/>
          <w:szCs w:val="30"/>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line="276" w:lineRule="auto"/>
        <w:ind w:right="-574"/>
        <w:jc w:val="center"/>
        <w:rPr>
          <w:rFonts w:ascii="Open Sans Light" w:cs="Open Sans Light" w:eastAsia="Open Sans Light" w:hAnsi="Open Sans Light"/>
          <w:b w:val="1"/>
          <w:color w:val="303ab2"/>
          <w:sz w:val="20"/>
          <w:szCs w:val="20"/>
        </w:rPr>
      </w:pPr>
      <w:r w:rsidDel="00000000" w:rsidR="00000000" w:rsidRPr="00000000">
        <w:rPr>
          <w:rFonts w:ascii="National" w:cs="National" w:eastAsia="National" w:hAnsi="National"/>
          <w:b w:val="1"/>
          <w:color w:val="303ab2"/>
          <w:sz w:val="30"/>
          <w:szCs w:val="30"/>
          <w:rtl w:val="0"/>
        </w:rPr>
        <w:t xml:space="preserve">Variación anual 2024 (%) del precio en venta vs. el salario por provincia</w:t>
      </w:r>
      <w:r w:rsidDel="00000000" w:rsidR="00000000" w:rsidRPr="00000000">
        <w:rPr>
          <w:rtl w:val="0"/>
        </w:rPr>
      </w:r>
    </w:p>
    <w:p w:rsidR="00000000" w:rsidDel="00000000" w:rsidP="00000000" w:rsidRDefault="00000000" w:rsidRPr="00000000" w14:paraId="00000149">
      <w:pPr>
        <w:spacing w:line="276" w:lineRule="auto"/>
        <w:ind w:right="-574"/>
        <w:jc w:val="right"/>
        <w:rPr>
          <w:rFonts w:ascii="Open Sans Light" w:cs="Open Sans Light" w:eastAsia="Open Sans Light" w:hAnsi="Open Sans Light"/>
          <w:b w:val="1"/>
          <w:color w:val="303ab2"/>
        </w:rPr>
      </w:pPr>
      <w:r w:rsidDel="00000000" w:rsidR="00000000" w:rsidRPr="00000000">
        <w:rPr>
          <w:rtl w:val="0"/>
        </w:rPr>
      </w:r>
    </w:p>
    <w:tbl>
      <w:tblPr>
        <w:tblStyle w:val="Table5"/>
        <w:tblW w:w="9640.000000000002" w:type="dxa"/>
        <w:jc w:val="left"/>
        <w:tblInd w:w="-436.0" w:type="dxa"/>
        <w:tblLayout w:type="fixed"/>
        <w:tblLook w:val="0400"/>
      </w:tblPr>
      <w:tblGrid>
        <w:gridCol w:w="1277"/>
        <w:gridCol w:w="1417"/>
        <w:gridCol w:w="1560"/>
        <w:gridCol w:w="1275"/>
        <w:gridCol w:w="1418"/>
        <w:gridCol w:w="1417"/>
        <w:gridCol w:w="1276"/>
        <w:tblGridChange w:id="0">
          <w:tblGrid>
            <w:gridCol w:w="1277"/>
            <w:gridCol w:w="1417"/>
            <w:gridCol w:w="1560"/>
            <w:gridCol w:w="1275"/>
            <w:gridCol w:w="1418"/>
            <w:gridCol w:w="1417"/>
            <w:gridCol w:w="1276"/>
          </w:tblGrid>
        </w:tblGridChange>
      </w:tblGrid>
      <w:tr>
        <w:trPr>
          <w:cantSplit w:val="0"/>
          <w:trHeight w:val="822" w:hRule="atLeast"/>
          <w:tblHeader w:val="0"/>
        </w:trPr>
        <w:tc>
          <w:tcPr>
            <w:tcBorders>
              <w:top w:color="2e74b5" w:space="0" w:sz="8" w:val="single"/>
              <w:left w:color="2e74b5" w:space="0" w:sz="8" w:val="single"/>
              <w:bottom w:color="2e74b5" w:space="0" w:sz="8" w:val="single"/>
              <w:right w:color="2e74b5" w:space="0" w:sz="8" w:val="single"/>
            </w:tcBorders>
            <w:shd w:fill="9cc2e5" w:val="clear"/>
            <w:vAlign w:val="center"/>
          </w:tcPr>
          <w:p w:rsidR="00000000" w:rsidDel="00000000" w:rsidP="00000000" w:rsidRDefault="00000000" w:rsidRPr="00000000" w14:paraId="0000014A">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Provincia</w:t>
            </w:r>
          </w:p>
        </w:tc>
        <w:tc>
          <w:tcPr>
            <w:tcBorders>
              <w:top w:color="2e74b5" w:space="0" w:sz="8" w:val="single"/>
              <w:left w:color="000000" w:space="0" w:sz="0" w:val="nil"/>
              <w:bottom w:color="2e74b5" w:space="0" w:sz="8" w:val="single"/>
              <w:right w:color="2e74b5" w:space="0" w:sz="8" w:val="single"/>
            </w:tcBorders>
            <w:shd w:fill="9cc2e5" w:val="clear"/>
            <w:vAlign w:val="center"/>
          </w:tcPr>
          <w:p w:rsidR="00000000" w:rsidDel="00000000" w:rsidP="00000000" w:rsidRDefault="00000000" w:rsidRPr="00000000" w14:paraId="0000014B">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sz w:val="18"/>
                <w:szCs w:val="18"/>
                <w:rtl w:val="0"/>
              </w:rPr>
              <w:t xml:space="preserve">Salario medio InfoJobs (€/año) 2023</w:t>
            </w:r>
            <w:r w:rsidDel="00000000" w:rsidR="00000000" w:rsidRPr="00000000">
              <w:rPr>
                <w:rtl w:val="0"/>
              </w:rPr>
            </w:r>
          </w:p>
        </w:tc>
        <w:tc>
          <w:tcPr>
            <w:tcBorders>
              <w:top w:color="2e74b5" w:space="0" w:sz="8" w:val="single"/>
              <w:left w:color="000000" w:space="0" w:sz="0" w:val="nil"/>
              <w:bottom w:color="2e74b5" w:space="0" w:sz="8" w:val="single"/>
              <w:right w:color="2e74b5" w:space="0" w:sz="8" w:val="single"/>
            </w:tcBorders>
            <w:shd w:fill="9cc2e5" w:val="clear"/>
            <w:vAlign w:val="center"/>
          </w:tcPr>
          <w:p w:rsidR="00000000" w:rsidDel="00000000" w:rsidP="00000000" w:rsidRDefault="00000000" w:rsidRPr="00000000" w14:paraId="0000014C">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sz w:val="18"/>
                <w:szCs w:val="18"/>
                <w:rtl w:val="0"/>
              </w:rPr>
              <w:t xml:space="preserve">Salario medio InfoJobs (€/año) 2024</w:t>
            </w:r>
            <w:r w:rsidDel="00000000" w:rsidR="00000000" w:rsidRPr="00000000">
              <w:rPr>
                <w:rtl w:val="0"/>
              </w:rPr>
            </w:r>
          </w:p>
        </w:tc>
        <w:tc>
          <w:tcPr>
            <w:tcBorders>
              <w:top w:color="2e74b5" w:space="0" w:sz="8" w:val="single"/>
              <w:left w:color="000000" w:space="0" w:sz="0" w:val="nil"/>
              <w:bottom w:color="2e74b5" w:space="0" w:sz="8" w:val="single"/>
              <w:right w:color="2e74b5" w:space="0" w:sz="8" w:val="single"/>
            </w:tcBorders>
            <w:shd w:fill="9cc2e5" w:val="clear"/>
            <w:vAlign w:val="center"/>
          </w:tcPr>
          <w:p w:rsidR="00000000" w:rsidDel="00000000" w:rsidP="00000000" w:rsidRDefault="00000000" w:rsidRPr="00000000" w14:paraId="0000014D">
            <w:pPr>
              <w:jc w:val="center"/>
              <w:rPr>
                <w:rFonts w:ascii="Open Sans" w:cs="Open Sans" w:eastAsia="Open Sans" w:hAnsi="Open Sans"/>
                <w:b w:val="1"/>
                <w:color w:val="000000"/>
                <w:sz w:val="18"/>
                <w:szCs w:val="18"/>
              </w:rPr>
            </w:pPr>
            <w:r w:rsidDel="00000000" w:rsidR="00000000" w:rsidRPr="00000000">
              <w:rPr>
                <w:rFonts w:ascii="Open Sans" w:cs="Open Sans" w:eastAsia="Open Sans" w:hAnsi="Open Sans"/>
                <w:b w:val="1"/>
                <w:sz w:val="18"/>
                <w:szCs w:val="18"/>
                <w:rtl w:val="0"/>
              </w:rPr>
              <w:t xml:space="preserve">% 1 año (2024 vs. 2023)</w:t>
            </w:r>
            <w:r w:rsidDel="00000000" w:rsidR="00000000" w:rsidRPr="00000000">
              <w:rPr>
                <w:rtl w:val="0"/>
              </w:rPr>
            </w:r>
          </w:p>
        </w:tc>
        <w:tc>
          <w:tcPr>
            <w:tcBorders>
              <w:top w:color="2e74b5" w:space="0" w:sz="8" w:val="single"/>
              <w:left w:color="000000" w:space="0" w:sz="0" w:val="nil"/>
              <w:bottom w:color="2e74b5" w:space="0" w:sz="8" w:val="single"/>
              <w:right w:color="2e74b5" w:space="0" w:sz="8" w:val="single"/>
            </w:tcBorders>
            <w:shd w:fill="9cc2e5" w:val="clear"/>
            <w:vAlign w:val="center"/>
          </w:tcPr>
          <w:p w:rsidR="00000000" w:rsidDel="00000000" w:rsidP="00000000" w:rsidRDefault="00000000" w:rsidRPr="00000000" w14:paraId="0000014E">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sz w:val="18"/>
                <w:szCs w:val="18"/>
                <w:rtl w:val="0"/>
              </w:rPr>
              <w:t xml:space="preserve">Precio medio vivienda (€/m</w:t>
            </w:r>
            <w:r w:rsidDel="00000000" w:rsidR="00000000" w:rsidRPr="00000000">
              <w:rPr>
                <w:rFonts w:ascii="Open Sans" w:cs="Open Sans" w:eastAsia="Open Sans" w:hAnsi="Open Sans"/>
                <w:sz w:val="18"/>
                <w:szCs w:val="18"/>
                <w:vertAlign w:val="superscript"/>
                <w:rtl w:val="0"/>
              </w:rPr>
              <w:t xml:space="preserve">2</w:t>
            </w:r>
            <w:r w:rsidDel="00000000" w:rsidR="00000000" w:rsidRPr="00000000">
              <w:rPr>
                <w:rFonts w:ascii="Open Sans" w:cs="Open Sans" w:eastAsia="Open Sans" w:hAnsi="Open Sans"/>
                <w:sz w:val="18"/>
                <w:szCs w:val="18"/>
                <w:rtl w:val="0"/>
              </w:rPr>
              <w:t xml:space="preserve">) 2023</w:t>
            </w:r>
            <w:r w:rsidDel="00000000" w:rsidR="00000000" w:rsidRPr="00000000">
              <w:rPr>
                <w:rtl w:val="0"/>
              </w:rPr>
            </w:r>
          </w:p>
        </w:tc>
        <w:tc>
          <w:tcPr>
            <w:tcBorders>
              <w:top w:color="2e74b5" w:space="0" w:sz="8" w:val="single"/>
              <w:left w:color="000000" w:space="0" w:sz="0" w:val="nil"/>
              <w:bottom w:color="2e74b5" w:space="0" w:sz="8" w:val="single"/>
              <w:right w:color="2e74b5" w:space="0" w:sz="8" w:val="single"/>
            </w:tcBorders>
            <w:shd w:fill="9cc2e5" w:val="clear"/>
            <w:vAlign w:val="center"/>
          </w:tcPr>
          <w:p w:rsidR="00000000" w:rsidDel="00000000" w:rsidP="00000000" w:rsidRDefault="00000000" w:rsidRPr="00000000" w14:paraId="0000014F">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sz w:val="18"/>
                <w:szCs w:val="18"/>
                <w:rtl w:val="0"/>
              </w:rPr>
              <w:t xml:space="preserve">Precio medio vivienda (€/m</w:t>
            </w:r>
            <w:r w:rsidDel="00000000" w:rsidR="00000000" w:rsidRPr="00000000">
              <w:rPr>
                <w:rFonts w:ascii="Open Sans" w:cs="Open Sans" w:eastAsia="Open Sans" w:hAnsi="Open Sans"/>
                <w:sz w:val="18"/>
                <w:szCs w:val="18"/>
                <w:vertAlign w:val="superscript"/>
                <w:rtl w:val="0"/>
              </w:rPr>
              <w:t xml:space="preserve">2</w:t>
            </w:r>
            <w:r w:rsidDel="00000000" w:rsidR="00000000" w:rsidRPr="00000000">
              <w:rPr>
                <w:rFonts w:ascii="Open Sans" w:cs="Open Sans" w:eastAsia="Open Sans" w:hAnsi="Open Sans"/>
                <w:sz w:val="18"/>
                <w:szCs w:val="18"/>
                <w:rtl w:val="0"/>
              </w:rPr>
              <w:t xml:space="preserve">) 2024</w:t>
            </w:r>
            <w:r w:rsidDel="00000000" w:rsidR="00000000" w:rsidRPr="00000000">
              <w:rPr>
                <w:rtl w:val="0"/>
              </w:rPr>
            </w:r>
          </w:p>
        </w:tc>
        <w:tc>
          <w:tcPr>
            <w:tcBorders>
              <w:top w:color="2e74b5" w:space="0" w:sz="8" w:val="single"/>
              <w:left w:color="000000" w:space="0" w:sz="0" w:val="nil"/>
              <w:bottom w:color="2e74b5" w:space="0" w:sz="8" w:val="single"/>
              <w:right w:color="2e74b5" w:space="0" w:sz="8" w:val="single"/>
            </w:tcBorders>
            <w:shd w:fill="9cc2e5" w:val="clear"/>
            <w:vAlign w:val="center"/>
          </w:tcPr>
          <w:p w:rsidR="00000000" w:rsidDel="00000000" w:rsidP="00000000" w:rsidRDefault="00000000" w:rsidRPr="00000000" w14:paraId="00000150">
            <w:pPr>
              <w:jc w:val="center"/>
              <w:rPr>
                <w:rFonts w:ascii="Open Sans" w:cs="Open Sans" w:eastAsia="Open Sans" w:hAnsi="Open Sans"/>
                <w:b w:val="1"/>
                <w:color w:val="000000"/>
                <w:sz w:val="18"/>
                <w:szCs w:val="18"/>
              </w:rPr>
            </w:pPr>
            <w:r w:rsidDel="00000000" w:rsidR="00000000" w:rsidRPr="00000000">
              <w:rPr>
                <w:rFonts w:ascii="Open Sans" w:cs="Open Sans" w:eastAsia="Open Sans" w:hAnsi="Open Sans"/>
                <w:b w:val="1"/>
                <w:sz w:val="18"/>
                <w:szCs w:val="18"/>
                <w:rtl w:val="0"/>
              </w:rPr>
              <w:t xml:space="preserve">% 1 año (2024 vs. 2023)</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151">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Almería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52">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29.186 €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53">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27.594 €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54">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9c0006"/>
                <w:sz w:val="18"/>
                <w:szCs w:val="18"/>
                <w:rtl w:val="0"/>
              </w:rPr>
              <w:t xml:space="preserve">-5,5%</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55">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1.308 €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56">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1.390 €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57">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6,3%</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158">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Cádiz</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59">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28.088 €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5A">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28.240 €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5B">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0,5%</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5C">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1.826 €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5D">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2.017 €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5E">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10,5%</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15F">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Córdoba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60">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29.644 €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61">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28.943 €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62">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9c0006"/>
                <w:sz w:val="18"/>
                <w:szCs w:val="18"/>
                <w:rtl w:val="0"/>
              </w:rPr>
              <w:t xml:space="preserve">-2,4%</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63">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1.497 €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64">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1.423 €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65">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9c0006"/>
                <w:sz w:val="18"/>
                <w:szCs w:val="18"/>
                <w:rtl w:val="0"/>
              </w:rPr>
              <w:t xml:space="preserve">-4,9%</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166">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Granada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67">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28.047 €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68">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28.868 €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69">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2,9%</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6A">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1.910 €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6B">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2.108 €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6C">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10,3%</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16D">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Huelva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6E">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27.049 €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6F">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28.404 €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70">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5,0%</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71">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1.468 €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72">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1.547 €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73">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5,4%</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174">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Jaén</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75">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26.595 €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76">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26.968 €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77">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1,4%</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78">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1.006 €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79">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1.002 €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7A">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9c0006"/>
                <w:sz w:val="18"/>
                <w:szCs w:val="18"/>
                <w:rtl w:val="0"/>
              </w:rPr>
              <w:t xml:space="preserve">-0,4%</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17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Málaga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7C">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27.418 €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7D">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28.911 €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7E">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5,4%</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7F">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3.295 €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80">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3.836 €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81">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16,4%</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182">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Sevilla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83">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25.842 €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84">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27.127 €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85">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5,0%</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86">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1.805 €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87">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1.855 €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88">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2,8%</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189">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Huesca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8A">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25.660 €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8B">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27.271 €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8C">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6,3%</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8D">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1.590 €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8E">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1.666 €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8F">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4,8%</w:t>
            </w:r>
            <w:r w:rsidDel="00000000" w:rsidR="00000000" w:rsidRPr="00000000">
              <w:rPr>
                <w:rtl w:val="0"/>
              </w:rPr>
            </w:r>
          </w:p>
        </w:tc>
      </w:tr>
      <w:tr>
        <w:trPr>
          <w:cantSplit w:val="0"/>
          <w:trHeight w:val="234"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190">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Teruel</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91">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24.305 €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92">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25.285 €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93">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4,0%</w:t>
            </w:r>
            <w:r w:rsidDel="00000000" w:rsidR="00000000" w:rsidRPr="00000000">
              <w:rPr>
                <w:rtl w:val="0"/>
              </w:rPr>
            </w:r>
          </w:p>
        </w:tc>
        <w:tc>
          <w:tcPr>
            <w:tcBorders>
              <w:top w:color="2e74b5" w:space="0" w:sz="8" w:val="single"/>
              <w:left w:color="2e74b5" w:space="0" w:sz="8" w:val="single"/>
              <w:bottom w:color="2e74b5" w:space="0" w:sz="8" w:val="single"/>
              <w:right w:color="2e74b5" w:space="0" w:sz="8" w:val="single"/>
            </w:tcBorders>
            <w:shd w:fill="auto" w:val="clear"/>
            <w:vAlign w:val="bottom"/>
          </w:tcPr>
          <w:p w:rsidR="00000000" w:rsidDel="00000000" w:rsidP="00000000" w:rsidRDefault="00000000" w:rsidRPr="00000000" w14:paraId="00000194">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1.234 €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95">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1.250 €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96">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1,3%</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197">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Zaragoza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98">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25.304 €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99">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25.965 €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9A">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2,6%</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9B">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1.821 €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9C">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1.819 €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9D">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9c0006"/>
                <w:sz w:val="18"/>
                <w:szCs w:val="18"/>
                <w:rtl w:val="0"/>
              </w:rPr>
              <w:t xml:space="preserve">-0,1%</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19E">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Asturias</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9F">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27.857 €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A0">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27.675 €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A1">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9c0006"/>
                <w:sz w:val="18"/>
                <w:szCs w:val="18"/>
                <w:rtl w:val="0"/>
              </w:rPr>
              <w:t xml:space="preserve">-0,7%</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A2">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1.658 €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A3">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1.806 €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A4">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8,9%</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1A5">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Illes Balears</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A6">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25.727 €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A7">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27.327 €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A8">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6,2%</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A9">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3.847 €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AA">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4.597 €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AB">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19,5%</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1AC">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Cantabria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AD">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26.614 €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AE">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26.213 €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AF">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9c0006"/>
                <w:sz w:val="18"/>
                <w:szCs w:val="18"/>
                <w:rtl w:val="0"/>
              </w:rPr>
              <w:t xml:space="preserve">-1,5%</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B0">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1.912 €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B1">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2.065 €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B2">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8,0%</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1B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Ávila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B4">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24.586 €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B5">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26.040 €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B6">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5,9%</w:t>
            </w:r>
            <w:r w:rsidDel="00000000" w:rsidR="00000000" w:rsidRPr="00000000">
              <w:rPr>
                <w:rtl w:val="0"/>
              </w:rPr>
            </w:r>
          </w:p>
        </w:tc>
        <w:tc>
          <w:tcPr>
            <w:tcBorders>
              <w:top w:color="2e74b5" w:space="0" w:sz="8" w:val="single"/>
              <w:left w:color="2e74b5" w:space="0" w:sz="8" w:val="single"/>
              <w:bottom w:color="2e74b5" w:space="0" w:sz="8" w:val="single"/>
              <w:right w:color="2e74b5" w:space="0" w:sz="8" w:val="single"/>
            </w:tcBorders>
            <w:shd w:fill="auto" w:val="clear"/>
            <w:vAlign w:val="bottom"/>
          </w:tcPr>
          <w:p w:rsidR="00000000" w:rsidDel="00000000" w:rsidP="00000000" w:rsidRDefault="00000000" w:rsidRPr="00000000" w14:paraId="000001B7">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1.097 €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B8">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1.139 €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B9">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3,8%</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1BA">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Burgos</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BB">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26.181 €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BC">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26.556 €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BD">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1,4%</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BE">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1.520 €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BF">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1.593 €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C0">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4,8%</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1C1">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León</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C2">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22.450 €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C3">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25.849 €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C4">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15,1%</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C5">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1.288 €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C6">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1.293 €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C7">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0,4%</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1C8">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Palencia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C9">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22.968 €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CA">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24.327 €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CB">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5,9%</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CC">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1.389 €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CD">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1.476 €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CE">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6,3%</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1CF">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Salamanca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D0">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25.685 €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D1">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24.609 €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D2">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9c0006"/>
                <w:sz w:val="18"/>
                <w:szCs w:val="18"/>
                <w:rtl w:val="0"/>
              </w:rPr>
              <w:t xml:space="preserve">-4,2%</w:t>
            </w:r>
            <w:r w:rsidDel="00000000" w:rsidR="00000000" w:rsidRPr="00000000">
              <w:rPr>
                <w:rtl w:val="0"/>
              </w:rPr>
            </w:r>
          </w:p>
        </w:tc>
        <w:tc>
          <w:tcPr>
            <w:tcBorders>
              <w:top w:color="2e74b5" w:space="0" w:sz="8" w:val="single"/>
              <w:left w:color="2e74b5" w:space="0" w:sz="8" w:val="single"/>
              <w:bottom w:color="2e74b5" w:space="0" w:sz="8" w:val="single"/>
              <w:right w:color="2e74b5" w:space="0" w:sz="8" w:val="single"/>
            </w:tcBorders>
            <w:shd w:fill="auto" w:val="clear"/>
            <w:vAlign w:val="bottom"/>
          </w:tcPr>
          <w:p w:rsidR="00000000" w:rsidDel="00000000" w:rsidP="00000000" w:rsidRDefault="00000000" w:rsidRPr="00000000" w14:paraId="000001D3">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1.713 €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D4">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1.768 €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D5">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3,2%</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1D6">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Segovia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D7">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24.085 €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D8">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23.983 €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D9">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9c0006"/>
                <w:sz w:val="18"/>
                <w:szCs w:val="18"/>
                <w:rtl w:val="0"/>
              </w:rPr>
              <w:t xml:space="preserve">-0,4%</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DA">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1.498 €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DB">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1.583 €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DC">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5,7%</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1DD">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Soria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DE">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25.550 €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DF">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25.922 €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E0">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1,5%</w:t>
            </w:r>
            <w:r w:rsidDel="00000000" w:rsidR="00000000" w:rsidRPr="00000000">
              <w:rPr>
                <w:rtl w:val="0"/>
              </w:rPr>
            </w:r>
          </w:p>
        </w:tc>
        <w:tc>
          <w:tcPr>
            <w:tcBorders>
              <w:top w:color="2e74b5" w:space="0" w:sz="8" w:val="single"/>
              <w:left w:color="2e74b5" w:space="0" w:sz="8" w:val="single"/>
              <w:bottom w:color="2e74b5" w:space="0" w:sz="8" w:val="single"/>
              <w:right w:color="2e74b5" w:space="0" w:sz="8" w:val="single"/>
            </w:tcBorders>
            <w:shd w:fill="auto" w:val="clear"/>
            <w:vAlign w:val="bottom"/>
          </w:tcPr>
          <w:p w:rsidR="00000000" w:rsidDel="00000000" w:rsidP="00000000" w:rsidRDefault="00000000" w:rsidRPr="00000000" w14:paraId="000001E1">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1.445 €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E2">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1.464 €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E3">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1,3%</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1E4">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Valladolid</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E5">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23.813 €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E6">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24.843 €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E7">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4,3%</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E8">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1.624 €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E9">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1.806 €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EA">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11,2%</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1E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Zamora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EC">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26.203 €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ED">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25.506 €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EE">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9c0006"/>
                <w:sz w:val="18"/>
                <w:szCs w:val="18"/>
                <w:rtl w:val="0"/>
              </w:rPr>
              <w:t xml:space="preserve">-2,7%</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EF">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1.151 €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F0">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1.153 €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F1">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0,2%</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1F2">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Albacete</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F3">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27.532 €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F4">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26.438 €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F5">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9c0006"/>
                <w:sz w:val="18"/>
                <w:szCs w:val="18"/>
                <w:rtl w:val="0"/>
              </w:rPr>
              <w:t xml:space="preserve">-4,0%</w:t>
            </w:r>
            <w:r w:rsidDel="00000000" w:rsidR="00000000" w:rsidRPr="00000000">
              <w:rPr>
                <w:rtl w:val="0"/>
              </w:rPr>
            </w:r>
          </w:p>
        </w:tc>
        <w:tc>
          <w:tcPr>
            <w:tcBorders>
              <w:top w:color="2e74b5" w:space="0" w:sz="8" w:val="single"/>
              <w:left w:color="2e74b5" w:space="0" w:sz="8" w:val="single"/>
              <w:bottom w:color="2e74b5" w:space="0" w:sz="8" w:val="single"/>
              <w:right w:color="2e74b5" w:space="0" w:sz="8" w:val="single"/>
            </w:tcBorders>
            <w:shd w:fill="auto" w:val="clear"/>
            <w:vAlign w:val="bottom"/>
          </w:tcPr>
          <w:p w:rsidR="00000000" w:rsidDel="00000000" w:rsidP="00000000" w:rsidRDefault="00000000" w:rsidRPr="00000000" w14:paraId="000001F6">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1.398 €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F7">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1.437 €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F8">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2,8%</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1F9">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Ciudad Real</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FA">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28.256 €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FB">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27.001 €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FC">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9c0006"/>
                <w:sz w:val="18"/>
                <w:szCs w:val="18"/>
                <w:rtl w:val="0"/>
              </w:rPr>
              <w:t xml:space="preserve">-4,4%</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FD">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980 €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FE">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960 €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1FF">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9c0006"/>
                <w:sz w:val="18"/>
                <w:szCs w:val="18"/>
                <w:rtl w:val="0"/>
              </w:rPr>
              <w:t xml:space="preserve">-2,1%</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200">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Cuenca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01">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21.328 €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02">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20.415 €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03">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9c0006"/>
                <w:sz w:val="18"/>
                <w:szCs w:val="18"/>
                <w:rtl w:val="0"/>
              </w:rPr>
              <w:t xml:space="preserve">-4,3%</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04">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1.275 €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05">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1.293 €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06">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1,4%</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207">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Guadalajara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08">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23.610 €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09">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25.591 €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0A">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8,4%</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0B">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1.520 €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0C">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1.781 €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0D">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17,2%</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20E">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Toledo</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0F">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23.176 €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10">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23.671 €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11">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2,1%</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12">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1.053 €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13">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1.186 €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14">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12,6%</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215">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Barcelona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16">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26.336 €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17">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27.198 €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18">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3,3%</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19">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3.044 €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1A">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3.087 €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1B">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1,4%</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21C">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Girona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1D">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25.440 €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1E">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25.211 €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1F">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9c0006"/>
                <w:sz w:val="18"/>
                <w:szCs w:val="18"/>
                <w:rtl w:val="0"/>
              </w:rPr>
              <w:t xml:space="preserve">-0,9%</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20">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2.477 €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21">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2.687 €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22">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8,5%</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22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Lleida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24">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26.065 €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25">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26.159 €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26">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0,4%</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27">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1.343 €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28">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1.460 €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29">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8,8%</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22A">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Tarragona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2B">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26.180 €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2C">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26.123 €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2D">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9c0006"/>
                <w:sz w:val="18"/>
                <w:szCs w:val="18"/>
                <w:rtl w:val="0"/>
              </w:rPr>
              <w:t xml:space="preserve">-0,2%</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2E">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1.809 €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2F">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1.885 €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30">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4,2%</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231">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Ceuta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32">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25.411 €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33">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24.794 €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34">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9c0006"/>
                <w:sz w:val="18"/>
                <w:szCs w:val="18"/>
                <w:rtl w:val="0"/>
              </w:rPr>
              <w:t xml:space="preserve">-2,4%</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35">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2.208 €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36">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2.227 €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37">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0,8%</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238">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Alicante/Alacant</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39">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27.348 €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3A">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26.634 €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3B">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9c0006"/>
                <w:sz w:val="18"/>
                <w:szCs w:val="18"/>
                <w:rtl w:val="0"/>
              </w:rPr>
              <w:t xml:space="preserve">-2,6%</w:t>
            </w:r>
            <w:r w:rsidDel="00000000" w:rsidR="00000000" w:rsidRPr="00000000">
              <w:rPr>
                <w:rtl w:val="0"/>
              </w:rPr>
            </w:r>
          </w:p>
        </w:tc>
        <w:tc>
          <w:tcPr>
            <w:tcBorders>
              <w:top w:color="2e74b5" w:space="0" w:sz="8" w:val="single"/>
              <w:left w:color="2e74b5" w:space="0" w:sz="8" w:val="single"/>
              <w:bottom w:color="2e74b5" w:space="0" w:sz="8" w:val="single"/>
              <w:right w:color="2e74b5" w:space="0" w:sz="8" w:val="single"/>
            </w:tcBorders>
            <w:shd w:fill="auto" w:val="clear"/>
            <w:vAlign w:val="bottom"/>
          </w:tcPr>
          <w:p w:rsidR="00000000" w:rsidDel="00000000" w:rsidP="00000000" w:rsidRDefault="00000000" w:rsidRPr="00000000" w14:paraId="0000023C">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2.024 €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3D">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2.456 €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3E">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21,3%</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23F">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Castellón/Castelló</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40">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26.787 €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41">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27.895 €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42">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4,1%</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43">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1.265 €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44">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1.449 €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45">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14,5%</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246">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Valencia/València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47">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24.648 €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48">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25.802 €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49">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4,7%</w:t>
            </w:r>
            <w:r w:rsidDel="00000000" w:rsidR="00000000" w:rsidRPr="00000000">
              <w:rPr>
                <w:rtl w:val="0"/>
              </w:rPr>
            </w:r>
          </w:p>
        </w:tc>
        <w:tc>
          <w:tcPr>
            <w:tcBorders>
              <w:top w:color="2e74b5" w:space="0" w:sz="8" w:val="single"/>
              <w:left w:color="2e74b5" w:space="0" w:sz="8" w:val="single"/>
              <w:bottom w:color="2e74b5" w:space="0" w:sz="8" w:val="single"/>
              <w:right w:color="2e74b5" w:space="0" w:sz="8" w:val="single"/>
            </w:tcBorders>
            <w:shd w:fill="auto" w:val="clear"/>
            <w:vAlign w:val="bottom"/>
          </w:tcPr>
          <w:p w:rsidR="00000000" w:rsidDel="00000000" w:rsidP="00000000" w:rsidRDefault="00000000" w:rsidRPr="00000000" w14:paraId="0000024A">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1.629 €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4B">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1.870 €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4C">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14,8%</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24D">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Badajoz</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4E">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26.461 €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4F">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23.421 €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50">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9c0006"/>
                <w:sz w:val="18"/>
                <w:szCs w:val="18"/>
                <w:rtl w:val="0"/>
              </w:rPr>
              <w:t xml:space="preserve">-11,5%</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51">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1.175 €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52">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1.229 €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53">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4,6%</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254">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Cáceres</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55">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27.608 €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56">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25.658 €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57">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9c0006"/>
                <w:sz w:val="18"/>
                <w:szCs w:val="18"/>
                <w:rtl w:val="0"/>
              </w:rPr>
              <w:t xml:space="preserve">-7,1%</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58">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1.217 €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59">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1.252 €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5A">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3,0%</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25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 Coruña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5C">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24.921 €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5D">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25.057 €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5E">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0,5%</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5F">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1.675 €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60">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1.808 €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61">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8,0%</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262">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Lugo</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63">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25.043 €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64">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24.303 €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65">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9c0006"/>
                <w:sz w:val="18"/>
                <w:szCs w:val="18"/>
                <w:rtl w:val="0"/>
              </w:rPr>
              <w:t xml:space="preserve">-3,0%</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66">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1.239 €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67">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1.423 €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68">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14,9%</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269">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Ourense</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6A">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29.187 €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6B">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30.114 €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6C">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3,2%</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6D">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1.459 €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6E">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1.492 €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6F">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2,2%</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270">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Pontevedra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71">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24.484 €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72">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25.086 €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73">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2,5%</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74">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2.061 €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75">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2.344 €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76">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13,7%</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277">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La Rioja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78">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25.939 €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79">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25.656 €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7A">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9c0006"/>
                <w:sz w:val="18"/>
                <w:szCs w:val="18"/>
                <w:rtl w:val="0"/>
              </w:rPr>
              <w:t xml:space="preserve">-1,1%</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7B">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1.670 €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7C">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1.668 €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7D">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9c0006"/>
                <w:sz w:val="18"/>
                <w:szCs w:val="18"/>
                <w:rtl w:val="0"/>
              </w:rPr>
              <w:t xml:space="preserve">-0,1%</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27E">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Madrid</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7F">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26.836 €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80">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28.075 €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81">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4,6%</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82">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3.767 €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83">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4.278 €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84">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13,6%</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285">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Melilla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86">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23.145 €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87">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25.465 €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88">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10,0%</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89">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2.127 €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8A">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2.156 €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8B">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1,4%</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28C">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Navarra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8D">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26.471 €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8E">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28.346 €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8F">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7,1%</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90">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2.064 €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91">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2.122 €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92">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2,8%</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29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Álava/Áraba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94">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26.890 €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95">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27.461 €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96">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2,1%</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97">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2.629 €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98">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2.690 €</w:t>
            </w:r>
            <w:r w:rsidDel="00000000" w:rsidR="00000000" w:rsidRPr="00000000">
              <w:rPr>
                <w:rtl w:val="0"/>
              </w:rPr>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99">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2,3%</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000000" w:space="0" w:sz="0" w:val="nil"/>
              <w:right w:color="2e74b5" w:space="0" w:sz="8" w:val="single"/>
            </w:tcBorders>
            <w:shd w:fill="9cc3e5" w:val="clear"/>
            <w:vAlign w:val="bottom"/>
          </w:tcPr>
          <w:p w:rsidR="00000000" w:rsidDel="00000000" w:rsidP="00000000" w:rsidRDefault="00000000" w:rsidRPr="00000000" w14:paraId="0000029A">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Guipúzcoa/Guipuzkoa</w:t>
            </w:r>
          </w:p>
        </w:tc>
        <w:tc>
          <w:tcPr>
            <w:tcBorders>
              <w:top w:color="000000" w:space="0" w:sz="0" w:val="nil"/>
              <w:left w:color="000000" w:space="0" w:sz="0" w:val="nil"/>
              <w:bottom w:color="000000" w:space="0" w:sz="0" w:val="nil"/>
              <w:right w:color="2e74b5" w:space="0" w:sz="8" w:val="single"/>
            </w:tcBorders>
            <w:shd w:fill="auto" w:val="clear"/>
            <w:vAlign w:val="bottom"/>
          </w:tcPr>
          <w:p w:rsidR="00000000" w:rsidDel="00000000" w:rsidP="00000000" w:rsidRDefault="00000000" w:rsidRPr="00000000" w14:paraId="0000029B">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28.472 €</w:t>
            </w:r>
            <w:r w:rsidDel="00000000" w:rsidR="00000000" w:rsidRPr="00000000">
              <w:rPr>
                <w:rtl w:val="0"/>
              </w:rPr>
            </w:r>
          </w:p>
        </w:tc>
        <w:tc>
          <w:tcPr>
            <w:tcBorders>
              <w:top w:color="000000" w:space="0" w:sz="0" w:val="nil"/>
              <w:left w:color="000000" w:space="0" w:sz="0" w:val="nil"/>
              <w:bottom w:color="000000" w:space="0" w:sz="0" w:val="nil"/>
              <w:right w:color="2e74b5" w:space="0" w:sz="8" w:val="single"/>
            </w:tcBorders>
            <w:shd w:fill="auto" w:val="clear"/>
            <w:vAlign w:val="bottom"/>
          </w:tcPr>
          <w:p w:rsidR="00000000" w:rsidDel="00000000" w:rsidP="00000000" w:rsidRDefault="00000000" w:rsidRPr="00000000" w14:paraId="0000029C">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29.787 €</w:t>
            </w:r>
            <w:r w:rsidDel="00000000" w:rsidR="00000000" w:rsidRPr="00000000">
              <w:rPr>
                <w:rtl w:val="0"/>
              </w:rPr>
            </w:r>
          </w:p>
        </w:tc>
        <w:tc>
          <w:tcPr>
            <w:tcBorders>
              <w:top w:color="000000" w:space="0" w:sz="0" w:val="nil"/>
              <w:left w:color="000000" w:space="0" w:sz="0" w:val="nil"/>
              <w:bottom w:color="000000" w:space="0" w:sz="0" w:val="nil"/>
              <w:right w:color="2e74b5" w:space="0" w:sz="8" w:val="single"/>
            </w:tcBorders>
            <w:shd w:fill="auto" w:val="clear"/>
            <w:vAlign w:val="bottom"/>
          </w:tcPr>
          <w:p w:rsidR="00000000" w:rsidDel="00000000" w:rsidP="00000000" w:rsidRDefault="00000000" w:rsidRPr="00000000" w14:paraId="0000029D">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4,6%</w:t>
            </w:r>
            <w:r w:rsidDel="00000000" w:rsidR="00000000" w:rsidRPr="00000000">
              <w:rPr>
                <w:rtl w:val="0"/>
              </w:rPr>
            </w:r>
          </w:p>
        </w:tc>
        <w:tc>
          <w:tcPr>
            <w:tcBorders>
              <w:top w:color="000000" w:space="0" w:sz="0" w:val="nil"/>
              <w:left w:color="000000" w:space="0" w:sz="0" w:val="nil"/>
              <w:bottom w:color="000000" w:space="0" w:sz="0" w:val="nil"/>
              <w:right w:color="2e74b5" w:space="0" w:sz="8" w:val="single"/>
            </w:tcBorders>
            <w:shd w:fill="auto" w:val="clear"/>
            <w:vAlign w:val="bottom"/>
          </w:tcPr>
          <w:p w:rsidR="00000000" w:rsidDel="00000000" w:rsidP="00000000" w:rsidRDefault="00000000" w:rsidRPr="00000000" w14:paraId="0000029E">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3.523 €</w:t>
            </w:r>
            <w:r w:rsidDel="00000000" w:rsidR="00000000" w:rsidRPr="00000000">
              <w:rPr>
                <w:rtl w:val="0"/>
              </w:rPr>
            </w:r>
          </w:p>
        </w:tc>
        <w:tc>
          <w:tcPr>
            <w:tcBorders>
              <w:top w:color="000000" w:space="0" w:sz="0" w:val="nil"/>
              <w:left w:color="000000" w:space="0" w:sz="0" w:val="nil"/>
              <w:bottom w:color="000000" w:space="0" w:sz="0" w:val="nil"/>
              <w:right w:color="2e74b5" w:space="0" w:sz="8" w:val="single"/>
            </w:tcBorders>
            <w:shd w:fill="auto" w:val="clear"/>
            <w:vAlign w:val="bottom"/>
          </w:tcPr>
          <w:p w:rsidR="00000000" w:rsidDel="00000000" w:rsidP="00000000" w:rsidRDefault="00000000" w:rsidRPr="00000000" w14:paraId="0000029F">
            <w:pPr>
              <w:jc w:val="center"/>
              <w:rPr>
                <w:rFonts w:ascii="Open Sans" w:cs="Open Sans" w:eastAsia="Open Sans" w:hAnsi="Open Sans"/>
                <w:sz w:val="18"/>
                <w:szCs w:val="18"/>
              </w:rPr>
            </w:pPr>
            <w:r w:rsidDel="00000000" w:rsidR="00000000" w:rsidRPr="00000000">
              <w:rPr>
                <w:rFonts w:ascii="Open Sans" w:cs="Open Sans" w:eastAsia="Open Sans" w:hAnsi="Open Sans"/>
                <w:color w:val="000000"/>
                <w:sz w:val="18"/>
                <w:szCs w:val="18"/>
                <w:rtl w:val="0"/>
              </w:rPr>
              <w:t xml:space="preserve">3.728 €</w:t>
            </w:r>
            <w:r w:rsidDel="00000000" w:rsidR="00000000" w:rsidRPr="00000000">
              <w:rPr>
                <w:rtl w:val="0"/>
              </w:rPr>
            </w:r>
          </w:p>
        </w:tc>
        <w:tc>
          <w:tcPr>
            <w:tcBorders>
              <w:top w:color="000000" w:space="0" w:sz="0" w:val="nil"/>
              <w:left w:color="000000" w:space="0" w:sz="0" w:val="nil"/>
              <w:bottom w:color="000000" w:space="0" w:sz="0" w:val="nil"/>
              <w:right w:color="2e74b5" w:space="0" w:sz="8" w:val="single"/>
            </w:tcBorders>
            <w:shd w:fill="auto" w:val="clear"/>
            <w:vAlign w:val="bottom"/>
          </w:tcPr>
          <w:p w:rsidR="00000000" w:rsidDel="00000000" w:rsidP="00000000" w:rsidRDefault="00000000" w:rsidRPr="00000000" w14:paraId="000002A0">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color w:val="000000"/>
                <w:sz w:val="18"/>
                <w:szCs w:val="18"/>
                <w:rtl w:val="0"/>
              </w:rPr>
              <w:t xml:space="preserve">5,8%</w:t>
            </w:r>
            <w:r w:rsidDel="00000000" w:rsidR="00000000" w:rsidRPr="00000000">
              <w:rPr>
                <w:rtl w:val="0"/>
              </w:rPr>
            </w:r>
          </w:p>
        </w:tc>
      </w:tr>
      <w:tr>
        <w:trPr>
          <w:cantSplit w:val="0"/>
          <w:trHeight w:val="205" w:hRule="atLeast"/>
          <w:tblHeader w:val="0"/>
        </w:trPr>
        <w:tc>
          <w:tcPr>
            <w:tcBorders>
              <w:top w:color="000000" w:space="0" w:sz="0" w:val="nil"/>
              <w:left w:color="2e74b5" w:space="0" w:sz="8" w:val="single"/>
              <w:bottom w:color="000000" w:space="0" w:sz="0" w:val="nil"/>
              <w:right w:color="2e74b5" w:space="0" w:sz="8" w:val="single"/>
            </w:tcBorders>
            <w:shd w:fill="9cc3e5" w:val="clear"/>
            <w:vAlign w:val="bottom"/>
          </w:tcPr>
          <w:p w:rsidR="00000000" w:rsidDel="00000000" w:rsidP="00000000" w:rsidRDefault="00000000" w:rsidRPr="00000000" w14:paraId="000002A1">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Vizcaya/Bizkaia</w:t>
            </w:r>
          </w:p>
        </w:tc>
        <w:tc>
          <w:tcPr>
            <w:tcBorders>
              <w:top w:color="000000" w:space="0" w:sz="0" w:val="nil"/>
              <w:left w:color="000000" w:space="0" w:sz="0" w:val="nil"/>
              <w:bottom w:color="000000" w:space="0" w:sz="0" w:val="nil"/>
              <w:right w:color="2e74b5" w:space="0" w:sz="8" w:val="single"/>
            </w:tcBorders>
            <w:shd w:fill="auto" w:val="clear"/>
            <w:vAlign w:val="bottom"/>
          </w:tcPr>
          <w:p w:rsidR="00000000" w:rsidDel="00000000" w:rsidP="00000000" w:rsidRDefault="00000000" w:rsidRPr="00000000" w14:paraId="000002A2">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27.132 €</w:t>
            </w:r>
          </w:p>
        </w:tc>
        <w:tc>
          <w:tcPr>
            <w:tcBorders>
              <w:top w:color="000000" w:space="0" w:sz="0" w:val="nil"/>
              <w:left w:color="000000" w:space="0" w:sz="0" w:val="nil"/>
              <w:bottom w:color="000000" w:space="0" w:sz="0" w:val="nil"/>
              <w:right w:color="2e74b5" w:space="0" w:sz="8" w:val="single"/>
            </w:tcBorders>
            <w:shd w:fill="auto" w:val="clear"/>
            <w:vAlign w:val="bottom"/>
          </w:tcPr>
          <w:p w:rsidR="00000000" w:rsidDel="00000000" w:rsidP="00000000" w:rsidRDefault="00000000" w:rsidRPr="00000000" w14:paraId="000002A3">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27.967 €</w:t>
            </w:r>
          </w:p>
        </w:tc>
        <w:tc>
          <w:tcPr>
            <w:tcBorders>
              <w:top w:color="000000" w:space="0" w:sz="0" w:val="nil"/>
              <w:left w:color="000000" w:space="0" w:sz="0" w:val="nil"/>
              <w:bottom w:color="000000" w:space="0" w:sz="0" w:val="nil"/>
              <w:right w:color="2e74b5" w:space="0" w:sz="8" w:val="single"/>
            </w:tcBorders>
            <w:shd w:fill="auto" w:val="clear"/>
            <w:vAlign w:val="bottom"/>
          </w:tcPr>
          <w:p w:rsidR="00000000" w:rsidDel="00000000" w:rsidP="00000000" w:rsidRDefault="00000000" w:rsidRPr="00000000" w14:paraId="000002A4">
            <w:pPr>
              <w:jc w:val="center"/>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3,1%</w:t>
            </w:r>
          </w:p>
        </w:tc>
        <w:tc>
          <w:tcPr>
            <w:tcBorders>
              <w:top w:color="000000" w:space="0" w:sz="0" w:val="nil"/>
              <w:left w:color="000000" w:space="0" w:sz="0" w:val="nil"/>
              <w:bottom w:color="000000" w:space="0" w:sz="0" w:val="nil"/>
              <w:right w:color="2e74b5" w:space="0" w:sz="8" w:val="single"/>
            </w:tcBorders>
            <w:shd w:fill="auto" w:val="clear"/>
            <w:vAlign w:val="bottom"/>
          </w:tcPr>
          <w:p w:rsidR="00000000" w:rsidDel="00000000" w:rsidP="00000000" w:rsidRDefault="00000000" w:rsidRPr="00000000" w14:paraId="000002A5">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2.999 €</w:t>
            </w:r>
          </w:p>
        </w:tc>
        <w:tc>
          <w:tcPr>
            <w:tcBorders>
              <w:top w:color="000000" w:space="0" w:sz="0" w:val="nil"/>
              <w:left w:color="000000" w:space="0" w:sz="0" w:val="nil"/>
              <w:bottom w:color="000000" w:space="0" w:sz="0" w:val="nil"/>
              <w:right w:color="2e74b5" w:space="0" w:sz="8" w:val="single"/>
            </w:tcBorders>
            <w:shd w:fill="auto" w:val="clear"/>
            <w:vAlign w:val="bottom"/>
          </w:tcPr>
          <w:p w:rsidR="00000000" w:rsidDel="00000000" w:rsidP="00000000" w:rsidRDefault="00000000" w:rsidRPr="00000000" w14:paraId="000002A6">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3.146 €</w:t>
            </w:r>
          </w:p>
        </w:tc>
        <w:tc>
          <w:tcPr>
            <w:tcBorders>
              <w:top w:color="000000" w:space="0" w:sz="0" w:val="nil"/>
              <w:left w:color="000000" w:space="0" w:sz="0" w:val="nil"/>
              <w:bottom w:color="000000" w:space="0" w:sz="0" w:val="nil"/>
              <w:right w:color="2e74b5" w:space="0" w:sz="8" w:val="single"/>
            </w:tcBorders>
            <w:shd w:fill="auto" w:val="clear"/>
            <w:vAlign w:val="bottom"/>
          </w:tcPr>
          <w:p w:rsidR="00000000" w:rsidDel="00000000" w:rsidP="00000000" w:rsidRDefault="00000000" w:rsidRPr="00000000" w14:paraId="000002A7">
            <w:pPr>
              <w:jc w:val="center"/>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4,9%</w:t>
            </w:r>
          </w:p>
        </w:tc>
      </w:tr>
      <w:tr>
        <w:trPr>
          <w:cantSplit w:val="0"/>
          <w:trHeight w:val="205" w:hRule="atLeast"/>
          <w:tblHeader w:val="0"/>
        </w:trPr>
        <w:tc>
          <w:tcPr>
            <w:tcBorders>
              <w:top w:color="000000" w:space="0" w:sz="0" w:val="nil"/>
              <w:left w:color="2e74b5" w:space="0" w:sz="8" w:val="single"/>
              <w:bottom w:color="2e74b5" w:space="0" w:sz="8" w:val="single"/>
              <w:right w:color="2e74b5" w:space="0" w:sz="8" w:val="single"/>
            </w:tcBorders>
            <w:shd w:fill="9cc3e5" w:val="clear"/>
            <w:vAlign w:val="bottom"/>
          </w:tcPr>
          <w:p w:rsidR="00000000" w:rsidDel="00000000" w:rsidP="00000000" w:rsidRDefault="00000000" w:rsidRPr="00000000" w14:paraId="000002A8">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Murcia</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A9">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26.077 €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AA">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27.175 €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AB">
            <w:pPr>
              <w:jc w:val="center"/>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4,2%</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AC">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1.308 €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AD">
            <w:pPr>
              <w:jc w:val="cente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1.485 €</w:t>
            </w:r>
          </w:p>
        </w:tc>
        <w:tc>
          <w:tcPr>
            <w:tcBorders>
              <w:top w:color="000000" w:space="0" w:sz="0" w:val="nil"/>
              <w:left w:color="000000" w:space="0" w:sz="0" w:val="nil"/>
              <w:bottom w:color="2e74b5" w:space="0" w:sz="8" w:val="single"/>
              <w:right w:color="2e74b5" w:space="0" w:sz="8" w:val="single"/>
            </w:tcBorders>
            <w:shd w:fill="auto" w:val="clear"/>
            <w:vAlign w:val="bottom"/>
          </w:tcPr>
          <w:p w:rsidR="00000000" w:rsidDel="00000000" w:rsidP="00000000" w:rsidRDefault="00000000" w:rsidRPr="00000000" w14:paraId="000002AE">
            <w:pPr>
              <w:jc w:val="center"/>
              <w:rPr>
                <w:rFonts w:ascii="Open Sans" w:cs="Open Sans" w:eastAsia="Open Sans" w:hAnsi="Open Sans"/>
                <w:b w:val="1"/>
                <w:color w:val="000000"/>
                <w:sz w:val="18"/>
                <w:szCs w:val="18"/>
              </w:rPr>
            </w:pPr>
            <w:r w:rsidDel="00000000" w:rsidR="00000000" w:rsidRPr="00000000">
              <w:rPr>
                <w:rFonts w:ascii="Open Sans" w:cs="Open Sans" w:eastAsia="Open Sans" w:hAnsi="Open Sans"/>
                <w:b w:val="1"/>
                <w:color w:val="000000"/>
                <w:sz w:val="18"/>
                <w:szCs w:val="18"/>
                <w:rtl w:val="0"/>
              </w:rPr>
              <w:t xml:space="preserve">13,6%</w:t>
            </w:r>
          </w:p>
        </w:tc>
      </w:tr>
    </w:tbl>
    <w:p w:rsidR="00000000" w:rsidDel="00000000" w:rsidP="00000000" w:rsidRDefault="00000000" w:rsidRPr="00000000" w14:paraId="000002AF">
      <w:pPr>
        <w:spacing w:line="276" w:lineRule="auto"/>
        <w:ind w:right="-574"/>
        <w:jc w:val="right"/>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2B0">
      <w:pPr>
        <w:spacing w:line="276" w:lineRule="auto"/>
        <w:ind w:right="-574"/>
        <w:jc w:val="right"/>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2B1">
      <w:pPr>
        <w:spacing w:line="276" w:lineRule="auto"/>
        <w:ind w:right="-574"/>
        <w:jc w:val="right"/>
        <w:rPr>
          <w:rFonts w:ascii="Open Sans Light" w:cs="Open Sans Light" w:eastAsia="Open Sans Light" w:hAnsi="Open Sans Light"/>
          <w:b w:val="1"/>
          <w:color w:val="303ab2"/>
        </w:rPr>
      </w:pPr>
      <w:bookmarkStart w:colFirst="0" w:colLast="0" w:name="_heading=h.i2pfolw5aw3q" w:id="9"/>
      <w:bookmarkEnd w:id="9"/>
      <w:r w:rsidDel="00000000" w:rsidR="00000000" w:rsidRPr="00000000">
        <w:rPr>
          <w:rtl w:val="0"/>
        </w:rPr>
      </w:r>
    </w:p>
    <w:p w:rsidR="00000000" w:rsidDel="00000000" w:rsidP="00000000" w:rsidRDefault="00000000" w:rsidRPr="00000000" w14:paraId="000002B2">
      <w:pPr>
        <w:spacing w:line="276" w:lineRule="auto"/>
        <w:ind w:right="-574"/>
        <w:jc w:val="right"/>
        <w:rPr>
          <w:rFonts w:ascii="Open Sans Light" w:cs="Open Sans Light" w:eastAsia="Open Sans Light" w:hAnsi="Open Sans Light"/>
          <w:b w:val="1"/>
          <w:color w:val="303ab2"/>
        </w:rPr>
      </w:pPr>
      <w:bookmarkStart w:colFirst="0" w:colLast="0" w:name="_heading=h.it7m5jbt5dc" w:id="10"/>
      <w:bookmarkEnd w:id="10"/>
      <w:r w:rsidDel="00000000" w:rsidR="00000000" w:rsidRPr="00000000">
        <w:rPr>
          <w:rFonts w:ascii="Open Sans Light" w:cs="Open Sans Light" w:eastAsia="Open Sans Light" w:hAnsi="Open Sans Light"/>
          <w:b w:val="1"/>
          <w:color w:val="303ab2"/>
          <w:rtl w:val="0"/>
        </w:rPr>
        <w:t xml:space="preserve">Nota metodológica del análisis: </w:t>
      </w:r>
    </w:p>
    <w:p w:rsidR="00000000" w:rsidDel="00000000" w:rsidP="00000000" w:rsidRDefault="00000000" w:rsidRPr="00000000" w14:paraId="000002B3">
      <w:pPr>
        <w:spacing w:line="276" w:lineRule="auto"/>
        <w:ind w:right="-574"/>
        <w:jc w:val="right"/>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shd w:fill="ffffff" w:val="clear"/>
        <w:spacing w:line="276" w:lineRule="auto"/>
        <w:ind w:right="-574"/>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Los datos de este análisis han sido obtenidos calculando la relación entre el salario promedio bruto anual ofrecido por las empresas en InfoJobs en 2024, que según los datos del </w:t>
      </w:r>
      <w:r w:rsidDel="00000000" w:rsidR="00000000" w:rsidRPr="00000000">
        <w:rPr>
          <w:rFonts w:ascii="Open Sans" w:cs="Open Sans" w:eastAsia="Open Sans" w:hAnsi="Open Sans"/>
          <w:sz w:val="22"/>
          <w:szCs w:val="22"/>
          <w:rtl w:val="0"/>
        </w:rPr>
        <w:t xml:space="preserve">i</w:t>
      </w:r>
      <w:r w:rsidDel="00000000" w:rsidR="00000000" w:rsidRPr="00000000">
        <w:rPr>
          <w:rFonts w:ascii="Open Sans" w:cs="Open Sans" w:eastAsia="Open Sans" w:hAnsi="Open Sans"/>
          <w:color w:val="000000"/>
          <w:sz w:val="22"/>
          <w:szCs w:val="22"/>
          <w:rtl w:val="0"/>
        </w:rPr>
        <w:t xml:space="preserve">nforme InfoJobs-Esade</w:t>
      </w:r>
      <w:r w:rsidDel="00000000" w:rsidR="00000000" w:rsidRPr="00000000">
        <w:rPr>
          <w:rFonts w:ascii="Open Sans" w:cs="Open Sans" w:eastAsia="Open Sans" w:hAnsi="Open Sans"/>
          <w:sz w:val="22"/>
          <w:szCs w:val="22"/>
          <w:rtl w:val="0"/>
        </w:rPr>
        <w:t xml:space="preserve"> </w:t>
      </w:r>
      <w:hyperlink r:id="rId17">
        <w:r w:rsidDel="00000000" w:rsidR="00000000" w:rsidRPr="00000000">
          <w:rPr>
            <w:rFonts w:ascii="Open Sans" w:cs="Open Sans" w:eastAsia="Open Sans" w:hAnsi="Open Sans"/>
            <w:i w:val="1"/>
            <w:color w:val="1155cc"/>
            <w:sz w:val="22"/>
            <w:szCs w:val="22"/>
            <w:u w:val="single"/>
            <w:rtl w:val="0"/>
          </w:rPr>
          <w:t xml:space="preserve">Estado del mercado laboral en España</w:t>
        </w:r>
      </w:hyperlink>
      <w:r w:rsidDel="00000000" w:rsidR="00000000" w:rsidRPr="00000000">
        <w:rPr>
          <w:rFonts w:ascii="Open Sans" w:cs="Open Sans" w:eastAsia="Open Sans" w:hAnsi="Open Sans"/>
          <w:color w:val="000000"/>
          <w:sz w:val="22"/>
          <w:szCs w:val="22"/>
          <w:rtl w:val="0"/>
        </w:rPr>
        <w:t xml:space="preserve"> se situaba en 27.060 euros anuales, y el precio medio de vivienda, que calcula el portal Fotocasa a través de su índice inmobiliario desde hace más de 20 años. Más concretamente, se refiere a la compra de una vivienda media, de 80 m</w:t>
      </w:r>
      <w:r w:rsidDel="00000000" w:rsidR="00000000" w:rsidRPr="00000000">
        <w:rPr>
          <w:rFonts w:ascii="Open Sans" w:cs="Open Sans" w:eastAsia="Open Sans" w:hAnsi="Open Sans"/>
          <w:color w:val="000000"/>
          <w:sz w:val="22"/>
          <w:szCs w:val="22"/>
          <w:vertAlign w:val="superscript"/>
          <w:rtl w:val="0"/>
        </w:rPr>
        <w:t xml:space="preserve">2</w:t>
      </w:r>
      <w:r w:rsidDel="00000000" w:rsidR="00000000" w:rsidRPr="00000000">
        <w:rPr>
          <w:rFonts w:ascii="Open Sans" w:cs="Open Sans" w:eastAsia="Open Sans" w:hAnsi="Open Sans"/>
          <w:color w:val="000000"/>
          <w:sz w:val="22"/>
          <w:szCs w:val="22"/>
          <w:rtl w:val="0"/>
        </w:rPr>
        <w:t xml:space="preserve">, cuyo coste es de 191.114 euros al mes (a fecha de diciembre de 2024).</w:t>
      </w:r>
    </w:p>
    <w:p w:rsidR="00000000" w:rsidDel="00000000" w:rsidP="00000000" w:rsidRDefault="00000000" w:rsidRPr="00000000" w14:paraId="000002B5">
      <w:pPr>
        <w:spacing w:line="276" w:lineRule="auto"/>
        <w:ind w:right="-574"/>
        <w:jc w:val="right"/>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2B6">
      <w:pPr>
        <w:spacing w:line="276" w:lineRule="auto"/>
        <w:ind w:right="-574"/>
        <w:jc w:val="right"/>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Sobre Fotocasa</w:t>
      </w:r>
    </w:p>
    <w:p w:rsidR="00000000" w:rsidDel="00000000" w:rsidP="00000000" w:rsidRDefault="00000000" w:rsidRPr="00000000" w14:paraId="000002B7">
      <w:pPr>
        <w:spacing w:line="276" w:lineRule="auto"/>
        <w:ind w:right="-574"/>
        <w:jc w:val="both"/>
        <w:rPr>
          <w:rFonts w:ascii="Open Sans" w:cs="Open Sans" w:eastAsia="Open Sans" w:hAnsi="Open Sans"/>
          <w:color w:val="222222"/>
          <w:sz w:val="22"/>
          <w:szCs w:val="22"/>
        </w:rPr>
      </w:pPr>
      <w:r w:rsidDel="00000000" w:rsidR="00000000" w:rsidRPr="00000000">
        <w:rPr>
          <w:rFonts w:ascii="Open Sans" w:cs="Open Sans" w:eastAsia="Open Sans" w:hAnsi="Open Sans"/>
          <w:color w:val="000000"/>
          <w:sz w:val="22"/>
          <w:szCs w:val="22"/>
          <w:rtl w:val="0"/>
        </w:rPr>
        <w:t xml:space="preserve">Portal inmobiliario que cuenta con inmuebles de segunda mano, promociones de obra nueva y viviendas de alquiler. Mensualmente elabora el </w:t>
      </w:r>
      <w:hyperlink r:id="rId18">
        <w:r w:rsidDel="00000000" w:rsidR="00000000" w:rsidRPr="00000000">
          <w:rPr>
            <w:rFonts w:ascii="Open Sans" w:cs="Open Sans" w:eastAsia="Open Sans" w:hAnsi="Open Sans"/>
            <w:color w:val="0000ff"/>
            <w:sz w:val="22"/>
            <w:szCs w:val="22"/>
            <w:u w:val="single"/>
            <w:rtl w:val="0"/>
          </w:rPr>
          <w:t xml:space="preserve">índice inmobiliario Fotocasa</w:t>
        </w:r>
      </w:hyperlink>
      <w:r w:rsidDel="00000000" w:rsidR="00000000" w:rsidRPr="00000000">
        <w:rPr>
          <w:rFonts w:ascii="Open Sans" w:cs="Open Sans" w:eastAsia="Open Sans" w:hAnsi="Open Sans"/>
          <w:color w:val="000000"/>
          <w:sz w:val="22"/>
          <w:szCs w:val="22"/>
          <w:rtl w:val="0"/>
        </w:rPr>
        <w:t xml:space="preserve">, un informe de referencia sobre la evolución del precio medio de la vivienda en España, tanto en venta como en alquiler. Además, desde hace varios años cuenta con un consolidado departamento de estudios, bajo el nombre de </w:t>
      </w:r>
      <w:r w:rsidDel="00000000" w:rsidR="00000000" w:rsidRPr="00000000">
        <w:rPr>
          <w:rFonts w:ascii="Open Sans" w:cs="Open Sans" w:eastAsia="Open Sans" w:hAnsi="Open Sans"/>
          <w:b w:val="1"/>
          <w:i w:val="1"/>
          <w:sz w:val="22"/>
          <w:szCs w:val="22"/>
          <w:rtl w:val="0"/>
        </w:rPr>
        <w:t xml:space="preserve">Fotocasa Research</w:t>
      </w:r>
      <w:r w:rsidDel="00000000" w:rsidR="00000000" w:rsidRPr="00000000">
        <w:rPr>
          <w:rFonts w:ascii="Open Sans" w:cs="Open Sans" w:eastAsia="Open Sans" w:hAnsi="Open Sans"/>
          <w:color w:val="000000"/>
          <w:sz w:val="22"/>
          <w:szCs w:val="22"/>
          <w:rtl w:val="0"/>
        </w:rPr>
        <w:t xml:space="preserve">, que analizan los cambios y tendencias del sector inmobiliario. </w:t>
      </w:r>
      <w:r w:rsidDel="00000000" w:rsidR="00000000" w:rsidRPr="00000000">
        <w:rPr>
          <w:rtl w:val="0"/>
        </w:rPr>
      </w:r>
    </w:p>
    <w:p w:rsidR="00000000" w:rsidDel="00000000" w:rsidP="00000000" w:rsidRDefault="00000000" w:rsidRPr="00000000" w14:paraId="000002B8">
      <w:pPr>
        <w:spacing w:line="276" w:lineRule="auto"/>
        <w:ind w:right="-574"/>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2B9">
      <w:pPr>
        <w:spacing w:line="276" w:lineRule="auto"/>
        <w:ind w:right="-574"/>
        <w:jc w:val="right"/>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Sobre InfoJobs</w:t>
      </w:r>
    </w:p>
    <w:p w:rsidR="00000000" w:rsidDel="00000000" w:rsidP="00000000" w:rsidRDefault="00000000" w:rsidRPr="00000000" w14:paraId="000002BA">
      <w:pPr>
        <w:spacing w:line="276" w:lineRule="auto"/>
        <w:ind w:right="-574"/>
        <w:jc w:val="both"/>
        <w:rPr>
          <w:rFonts w:ascii="Open Sans" w:cs="Open Sans" w:eastAsia="Open Sans" w:hAnsi="Open Sans"/>
          <w:color w:val="000000"/>
          <w:sz w:val="22"/>
          <w:szCs w:val="22"/>
          <w:highlight w:val="white"/>
        </w:rPr>
      </w:pPr>
      <w:r w:rsidDel="00000000" w:rsidR="00000000" w:rsidRPr="00000000">
        <w:rPr>
          <w:rFonts w:ascii="Open Sans" w:cs="Open Sans" w:eastAsia="Open Sans" w:hAnsi="Open Sans"/>
          <w:color w:val="000000"/>
          <w:sz w:val="22"/>
          <w:szCs w:val="22"/>
          <w:highlight w:val="white"/>
          <w:rtl w:val="0"/>
        </w:rPr>
        <w:t xml:space="preserve">Plataforma líder en España para encontrar las mejores oportunidades profesionales y el mejor talento. En el último año, InfoJobs ha publicado </w:t>
      </w:r>
      <w:r w:rsidDel="00000000" w:rsidR="00000000" w:rsidRPr="00000000">
        <w:rPr>
          <w:rFonts w:ascii="Open Sans" w:cs="Open Sans" w:eastAsia="Open Sans" w:hAnsi="Open Sans"/>
          <w:sz w:val="22"/>
          <w:szCs w:val="22"/>
          <w:highlight w:val="white"/>
          <w:rtl w:val="0"/>
        </w:rPr>
        <w:t xml:space="preserve">2,4</w:t>
      </w:r>
      <w:r w:rsidDel="00000000" w:rsidR="00000000" w:rsidRPr="00000000">
        <w:rPr>
          <w:rFonts w:ascii="Open Sans" w:cs="Open Sans" w:eastAsia="Open Sans" w:hAnsi="Open Sans"/>
          <w:color w:val="000000"/>
          <w:sz w:val="22"/>
          <w:szCs w:val="22"/>
          <w:highlight w:val="white"/>
          <w:rtl w:val="0"/>
        </w:rPr>
        <w:t xml:space="preserve"> millones de posiciones vacantes. Cuenta cada mes con 40 millones de visitas (más del 80% proceden de dispositivos móviles) y 1,2 millones de usuarios </w:t>
      </w:r>
      <w:r w:rsidDel="00000000" w:rsidR="00000000" w:rsidRPr="00000000">
        <w:rPr>
          <w:rFonts w:ascii="Open Sans" w:cs="Open Sans" w:eastAsia="Open Sans" w:hAnsi="Open Sans"/>
          <w:sz w:val="22"/>
          <w:szCs w:val="22"/>
          <w:highlight w:val="white"/>
          <w:rtl w:val="0"/>
        </w:rPr>
        <w:t xml:space="preserve">únicos mensuales</w:t>
      </w:r>
      <w:r w:rsidDel="00000000" w:rsidR="00000000" w:rsidRPr="00000000">
        <w:rPr>
          <w:rFonts w:ascii="Open Sans" w:cs="Open Sans" w:eastAsia="Open Sans" w:hAnsi="Open Sans"/>
          <w:color w:val="000000"/>
          <w:sz w:val="22"/>
          <w:szCs w:val="22"/>
          <w:highlight w:val="white"/>
          <w:rtl w:val="0"/>
        </w:rPr>
        <w:t xml:space="preserve">. Gracias a InfoJ</w:t>
      </w:r>
      <w:r w:rsidDel="00000000" w:rsidR="00000000" w:rsidRPr="00000000">
        <w:rPr>
          <w:rFonts w:ascii="Open Sans" w:cs="Open Sans" w:eastAsia="Open Sans" w:hAnsi="Open Sans"/>
          <w:sz w:val="22"/>
          <w:szCs w:val="22"/>
          <w:highlight w:val="white"/>
          <w:rtl w:val="0"/>
        </w:rPr>
        <w:t xml:space="preserve">o</w:t>
      </w:r>
      <w:r w:rsidDel="00000000" w:rsidR="00000000" w:rsidRPr="00000000">
        <w:rPr>
          <w:rFonts w:ascii="Open Sans" w:cs="Open Sans" w:eastAsia="Open Sans" w:hAnsi="Open Sans"/>
          <w:color w:val="000000"/>
          <w:sz w:val="22"/>
          <w:szCs w:val="22"/>
          <w:highlight w:val="white"/>
          <w:rtl w:val="0"/>
        </w:rPr>
        <w:t xml:space="preserve">bs se firma un nuevo contrato de trabajo cada </w:t>
      </w:r>
      <w:r w:rsidDel="00000000" w:rsidR="00000000" w:rsidRPr="00000000">
        <w:rPr>
          <w:rFonts w:ascii="Open Sans" w:cs="Open Sans" w:eastAsia="Open Sans" w:hAnsi="Open Sans"/>
          <w:sz w:val="22"/>
          <w:szCs w:val="22"/>
          <w:highlight w:val="white"/>
          <w:rtl w:val="0"/>
        </w:rPr>
        <w:t xml:space="preserve">23</w:t>
      </w:r>
      <w:r w:rsidDel="00000000" w:rsidR="00000000" w:rsidRPr="00000000">
        <w:rPr>
          <w:rFonts w:ascii="Open Sans" w:cs="Open Sans" w:eastAsia="Open Sans" w:hAnsi="Open Sans"/>
          <w:color w:val="000000"/>
          <w:sz w:val="22"/>
          <w:szCs w:val="22"/>
          <w:highlight w:val="white"/>
          <w:rtl w:val="0"/>
        </w:rPr>
        <w:t xml:space="preserve"> segundos.</w:t>
      </w:r>
    </w:p>
    <w:p w:rsidR="00000000" w:rsidDel="00000000" w:rsidP="00000000" w:rsidRDefault="00000000" w:rsidRPr="00000000" w14:paraId="000002BB">
      <w:pPr>
        <w:spacing w:line="276" w:lineRule="auto"/>
        <w:ind w:right="-574"/>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2BC">
      <w:pPr>
        <w:spacing w:line="276" w:lineRule="auto"/>
        <w:ind w:right="-574"/>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2BD">
      <w:pPr>
        <w:spacing w:line="276" w:lineRule="auto"/>
        <w:ind w:right="-574"/>
        <w:jc w:val="both"/>
        <w:rPr>
          <w:rFonts w:ascii="Open Sans" w:cs="Open Sans" w:eastAsia="Open Sans" w:hAnsi="Open Sans"/>
          <w:sz w:val="22"/>
          <w:szCs w:val="22"/>
        </w:rPr>
      </w:pPr>
      <w:hyperlink r:id="rId19">
        <w:r w:rsidDel="00000000" w:rsidR="00000000" w:rsidRPr="00000000">
          <w:rPr>
            <w:rFonts w:ascii="Open Sans" w:cs="Open Sans" w:eastAsia="Open Sans" w:hAnsi="Open Sans"/>
            <w:b w:val="1"/>
            <w:color w:val="0000ff"/>
            <w:sz w:val="22"/>
            <w:szCs w:val="22"/>
            <w:u w:val="single"/>
            <w:rtl w:val="0"/>
          </w:rPr>
          <w:t xml:space="preserve">Fotocasa</w:t>
        </w:r>
      </w:hyperlink>
      <w:r w:rsidDel="00000000" w:rsidR="00000000" w:rsidRPr="00000000">
        <w:rPr>
          <w:rFonts w:ascii="Open Sans" w:cs="Open Sans" w:eastAsia="Open Sans" w:hAnsi="Open Sans"/>
          <w:sz w:val="22"/>
          <w:szCs w:val="22"/>
          <w:rtl w:val="0"/>
        </w:rPr>
        <w:t xml:space="preserve"> e </w:t>
      </w:r>
      <w:hyperlink r:id="rId20">
        <w:r w:rsidDel="00000000" w:rsidR="00000000" w:rsidRPr="00000000">
          <w:rPr>
            <w:rFonts w:ascii="Open Sans" w:cs="Open Sans" w:eastAsia="Open Sans" w:hAnsi="Open Sans"/>
            <w:b w:val="1"/>
            <w:color w:val="0000ff"/>
            <w:sz w:val="22"/>
            <w:szCs w:val="22"/>
            <w:u w:val="single"/>
            <w:rtl w:val="0"/>
          </w:rPr>
          <w:t xml:space="preserve">InfoJobs</w:t>
        </w:r>
      </w:hyperlink>
      <w:r w:rsidDel="00000000" w:rsidR="00000000" w:rsidRPr="00000000">
        <w:rPr>
          <w:rFonts w:ascii="Open Sans" w:cs="Open Sans" w:eastAsia="Open Sans" w:hAnsi="Open Sans"/>
          <w:sz w:val="22"/>
          <w:szCs w:val="22"/>
          <w:rtl w:val="0"/>
        </w:rPr>
        <w:t xml:space="preserve"> pertenecen a </w:t>
      </w:r>
      <w:hyperlink r:id="rId21">
        <w:r w:rsidDel="00000000" w:rsidR="00000000" w:rsidRPr="00000000">
          <w:rPr>
            <w:rFonts w:ascii="Open Sans" w:cs="Open Sans" w:eastAsia="Open Sans" w:hAnsi="Open Sans"/>
            <w:color w:val="0000ff"/>
            <w:sz w:val="22"/>
            <w:szCs w:val="22"/>
            <w:u w:val="single"/>
            <w:rtl w:val="0"/>
          </w:rPr>
          <w:t xml:space="preserve">Adevinta</w:t>
        </w:r>
      </w:hyperlink>
      <w:r w:rsidDel="00000000" w:rsidR="00000000" w:rsidRPr="00000000">
        <w:rPr>
          <w:rFonts w:ascii="Open Sans" w:cs="Open Sans" w:eastAsia="Open Sans" w:hAnsi="Open Sans"/>
          <w:sz w:val="22"/>
          <w:szCs w:val="22"/>
          <w:rtl w:val="0"/>
        </w:rPr>
        <w:t xml:space="preserve">, compañía líder en marketplaces digitales y una de las principales empresas del sector tecnológico del país, con más de 18 millones de usuarios al mes en sus plataformas de los sectores inmobiliario (</w:t>
      </w:r>
      <w:hyperlink r:id="rId22">
        <w:r w:rsidDel="00000000" w:rsidR="00000000" w:rsidRPr="00000000">
          <w:rPr>
            <w:rFonts w:ascii="Open Sans" w:cs="Open Sans" w:eastAsia="Open Sans" w:hAnsi="Open Sans"/>
            <w:color w:val="0000ff"/>
            <w:sz w:val="22"/>
            <w:szCs w:val="22"/>
            <w:u w:val="single"/>
            <w:rtl w:val="0"/>
          </w:rPr>
          <w:t xml:space="preserve">Fotocasa</w:t>
        </w:r>
      </w:hyperlink>
      <w:r w:rsidDel="00000000" w:rsidR="00000000" w:rsidRPr="00000000">
        <w:rPr>
          <w:rFonts w:ascii="Open Sans" w:cs="Open Sans" w:eastAsia="Open Sans" w:hAnsi="Open Sans"/>
          <w:sz w:val="22"/>
          <w:szCs w:val="22"/>
          <w:rtl w:val="0"/>
        </w:rPr>
        <w:t xml:space="preserve"> y </w:t>
      </w:r>
      <w:hyperlink r:id="rId23">
        <w:r w:rsidDel="00000000" w:rsidR="00000000" w:rsidRPr="00000000">
          <w:rPr>
            <w:rFonts w:ascii="Open Sans" w:cs="Open Sans" w:eastAsia="Open Sans" w:hAnsi="Open Sans"/>
            <w:color w:val="0000ff"/>
            <w:sz w:val="22"/>
            <w:szCs w:val="22"/>
            <w:u w:val="single"/>
            <w:rtl w:val="0"/>
          </w:rPr>
          <w:t xml:space="preserve">habitaclia</w:t>
        </w:r>
      </w:hyperlink>
      <w:r w:rsidDel="00000000" w:rsidR="00000000" w:rsidRPr="00000000">
        <w:rPr>
          <w:rFonts w:ascii="Open Sans" w:cs="Open Sans" w:eastAsia="Open Sans" w:hAnsi="Open Sans"/>
          <w:sz w:val="22"/>
          <w:szCs w:val="22"/>
          <w:rtl w:val="0"/>
        </w:rPr>
        <w:t xml:space="preserve">), empleo (</w:t>
      </w:r>
      <w:hyperlink r:id="rId24">
        <w:r w:rsidDel="00000000" w:rsidR="00000000" w:rsidRPr="00000000">
          <w:rPr>
            <w:rFonts w:ascii="Open Sans" w:cs="Open Sans" w:eastAsia="Open Sans" w:hAnsi="Open Sans"/>
            <w:color w:val="0000ff"/>
            <w:sz w:val="22"/>
            <w:szCs w:val="22"/>
            <w:u w:val="single"/>
            <w:rtl w:val="0"/>
          </w:rPr>
          <w:t xml:space="preserve">InfoJobs</w:t>
        </w:r>
      </w:hyperlink>
      <w:r w:rsidDel="00000000" w:rsidR="00000000" w:rsidRPr="00000000">
        <w:rPr>
          <w:rFonts w:ascii="Open Sans" w:cs="Open Sans" w:eastAsia="Open Sans" w:hAnsi="Open Sans"/>
          <w:sz w:val="22"/>
          <w:szCs w:val="22"/>
          <w:rtl w:val="0"/>
        </w:rPr>
        <w:t xml:space="preserve">), motor (</w:t>
      </w:r>
      <w:hyperlink r:id="rId25">
        <w:r w:rsidDel="00000000" w:rsidR="00000000" w:rsidRPr="00000000">
          <w:rPr>
            <w:rFonts w:ascii="Open Sans" w:cs="Open Sans" w:eastAsia="Open Sans" w:hAnsi="Open Sans"/>
            <w:color w:val="0000ff"/>
            <w:sz w:val="22"/>
            <w:szCs w:val="22"/>
            <w:u w:val="single"/>
            <w:rtl w:val="0"/>
          </w:rPr>
          <w:t xml:space="preserve">coches.net</w:t>
        </w:r>
      </w:hyperlink>
      <w:r w:rsidDel="00000000" w:rsidR="00000000" w:rsidRPr="00000000">
        <w:rPr>
          <w:rFonts w:ascii="Open Sans" w:cs="Open Sans" w:eastAsia="Open Sans" w:hAnsi="Open Sans"/>
          <w:sz w:val="22"/>
          <w:szCs w:val="22"/>
          <w:rtl w:val="0"/>
        </w:rPr>
        <w:t xml:space="preserve"> y </w:t>
      </w:r>
      <w:hyperlink r:id="rId26">
        <w:r w:rsidDel="00000000" w:rsidR="00000000" w:rsidRPr="00000000">
          <w:rPr>
            <w:rFonts w:ascii="Open Sans" w:cs="Open Sans" w:eastAsia="Open Sans" w:hAnsi="Open Sans"/>
            <w:color w:val="0000ff"/>
            <w:sz w:val="22"/>
            <w:szCs w:val="22"/>
            <w:u w:val="single"/>
            <w:rtl w:val="0"/>
          </w:rPr>
          <w:t xml:space="preserve">motos.ne</w:t>
        </w:r>
      </w:hyperlink>
      <w:r w:rsidDel="00000000" w:rsidR="00000000" w:rsidRPr="00000000">
        <w:rPr>
          <w:rFonts w:ascii="Open Sans" w:cs="Open Sans" w:eastAsia="Open Sans" w:hAnsi="Open Sans"/>
          <w:sz w:val="22"/>
          <w:szCs w:val="22"/>
          <w:rtl w:val="0"/>
        </w:rPr>
        <w:t xml:space="preserve">t) y compraventa de artículos de segunda mano (</w:t>
      </w:r>
      <w:hyperlink r:id="rId27">
        <w:r w:rsidDel="00000000" w:rsidR="00000000" w:rsidRPr="00000000">
          <w:rPr>
            <w:rFonts w:ascii="Open Sans" w:cs="Open Sans" w:eastAsia="Open Sans" w:hAnsi="Open Sans"/>
            <w:color w:val="0000ff"/>
            <w:sz w:val="22"/>
            <w:szCs w:val="22"/>
            <w:u w:val="single"/>
            <w:rtl w:val="0"/>
          </w:rPr>
          <w:t xml:space="preserve">Milanuncios</w:t>
        </w:r>
      </w:hyperlink>
      <w:r w:rsidDel="00000000" w:rsidR="00000000" w:rsidRPr="00000000">
        <w:rPr>
          <w:rFonts w:ascii="Open Sans" w:cs="Open Sans" w:eastAsia="Open Sans" w:hAnsi="Open Sans"/>
          <w:sz w:val="22"/>
          <w:szCs w:val="22"/>
          <w:rtl w:val="0"/>
        </w:rPr>
        <w:t xml:space="preserve">).</w:t>
      </w:r>
    </w:p>
    <w:p w:rsidR="00000000" w:rsidDel="00000000" w:rsidP="00000000" w:rsidRDefault="00000000" w:rsidRPr="00000000" w14:paraId="000002BE">
      <w:pPr>
        <w:spacing w:line="276" w:lineRule="auto"/>
        <w:ind w:right="-574"/>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2BF">
      <w:pPr>
        <w:spacing w:after="200" w:before="143" w:line="276" w:lineRule="auto"/>
        <w:ind w:right="-574"/>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Los negocios de Adevinta han evolucionado del papel al online a lo largo de más de 40 años de trayectoria en España, convirtiéndose en referentes de Internet. Adevinta tiene presencia mundial en 10 países. El conjunto de sus plataformas locales recibe un promedio de </w:t>
      </w:r>
      <w:r w:rsidDel="00000000" w:rsidR="00000000" w:rsidRPr="00000000">
        <w:rPr>
          <w:rFonts w:ascii="Open Sans" w:cs="Open Sans" w:eastAsia="Open Sans" w:hAnsi="Open Sans"/>
          <w:sz w:val="22"/>
          <w:szCs w:val="22"/>
          <w:rtl w:val="0"/>
        </w:rPr>
        <w:t xml:space="preserve">2.500</w:t>
      </w:r>
      <w:r w:rsidDel="00000000" w:rsidR="00000000" w:rsidRPr="00000000">
        <w:rPr>
          <w:rFonts w:ascii="Open Sans" w:cs="Open Sans" w:eastAsia="Open Sans" w:hAnsi="Open Sans"/>
          <w:color w:val="000000"/>
          <w:sz w:val="22"/>
          <w:szCs w:val="22"/>
          <w:rtl w:val="0"/>
        </w:rPr>
        <w:t xml:space="preserve"> millones de visitas cada mes. </w:t>
      </w:r>
    </w:p>
    <w:p w:rsidR="00000000" w:rsidDel="00000000" w:rsidP="00000000" w:rsidRDefault="00000000" w:rsidRPr="00000000" w14:paraId="000002C0">
      <w:pPr>
        <w:spacing w:after="160" w:line="276" w:lineRule="auto"/>
        <w:ind w:right="-574"/>
        <w:jc w:val="both"/>
        <w:rPr/>
      </w:pPr>
      <w:r w:rsidDel="00000000" w:rsidR="00000000" w:rsidRPr="00000000">
        <w:rPr>
          <w:rFonts w:ascii="Open Sans" w:cs="Open Sans" w:eastAsia="Open Sans" w:hAnsi="Open Sans"/>
          <w:sz w:val="22"/>
          <w:szCs w:val="22"/>
          <w:rtl w:val="0"/>
        </w:rPr>
        <w:t xml:space="preserve">Más información en </w:t>
      </w:r>
      <w:hyperlink r:id="rId28">
        <w:r w:rsidDel="00000000" w:rsidR="00000000" w:rsidRPr="00000000">
          <w:rPr>
            <w:rFonts w:ascii="Open Sans" w:cs="Open Sans" w:eastAsia="Open Sans" w:hAnsi="Open Sans"/>
            <w:color w:val="1155cc"/>
            <w:sz w:val="22"/>
            <w:szCs w:val="22"/>
            <w:u w:val="single"/>
            <w:rtl w:val="0"/>
          </w:rPr>
          <w:t xml:space="preserve">adevinta.es</w:t>
        </w:r>
      </w:hyperlink>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shd w:fill="ffffff" w:val="clear"/>
        <w:spacing w:before="280" w:line="276" w:lineRule="auto"/>
        <w:ind w:right="-567"/>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shd w:fill="ffffff" w:val="clear"/>
        <w:spacing w:before="280" w:line="276" w:lineRule="auto"/>
        <w:ind w:right="-567"/>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Departamento de Comunicación de Fotocasa</w:t>
      </w:r>
    </w:p>
    <w:p w:rsidR="00000000" w:rsidDel="00000000" w:rsidP="00000000" w:rsidRDefault="00000000" w:rsidRPr="00000000" w14:paraId="000002C3">
      <w:pPr>
        <w:pBdr>
          <w:top w:space="0" w:sz="0" w:val="nil"/>
          <w:left w:space="0" w:sz="0" w:val="nil"/>
          <w:bottom w:space="0" w:sz="0" w:val="nil"/>
          <w:right w:space="0" w:sz="0" w:val="nil"/>
          <w:between w:space="0" w:sz="0" w:val="nil"/>
        </w:pBdr>
        <w:shd w:fill="ffffff" w:val="clear"/>
        <w:spacing w:line="276" w:lineRule="auto"/>
        <w:ind w:right="-567"/>
        <w:rPr>
          <w:rFonts w:ascii="Open Sans" w:cs="Open Sans" w:eastAsia="Open Sans" w:hAnsi="Open Sans"/>
          <w:b w:val="1"/>
          <w:color w:val="000000"/>
          <w:sz w:val="21"/>
          <w:szCs w:val="21"/>
        </w:rPr>
      </w:pPr>
      <w:r w:rsidDel="00000000" w:rsidR="00000000" w:rsidRPr="00000000">
        <w:rPr>
          <w:rFonts w:ascii="Open Sans" w:cs="Open Sans" w:eastAsia="Open Sans" w:hAnsi="Open Sans"/>
          <w:b w:val="1"/>
          <w:color w:val="000000"/>
          <w:sz w:val="21"/>
          <w:szCs w:val="21"/>
          <w:rtl w:val="0"/>
        </w:rPr>
        <w:t xml:space="preserve">Anaïs López</w:t>
      </w:r>
    </w:p>
    <w:p w:rsidR="00000000" w:rsidDel="00000000" w:rsidP="00000000" w:rsidRDefault="00000000" w:rsidRPr="00000000" w14:paraId="000002C4">
      <w:pPr>
        <w:pBdr>
          <w:top w:space="0" w:sz="0" w:val="nil"/>
          <w:left w:space="0" w:sz="0" w:val="nil"/>
          <w:bottom w:space="0" w:sz="0" w:val="nil"/>
          <w:right w:space="0" w:sz="0" w:val="nil"/>
          <w:between w:space="0" w:sz="0" w:val="nil"/>
        </w:pBdr>
        <w:shd w:fill="ffffff" w:val="clear"/>
        <w:spacing w:line="276" w:lineRule="auto"/>
        <w:ind w:right="-567"/>
        <w:rPr>
          <w:rFonts w:ascii="Open Sans" w:cs="Open Sans" w:eastAsia="Open Sans" w:hAnsi="Open Sans"/>
          <w:color w:val="000000"/>
          <w:sz w:val="21"/>
          <w:szCs w:val="21"/>
        </w:rPr>
      </w:pPr>
      <w:r w:rsidDel="00000000" w:rsidR="00000000" w:rsidRPr="00000000">
        <w:rPr>
          <w:rFonts w:ascii="Open Sans" w:cs="Open Sans" w:eastAsia="Open Sans" w:hAnsi="Open Sans"/>
          <w:color w:val="000000"/>
          <w:sz w:val="21"/>
          <w:szCs w:val="21"/>
          <w:rtl w:val="0"/>
        </w:rPr>
        <w:t xml:space="preserve">Móvil: 620 66 29 26</w:t>
      </w:r>
    </w:p>
    <w:p w:rsidR="00000000" w:rsidDel="00000000" w:rsidP="00000000" w:rsidRDefault="00000000" w:rsidRPr="00000000" w14:paraId="000002C5">
      <w:pPr>
        <w:pBdr>
          <w:top w:space="0" w:sz="0" w:val="nil"/>
          <w:left w:space="0" w:sz="0" w:val="nil"/>
          <w:bottom w:space="0" w:sz="0" w:val="nil"/>
          <w:right w:space="0" w:sz="0" w:val="nil"/>
          <w:between w:space="0" w:sz="0" w:val="nil"/>
        </w:pBdr>
        <w:shd w:fill="ffffff" w:val="clear"/>
        <w:spacing w:line="276" w:lineRule="auto"/>
        <w:ind w:right="-574"/>
        <w:rPr>
          <w:rFonts w:ascii="Open Sans" w:cs="Open Sans" w:eastAsia="Open Sans" w:hAnsi="Open Sans"/>
          <w:color w:val="000000"/>
          <w:sz w:val="21"/>
          <w:szCs w:val="21"/>
        </w:rPr>
      </w:pPr>
      <w:hyperlink r:id="rId29">
        <w:r w:rsidDel="00000000" w:rsidR="00000000" w:rsidRPr="00000000">
          <w:rPr>
            <w:rFonts w:ascii="Open Sans" w:cs="Open Sans" w:eastAsia="Open Sans" w:hAnsi="Open Sans"/>
            <w:color w:val="0000ff"/>
            <w:sz w:val="21"/>
            <w:szCs w:val="21"/>
            <w:u w:val="single"/>
            <w:rtl w:val="0"/>
          </w:rPr>
          <w:t xml:space="preserve">comunicacion@fotocasa.es</w:t>
        </w:r>
      </w:hyperlink>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shd w:fill="ffffff" w:val="clear"/>
        <w:spacing w:line="276" w:lineRule="auto"/>
        <w:ind w:right="-574"/>
        <w:rPr>
          <w:rFonts w:ascii="Open Sans" w:cs="Open Sans" w:eastAsia="Open Sans" w:hAnsi="Open Sans"/>
          <w:color w:val="000000"/>
          <w:sz w:val="21"/>
          <w:szCs w:val="21"/>
        </w:rPr>
      </w:pPr>
      <w:hyperlink r:id="rId30">
        <w:r w:rsidDel="00000000" w:rsidR="00000000" w:rsidRPr="00000000">
          <w:rPr>
            <w:rFonts w:ascii="Open Sans" w:cs="Open Sans" w:eastAsia="Open Sans" w:hAnsi="Open Sans"/>
            <w:color w:val="0000ff"/>
            <w:sz w:val="21"/>
            <w:szCs w:val="21"/>
            <w:u w:val="single"/>
            <w:rtl w:val="0"/>
          </w:rPr>
          <w:t xml:space="preserve">http://prensa.fotocasa.es</w:t>
        </w:r>
      </w:hyperlink>
      <w:r w:rsidDel="00000000" w:rsidR="00000000" w:rsidRPr="00000000">
        <w:rPr>
          <w:rtl w:val="0"/>
        </w:rPr>
      </w:r>
    </w:p>
    <w:p w:rsidR="00000000" w:rsidDel="00000000" w:rsidP="00000000" w:rsidRDefault="00000000" w:rsidRPr="00000000" w14:paraId="000002C7">
      <w:pPr>
        <w:pBdr>
          <w:top w:space="0" w:sz="0" w:val="nil"/>
          <w:left w:space="0" w:sz="0" w:val="nil"/>
          <w:bottom w:space="0" w:sz="0" w:val="nil"/>
          <w:right w:space="0" w:sz="0" w:val="nil"/>
          <w:between w:space="0" w:sz="0" w:val="nil"/>
        </w:pBdr>
        <w:shd w:fill="ffffff" w:val="clear"/>
        <w:spacing w:line="276" w:lineRule="auto"/>
        <w:ind w:right="-574"/>
        <w:rPr>
          <w:rFonts w:ascii="Open Sans" w:cs="Open Sans" w:eastAsia="Open Sans" w:hAnsi="Open Sans"/>
          <w:color w:val="000000"/>
          <w:sz w:val="21"/>
          <w:szCs w:val="21"/>
        </w:rPr>
      </w:pPr>
      <w:r w:rsidDel="00000000" w:rsidR="00000000" w:rsidRPr="00000000">
        <w:rPr>
          <w:rtl w:val="0"/>
        </w:rPr>
      </w:r>
    </w:p>
    <w:p w:rsidR="00000000" w:rsidDel="00000000" w:rsidP="00000000" w:rsidRDefault="00000000" w:rsidRPr="00000000" w14:paraId="000002C8">
      <w:pPr>
        <w:shd w:fill="ffffff" w:val="clear"/>
        <w:spacing w:before="280" w:line="276" w:lineRule="auto"/>
        <w:ind w:right="-567"/>
        <w:rPr>
          <w:rFonts w:ascii="Open Sans Light" w:cs="Open Sans Light" w:eastAsia="Open Sans Light" w:hAnsi="Open Sans Light"/>
          <w:b w:val="1"/>
          <w:color w:val="303ab2"/>
          <w:highlight w:val="white"/>
        </w:rPr>
      </w:pPr>
      <w:r w:rsidDel="00000000" w:rsidR="00000000" w:rsidRPr="00000000">
        <w:rPr>
          <w:rFonts w:ascii="Open Sans Light" w:cs="Open Sans Light" w:eastAsia="Open Sans Light" w:hAnsi="Open Sans Light"/>
          <w:b w:val="1"/>
          <w:color w:val="303ab2"/>
          <w:highlight w:val="white"/>
          <w:rtl w:val="0"/>
        </w:rPr>
        <w:t xml:space="preserve">Departamento de Comunicación de InfoJobs</w:t>
      </w:r>
    </w:p>
    <w:p w:rsidR="00000000" w:rsidDel="00000000" w:rsidP="00000000" w:rsidRDefault="00000000" w:rsidRPr="00000000" w14:paraId="000002C9">
      <w:pPr>
        <w:shd w:fill="ffffff" w:val="clear"/>
        <w:ind w:right="-567"/>
        <w:rPr>
          <w:rFonts w:ascii="Open Sans" w:cs="Open Sans" w:eastAsia="Open Sans" w:hAnsi="Open Sans"/>
          <w:b w:val="1"/>
          <w:sz w:val="21"/>
          <w:szCs w:val="21"/>
          <w:highlight w:val="white"/>
        </w:rPr>
      </w:pPr>
      <w:r w:rsidDel="00000000" w:rsidR="00000000" w:rsidRPr="00000000">
        <w:rPr>
          <w:rFonts w:ascii="Open Sans" w:cs="Open Sans" w:eastAsia="Open Sans" w:hAnsi="Open Sans"/>
          <w:b w:val="1"/>
          <w:sz w:val="21"/>
          <w:szCs w:val="21"/>
          <w:highlight w:val="white"/>
          <w:rtl w:val="0"/>
        </w:rPr>
        <w:t xml:space="preserve">Mónica Pérez</w:t>
      </w:r>
    </w:p>
    <w:p w:rsidR="00000000" w:rsidDel="00000000" w:rsidP="00000000" w:rsidRDefault="00000000" w:rsidRPr="00000000" w14:paraId="000002CA">
      <w:pPr>
        <w:shd w:fill="ffffff" w:val="clear"/>
        <w:ind w:right="-567"/>
        <w:rPr>
          <w:rFonts w:ascii="Open Sans" w:cs="Open Sans" w:eastAsia="Open Sans" w:hAnsi="Open Sans"/>
          <w:b w:val="1"/>
          <w:sz w:val="21"/>
          <w:szCs w:val="21"/>
          <w:highlight w:val="white"/>
        </w:rPr>
      </w:pPr>
      <w:r w:rsidDel="00000000" w:rsidR="00000000" w:rsidRPr="00000000">
        <w:rPr>
          <w:rFonts w:ascii="Open Sans" w:cs="Open Sans" w:eastAsia="Open Sans" w:hAnsi="Open Sans"/>
          <w:b w:val="1"/>
          <w:sz w:val="21"/>
          <w:szCs w:val="21"/>
          <w:highlight w:val="white"/>
          <w:rtl w:val="0"/>
        </w:rPr>
        <w:t xml:space="preserve">Marc Vizcarro / Andrea Vallejo</w:t>
      </w:r>
    </w:p>
    <w:p w:rsidR="00000000" w:rsidDel="00000000" w:rsidP="00000000" w:rsidRDefault="00000000" w:rsidRPr="00000000" w14:paraId="000002CB">
      <w:pPr>
        <w:shd w:fill="ffffff" w:val="clear"/>
        <w:ind w:right="-567"/>
        <w:rPr>
          <w:rFonts w:ascii="Open Sans" w:cs="Open Sans" w:eastAsia="Open Sans" w:hAnsi="Open Sans"/>
          <w:sz w:val="21"/>
          <w:szCs w:val="21"/>
          <w:highlight w:val="white"/>
        </w:rPr>
      </w:pPr>
      <w:r w:rsidDel="00000000" w:rsidR="00000000" w:rsidRPr="00000000">
        <w:rPr>
          <w:rFonts w:ascii="Open Sans" w:cs="Open Sans" w:eastAsia="Open Sans" w:hAnsi="Open Sans"/>
          <w:sz w:val="21"/>
          <w:szCs w:val="21"/>
          <w:highlight w:val="white"/>
          <w:rtl w:val="0"/>
        </w:rPr>
        <w:t xml:space="preserve">Móvil: 676 86 98 56</w:t>
      </w:r>
    </w:p>
    <w:p w:rsidR="00000000" w:rsidDel="00000000" w:rsidP="00000000" w:rsidRDefault="00000000" w:rsidRPr="00000000" w14:paraId="000002CC">
      <w:pPr>
        <w:shd w:fill="ffffff" w:val="clear"/>
        <w:spacing w:line="276" w:lineRule="auto"/>
        <w:ind w:right="-574"/>
        <w:rPr>
          <w:rFonts w:ascii="Open Sans Light" w:cs="Open Sans Light" w:eastAsia="Open Sans Light" w:hAnsi="Open Sans Light"/>
          <w:b w:val="1"/>
          <w:color w:val="303ab2"/>
        </w:rPr>
      </w:pPr>
      <w:hyperlink r:id="rId31">
        <w:r w:rsidDel="00000000" w:rsidR="00000000" w:rsidRPr="00000000">
          <w:rPr>
            <w:rFonts w:ascii="Open Sans" w:cs="Open Sans" w:eastAsia="Open Sans" w:hAnsi="Open Sans"/>
            <w:color w:val="1155cc"/>
            <w:sz w:val="21"/>
            <w:szCs w:val="21"/>
            <w:highlight w:val="white"/>
            <w:u w:val="single"/>
            <w:rtl w:val="0"/>
          </w:rPr>
          <w:t xml:space="preserve">prensa@infojobs.net</w:t>
        </w:r>
      </w:hyperlink>
      <w:r w:rsidDel="00000000" w:rsidR="00000000" w:rsidRPr="00000000">
        <w:rPr>
          <w:rFonts w:ascii="Open Sans" w:cs="Open Sans" w:eastAsia="Open Sans" w:hAnsi="Open Sans"/>
          <w:sz w:val="21"/>
          <w:szCs w:val="21"/>
          <w:highlight w:val="white"/>
          <w:rtl w:val="0"/>
        </w:rPr>
        <w:t xml:space="preserve"> </w:t>
      </w:r>
      <w:r w:rsidDel="00000000" w:rsidR="00000000" w:rsidRPr="00000000">
        <w:rPr>
          <w:rtl w:val="0"/>
        </w:rPr>
      </w:r>
    </w:p>
    <w:sectPr>
      <w:headerReference r:id="rId32" w:type="default"/>
      <w:footerReference r:id="rId33" w:type="default"/>
      <w:pgSz w:h="16840" w:w="1190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ational"/>
  <w:font w:name="Noto Sans Symbols">
    <w:embedRegular w:fontKey="{00000000-0000-0000-0000-000000000000}" r:id="rId1" w:subsetted="0"/>
    <w:embedBold w:fontKey="{00000000-0000-0000-0000-000000000000}" r:id="rId2" w:subsetted="0"/>
  </w:font>
  <w:font w:name="Open Sans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F">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-1068066</wp:posOffset>
          </wp:positionH>
          <wp:positionV relativeFrom="paragraph">
            <wp:posOffset>174608</wp:posOffset>
          </wp:positionV>
          <wp:extent cx="7670550" cy="451315"/>
          <wp:effectExtent b="0" l="0" r="0" t="0"/>
          <wp:wrapSquare wrapText="bothSides" distB="0" distT="0" distL="0" distR="0"/>
          <wp:docPr id="203333780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670550" cy="45131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D">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color w:val="000000"/>
        <w:rtl w:val="0"/>
      </w:rPr>
      <w:t xml:space="preserve">                                               </w:t>
    </w:r>
    <w:r w:rsidDel="00000000" w:rsidR="00000000" w:rsidRPr="00000000">
      <w:rPr>
        <w:rFonts w:ascii="National" w:cs="National" w:eastAsia="National" w:hAnsi="National"/>
        <w:b w:val="1"/>
        <w:color w:val="303ab2"/>
        <w:sz w:val="32"/>
        <w:szCs w:val="32"/>
        <w:rtl w:val="0"/>
      </w:rPr>
      <w:t xml:space="preserve">#InformeInfoJobsFotocasa </w:t>
    </w:r>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C6A5A"/>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NormalWeb">
    <w:name w:val="Normal (Web)"/>
    <w:basedOn w:val="Normal"/>
    <w:uiPriority w:val="99"/>
    <w:unhideWhenUsed w:val="1"/>
    <w:rsid w:val="00A84CA7"/>
    <w:pPr>
      <w:spacing w:after="100" w:afterAutospacing="1" w:before="100" w:beforeAutospacing="1"/>
    </w:pPr>
    <w:rPr>
      <w:rFonts w:ascii="Times New Roman" w:cs="Times New Roman" w:eastAsia="Times New Roman" w:hAnsi="Times New Roman"/>
      <w:lang w:eastAsia="es-ES_tradnl"/>
    </w:rPr>
  </w:style>
  <w:style w:type="paragraph" w:styleId="Encabezado">
    <w:name w:val="header"/>
    <w:basedOn w:val="Normal"/>
    <w:link w:val="EncabezadoCar"/>
    <w:uiPriority w:val="99"/>
    <w:unhideWhenUsed w:val="1"/>
    <w:rsid w:val="00DD4CA4"/>
    <w:pPr>
      <w:tabs>
        <w:tab w:val="center" w:pos="4252"/>
        <w:tab w:val="right" w:pos="8504"/>
      </w:tabs>
    </w:pPr>
  </w:style>
  <w:style w:type="character" w:styleId="EncabezadoCar" w:customStyle="1">
    <w:name w:val="Encabezado Car"/>
    <w:basedOn w:val="Fuentedeprrafopredeter"/>
    <w:link w:val="Encabezado"/>
    <w:uiPriority w:val="99"/>
    <w:rsid w:val="00DD4CA4"/>
  </w:style>
  <w:style w:type="paragraph" w:styleId="Piedepgina">
    <w:name w:val="footer"/>
    <w:basedOn w:val="Normal"/>
    <w:link w:val="PiedepginaCar"/>
    <w:uiPriority w:val="99"/>
    <w:unhideWhenUsed w:val="1"/>
    <w:rsid w:val="00DD4CA4"/>
    <w:pPr>
      <w:tabs>
        <w:tab w:val="center" w:pos="4252"/>
        <w:tab w:val="right" w:pos="8504"/>
      </w:tabs>
    </w:pPr>
  </w:style>
  <w:style w:type="character" w:styleId="PiedepginaCar" w:customStyle="1">
    <w:name w:val="Pie de página Car"/>
    <w:basedOn w:val="Fuentedeprrafopredeter"/>
    <w:link w:val="Piedepgina"/>
    <w:uiPriority w:val="99"/>
    <w:rsid w:val="00DD4CA4"/>
  </w:style>
  <w:style w:type="character" w:styleId="Hipervnculo">
    <w:name w:val="Hyperlink"/>
    <w:basedOn w:val="Fuentedeprrafopredeter"/>
    <w:uiPriority w:val="99"/>
    <w:unhideWhenUsed w:val="1"/>
    <w:rsid w:val="00DC7AC3"/>
    <w:rPr>
      <w:color w:val="0000ff"/>
      <w:u w:val="single"/>
    </w:rPr>
  </w:style>
  <w:style w:type="paragraph" w:styleId="Prrafodelista">
    <w:name w:val="List Paragraph"/>
    <w:basedOn w:val="Normal"/>
    <w:uiPriority w:val="34"/>
    <w:qFormat w:val="1"/>
    <w:rsid w:val="005029E9"/>
    <w:pPr>
      <w:ind w:left="720"/>
      <w:contextualSpacing w:val="1"/>
    </w:pPr>
  </w:style>
  <w:style w:type="table" w:styleId="Tabladecuadrcula5oscura-nfasis11" w:customStyle="1">
    <w:name w:val="Tabla de cuadrícula 5 oscura - Énfasis 11"/>
    <w:basedOn w:val="Tablanormal"/>
    <w:uiPriority w:val="50"/>
    <w:rsid w:val="00753088"/>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9e2f3"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472c4"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472c4"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472c4"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472c4" w:themeFill="accent1" w:val="clear"/>
      </w:tcPr>
    </w:tblStylePr>
    <w:tblStylePr w:type="band1Vert">
      <w:tblPr/>
      <w:tcPr>
        <w:shd w:color="auto" w:fill="b4c6e7" w:themeFill="accent1" w:themeFillTint="000066" w:val="clear"/>
      </w:tcPr>
    </w:tblStylePr>
    <w:tblStylePr w:type="band1Horz">
      <w:tblPr/>
      <w:tcPr>
        <w:shd w:color="auto" w:fill="b4c6e7" w:themeFill="accent1" w:themeFillTint="000066" w:val="clear"/>
      </w:tcPr>
    </w:tblStylePr>
  </w:style>
  <w:style w:type="character" w:styleId="Refdecomentario">
    <w:name w:val="annotation reference"/>
    <w:basedOn w:val="Fuentedeprrafopredeter"/>
    <w:uiPriority w:val="99"/>
    <w:semiHidden w:val="1"/>
    <w:unhideWhenUsed w:val="1"/>
    <w:rsid w:val="00964BED"/>
    <w:rPr>
      <w:sz w:val="16"/>
      <w:szCs w:val="16"/>
    </w:rPr>
  </w:style>
  <w:style w:type="paragraph" w:styleId="Textocomentario">
    <w:name w:val="annotation text"/>
    <w:basedOn w:val="Normal"/>
    <w:link w:val="TextocomentarioCar"/>
    <w:uiPriority w:val="99"/>
    <w:semiHidden w:val="1"/>
    <w:unhideWhenUsed w:val="1"/>
    <w:rsid w:val="00964BED"/>
    <w:rPr>
      <w:sz w:val="20"/>
      <w:szCs w:val="20"/>
    </w:rPr>
  </w:style>
  <w:style w:type="character" w:styleId="TextocomentarioCar" w:customStyle="1">
    <w:name w:val="Texto comentario Car"/>
    <w:basedOn w:val="Fuentedeprrafopredeter"/>
    <w:link w:val="Textocomentario"/>
    <w:uiPriority w:val="99"/>
    <w:semiHidden w:val="1"/>
    <w:rsid w:val="00964BED"/>
    <w:rPr>
      <w:sz w:val="20"/>
      <w:szCs w:val="20"/>
    </w:rPr>
  </w:style>
  <w:style w:type="character" w:styleId="Mencinsinresolver">
    <w:name w:val="Unresolved Mention"/>
    <w:basedOn w:val="Fuentedeprrafopredeter"/>
    <w:uiPriority w:val="99"/>
    <w:semiHidden w:val="1"/>
    <w:unhideWhenUsed w:val="1"/>
    <w:rsid w:val="00A70933"/>
    <w:rPr>
      <w:color w:val="605e5c"/>
      <w:shd w:color="auto" w:fill="e1dfdd" w:val="clear"/>
    </w:rPr>
  </w:style>
  <w:style w:type="table" w:styleId="Tablaconcuadrcula">
    <w:name w:val="Table Grid"/>
    <w:basedOn w:val="Tablanormal"/>
    <w:uiPriority w:val="39"/>
    <w:rsid w:val="00BD4A3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link w:val="TextodegloboCar"/>
    <w:uiPriority w:val="99"/>
    <w:semiHidden w:val="1"/>
    <w:unhideWhenUsed w:val="1"/>
    <w:rsid w:val="00FE5FBC"/>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FE5FBC"/>
    <w:rPr>
      <w:rFonts w:ascii="Segoe UI" w:cs="Segoe UI" w:hAnsi="Segoe UI"/>
      <w:sz w:val="18"/>
      <w:szCs w:val="18"/>
    </w:rPr>
  </w:style>
  <w:style w:type="character" w:styleId="Hipervnculovisitado">
    <w:name w:val="FollowedHyperlink"/>
    <w:basedOn w:val="Fuentedeprrafopredeter"/>
    <w:uiPriority w:val="99"/>
    <w:semiHidden w:val="1"/>
    <w:unhideWhenUsed w:val="1"/>
    <w:rsid w:val="00802470"/>
    <w:rPr>
      <w:color w:val="954f72" w:themeColor="followedHyperlink"/>
      <w:u w:val="singl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70.0" w:type="dxa"/>
        <w:right w:w="70.0" w:type="dxa"/>
      </w:tblCellMar>
    </w:tblPr>
  </w:style>
  <w:style w:type="table" w:styleId="a0" w:customStyle="1">
    <w:basedOn w:val="TableNormal1"/>
    <w:tblPr>
      <w:tblStyleRowBandSize w:val="1"/>
      <w:tblStyleColBandSize w:val="1"/>
      <w:tblCellMar>
        <w:left w:w="70.0" w:type="dxa"/>
        <w:right w:w="70.0" w:type="dxa"/>
      </w:tblCellMar>
    </w:tblPr>
  </w:style>
  <w:style w:type="table" w:styleId="a1" w:customStyle="1">
    <w:basedOn w:val="TableNormal1"/>
    <w:tblPr>
      <w:tblStyleRowBandSize w:val="1"/>
      <w:tblStyleColBandSize w:val="1"/>
      <w:tblCellMar>
        <w:left w:w="70.0" w:type="dxa"/>
        <w:right w:w="70.0" w:type="dxa"/>
      </w:tblCellMar>
    </w:tblPr>
  </w:style>
  <w:style w:type="table" w:styleId="a2" w:customStyle="1">
    <w:basedOn w:val="TableNormal1"/>
    <w:tblPr>
      <w:tblStyleRowBandSize w:val="1"/>
      <w:tblStyleColBandSize w:val="1"/>
      <w:tblCellMar>
        <w:left w:w="70.0" w:type="dxa"/>
        <w:right w:w="70.0" w:type="dxa"/>
      </w:tblCellMar>
    </w:tblPr>
  </w:style>
  <w:style w:type="table" w:styleId="a3" w:customStyle="1">
    <w:basedOn w:val="TableNormal1"/>
    <w:tblPr>
      <w:tblStyleRowBandSize w:val="1"/>
      <w:tblStyleColBandSize w:val="1"/>
      <w:tblCellMar>
        <w:left w:w="115.0" w:type="dxa"/>
        <w:right w:w="115.0" w:type="dxa"/>
      </w:tblCellMar>
    </w:tblPr>
  </w:style>
  <w:style w:type="table" w:styleId="a4" w:customStyle="1">
    <w:basedOn w:val="TableNormal1"/>
    <w:tblPr>
      <w:tblStyleRowBandSize w:val="1"/>
      <w:tblStyleColBandSize w:val="1"/>
      <w:tblCellMar>
        <w:left w:w="115.0" w:type="dxa"/>
        <w:right w:w="115.0" w:type="dxa"/>
      </w:tblCellMar>
    </w:tblPr>
  </w:style>
  <w:style w:type="table" w:styleId="a5" w:customStyle="1">
    <w:basedOn w:val="TableNormal1"/>
    <w:tblPr>
      <w:tblStyleRowBandSize w:val="1"/>
      <w:tblStyleColBandSize w:val="1"/>
      <w:tblCellMar>
        <w:left w:w="70.0" w:type="dxa"/>
        <w:right w:w="70.0" w:type="dxa"/>
      </w:tblCellMar>
    </w:tblPr>
  </w:style>
  <w:style w:type="table" w:styleId="a6" w:customStyle="1">
    <w:basedOn w:val="TableNormal1"/>
    <w:tblPr>
      <w:tblStyleRowBandSize w:val="1"/>
      <w:tblStyleColBandSize w:val="1"/>
      <w:tblCellMar>
        <w:left w:w="70.0" w:type="dxa"/>
        <w:right w:w="70.0" w:type="dxa"/>
      </w:tblCellMar>
    </w:tblPr>
  </w:style>
  <w:style w:type="table" w:styleId="a7" w:customStyle="1">
    <w:basedOn w:val="TableNormal0"/>
    <w:tblPr>
      <w:tblStyleRowBandSize w:val="1"/>
      <w:tblStyleColBandSize w:val="1"/>
      <w:tblCellMar>
        <w:left w:w="115.0" w:type="dxa"/>
        <w:right w:w="115.0" w:type="dxa"/>
      </w:tblCellMar>
    </w:tblPr>
  </w:style>
  <w:style w:type="table" w:styleId="a8" w:customStyle="1">
    <w:basedOn w:val="TableNormal0"/>
    <w:tblPr>
      <w:tblStyleRowBandSize w:val="1"/>
      <w:tblStyleColBandSize w:val="1"/>
      <w:tblCellMar>
        <w:left w:w="115.0" w:type="dxa"/>
        <w:right w:w="115.0" w:type="dxa"/>
      </w:tblCellMar>
    </w:tblPr>
  </w:style>
  <w:style w:type="table" w:styleId="a9" w:customStyle="1">
    <w:basedOn w:val="TableNormal0"/>
    <w:tblPr>
      <w:tblStyleRowBandSize w:val="1"/>
      <w:tblStyleColBandSize w:val="1"/>
      <w:tblCellMar>
        <w:left w:w="70.0" w:type="dxa"/>
        <w:right w:w="70.0" w:type="dxa"/>
      </w:tblCellMar>
    </w:tblPr>
  </w:style>
  <w:style w:type="table" w:styleId="aa" w:customStyle="1">
    <w:basedOn w:val="TableNormal0"/>
    <w:tblPr>
      <w:tblStyleRowBandSize w:val="1"/>
      <w:tblStyleColBandSize w:val="1"/>
      <w:tblCellMar>
        <w:left w:w="70.0" w:type="dxa"/>
        <w:right w:w="70.0" w:type="dxa"/>
      </w:tblCellMar>
    </w:tblPr>
  </w:style>
  <w:style w:type="table" w:styleId="ab" w:customStyle="1">
    <w:basedOn w:val="TableNormal0"/>
    <w:tblPr>
      <w:tblStyleRowBandSize w:val="1"/>
      <w:tblStyleColBandSize w:val="1"/>
      <w:tblCellMar>
        <w:left w:w="7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infojobs.net/" TargetMode="External"/><Relationship Id="rId22" Type="http://schemas.openxmlformats.org/officeDocument/2006/relationships/hyperlink" Target="http://www.fotocasa.es/" TargetMode="External"/><Relationship Id="rId21" Type="http://schemas.openxmlformats.org/officeDocument/2006/relationships/hyperlink" Target="https://www.adevinta.com/" TargetMode="External"/><Relationship Id="rId24" Type="http://schemas.openxmlformats.org/officeDocument/2006/relationships/hyperlink" Target="https://www.infojobs.net/" TargetMode="External"/><Relationship Id="rId23" Type="http://schemas.openxmlformats.org/officeDocument/2006/relationships/hyperlink" Target="https://www.habitacl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26" Type="http://schemas.openxmlformats.org/officeDocument/2006/relationships/hyperlink" Target="https://motos.coches.net/" TargetMode="External"/><Relationship Id="rId25" Type="http://schemas.openxmlformats.org/officeDocument/2006/relationships/hyperlink" Target="https://www.coches.net/" TargetMode="External"/><Relationship Id="rId28" Type="http://schemas.openxmlformats.org/officeDocument/2006/relationships/hyperlink" Target="http://adevinta.es" TargetMode="External"/><Relationship Id="rId27" Type="http://schemas.openxmlformats.org/officeDocument/2006/relationships/hyperlink" Target="https://www.milanuncios.e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about:blank" TargetMode="External"/><Relationship Id="rId7" Type="http://schemas.openxmlformats.org/officeDocument/2006/relationships/image" Target="media/image1.png"/><Relationship Id="rId8" Type="http://schemas.openxmlformats.org/officeDocument/2006/relationships/image" Target="media/image5.png"/><Relationship Id="rId31" Type="http://schemas.openxmlformats.org/officeDocument/2006/relationships/hyperlink" Target="mailto:prensa@infojobs.net" TargetMode="External"/><Relationship Id="rId30" Type="http://schemas.openxmlformats.org/officeDocument/2006/relationships/hyperlink" Target="http://prensa.fotocasa.es" TargetMode="External"/><Relationship Id="rId11" Type="http://schemas.openxmlformats.org/officeDocument/2006/relationships/hyperlink" Target="https://www.infojobs.net/" TargetMode="External"/><Relationship Id="rId33" Type="http://schemas.openxmlformats.org/officeDocument/2006/relationships/footer" Target="footer1.xml"/><Relationship Id="rId10" Type="http://schemas.openxmlformats.org/officeDocument/2006/relationships/hyperlink" Target="http://www.fotocasa.es" TargetMode="External"/><Relationship Id="rId32" Type="http://schemas.openxmlformats.org/officeDocument/2006/relationships/header" Target="header1.xml"/><Relationship Id="rId13" Type="http://schemas.openxmlformats.org/officeDocument/2006/relationships/hyperlink" Target="https://www.fotocasa.es/es/" TargetMode="External"/><Relationship Id="rId12" Type="http://schemas.openxmlformats.org/officeDocument/2006/relationships/chart" Target="charts/chart1.xml"/><Relationship Id="rId15" Type="http://schemas.openxmlformats.org/officeDocument/2006/relationships/image" Target="media/image2.png"/><Relationship Id="rId14" Type="http://schemas.openxmlformats.org/officeDocument/2006/relationships/hyperlink" Target="https://www.infojobs.net/" TargetMode="External"/><Relationship Id="rId17" Type="http://schemas.openxmlformats.org/officeDocument/2006/relationships/hyperlink" Target="https://recursos-humanos.infojobs.net/wp-content/uploads/2025/03/Informe_Mercado_Laboral_InfoJobs_Esade_2024_Digital.pdf" TargetMode="External"/><Relationship Id="rId16" Type="http://schemas.openxmlformats.org/officeDocument/2006/relationships/chart" Target="charts/chart2.xml"/><Relationship Id="rId19" Type="http://schemas.openxmlformats.org/officeDocument/2006/relationships/hyperlink" Target="http://www.fotocasa.es" TargetMode="External"/><Relationship Id="rId18" Type="http://schemas.openxmlformats.org/officeDocument/2006/relationships/hyperlink" Target="https://www.fotocasa.es/indi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Light-regular.ttf"/><Relationship Id="rId4" Type="http://schemas.openxmlformats.org/officeDocument/2006/relationships/font" Target="fonts/OpenSansLight-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penSansLight-italic.ttf"/><Relationship Id="rId6" Type="http://schemas.openxmlformats.org/officeDocument/2006/relationships/font" Target="fonts/OpenSansLight-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image" Target="../media/image6.png"/><Relationship Id="rId3" Type="http://schemas.openxmlformats.org/officeDocument/2006/relationships/image" Target="../media/image7.png"/><Relationship Id="rId4" Type="http://schemas.openxmlformats.org/officeDocument/2006/relationships/image" Target="../media/image8.png"/><Relationship Id="rId5" Type="http://schemas.openxmlformats.org/officeDocument/2006/relationships/image" Target="../media/image9.png"/><Relationship Id="rId6" Type="http://schemas.openxmlformats.org/officeDocument/2006/relationships/oleObject" Target="file:///I:\Mi%20unidad\01-SCHIBSTED\04-ESTUDIO%20NdP\INFOJOBS\02-SUELDOS%20MEDIOS\NdP%202024\COMPARATIVA%20SALARIO%20&amp;%20COMPRA\PRENSA%20%20IJ&amp;FC%20-%20COMPARATIVA%20SALARIO%20Y%20COMPRA%202024.xlsm" TargetMode="Externa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image" Target="../media/image6.png"/><Relationship Id="rId3" Type="http://schemas.openxmlformats.org/officeDocument/2006/relationships/image" Target="../media/image7.png"/><Relationship Id="rId4" Type="http://schemas.openxmlformats.org/officeDocument/2006/relationships/image" Target="../media/image8.png"/><Relationship Id="rId5" Type="http://schemas.openxmlformats.org/officeDocument/2006/relationships/oleObject" Target="file:///I:\Mi%20unidad\01-SCHIBSTED\04-ESTUDIO%20NdP\INFOJOBS\02-SUELDOS%20MEDIOS\NdP%202024\COMPARATIVA%20SALARIO%20&amp;%20COMPRA\PRENSA%20%20IJ&amp;FC%20-%20COMPARATIVA%20SALARIO%20Y%20COMPRA%202024.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1"/>
        <c:spPr>
          <a:blipFill>
            <a:blip xmlns:r="http://schemas.openxmlformats.org/officeDocument/2006/relationships" r:embed="rId3"/>
            <a:stretch>
              <a:fillRect/>
            </a:stretch>
          </a:blipFill>
          <a:ln>
            <a:noFill/>
          </a:ln>
          <a:effectLst/>
        </c:spPr>
      </c:pivotFmt>
      <c:pivotFmt>
        <c:idx val="2"/>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3"/>
        <c:spPr>
          <a:blipFill>
            <a:blip xmlns:r="http://schemas.openxmlformats.org/officeDocument/2006/relationships" r:embed="rId3"/>
            <a:stretch>
              <a:fillRect/>
            </a:stretch>
          </a:blipFill>
          <a:ln>
            <a:noFill/>
          </a:ln>
          <a:effectLst/>
        </c:spPr>
      </c:pivotFmt>
      <c:pivotFmt>
        <c:idx val="4"/>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5"/>
        <c:spPr>
          <a:blipFill>
            <a:blip xmlns:r="http://schemas.openxmlformats.org/officeDocument/2006/relationships" r:embed="rId3"/>
            <a:stretch>
              <a:fillRect/>
            </a:stretch>
          </a:blipFill>
          <a:ln>
            <a:noFill/>
          </a:ln>
          <a:effectLst/>
        </c:spPr>
      </c:pivotFmt>
      <c:pivotFmt>
        <c:idx val="6"/>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6"/>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27"/>
        <c:spPr>
          <a:blipFill>
            <a:blip xmlns:r="http://schemas.openxmlformats.org/officeDocument/2006/relationships" r:embed="rId3"/>
            <a:stretch>
              <a:fillRect/>
            </a:stretch>
          </a:blipFill>
          <a:ln>
            <a:noFill/>
          </a:ln>
          <a:effectLst/>
        </c:spPr>
      </c:pivotFmt>
      <c:pivotFmt>
        <c:idx val="28"/>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29"/>
        <c:spPr>
          <a:blipFill>
            <a:blip xmlns:r="http://schemas.openxmlformats.org/officeDocument/2006/relationships" r:embed="rId3"/>
            <a:stretch>
              <a:fillRect/>
            </a:stretch>
          </a:blipFill>
          <a:ln>
            <a:noFill/>
          </a:ln>
          <a:effectLst/>
        </c:spPr>
      </c:pivotFmt>
      <c:pivotFmt>
        <c:idx val="30"/>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31"/>
        <c:spPr>
          <a:blipFill>
            <a:blip xmlns:r="http://schemas.openxmlformats.org/officeDocument/2006/relationships" r:embed="rId3"/>
            <a:stretch>
              <a:fillRect/>
            </a:stretch>
          </a:blipFill>
          <a:ln>
            <a:noFill/>
          </a:ln>
          <a:effectLst/>
        </c:spPr>
      </c:pivotFmt>
      <c:pivotFmt>
        <c:idx val="32"/>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33"/>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34"/>
        <c:spPr>
          <a:blipFill>
            <a:blip xmlns:r="http://schemas.openxmlformats.org/officeDocument/2006/relationships" r:embed="rId3"/>
            <a:stretch>
              <a:fillRect/>
            </a:stretch>
          </a:blipFill>
          <a:ln>
            <a:noFill/>
          </a:ln>
          <a:effectLst/>
        </c:spPr>
      </c:pivotFmt>
      <c:pivotFmt>
        <c:idx val="35"/>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36"/>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37"/>
        <c:spPr>
          <a:blipFill>
            <a:blip xmlns:r="http://schemas.openxmlformats.org/officeDocument/2006/relationships" r:embed="rId3"/>
            <a:stretch>
              <a:fillRect/>
            </a:stretch>
          </a:blipFill>
          <a:ln>
            <a:noFill/>
          </a:ln>
          <a:effectLst/>
        </c:spPr>
      </c:pivotFmt>
      <c:pivotFmt>
        <c:idx val="38"/>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39"/>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40"/>
        <c:spPr>
          <a:blipFill>
            <a:blip xmlns:r="http://schemas.openxmlformats.org/officeDocument/2006/relationships" r:embed="rId3"/>
            <a:stretch>
              <a:fillRect/>
            </a:stretch>
          </a:blipFill>
          <a:ln>
            <a:noFill/>
          </a:ln>
          <a:effectLst/>
        </c:spPr>
      </c:pivotFmt>
      <c:pivotFmt>
        <c:idx val="41"/>
        <c:spPr>
          <a:blipFill>
            <a:blip xmlns:r="http://schemas.openxmlformats.org/officeDocument/2006/relationships" r:embed="rId4"/>
            <a:stretch>
              <a:fillRect/>
            </a:stretch>
          </a:blipFill>
          <a:ln>
            <a:noFill/>
          </a:ln>
          <a:effectLst/>
        </c:spPr>
        <c:marker>
          <c:symbol val="none"/>
        </c:marker>
        <c:dLbl>
          <c:idx val="0"/>
          <c:delete val="1"/>
          <c:extLst>
            <c:ext xmlns:c15="http://schemas.microsoft.com/office/drawing/2012/chart" uri="{CE6537A1-D6FC-4f65-9D91-7224C49458BB}"/>
          </c:extLst>
        </c:dLbl>
      </c:pivotFmt>
      <c:pivotFmt>
        <c:idx val="42"/>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43"/>
        <c:spPr>
          <a:blipFill>
            <a:blip xmlns:r="http://schemas.openxmlformats.org/officeDocument/2006/relationships" r:embed="rId3"/>
            <a:stretch>
              <a:fillRect/>
            </a:stretch>
          </a:blipFill>
          <a:ln>
            <a:noFill/>
          </a:ln>
          <a:effectLst/>
        </c:spPr>
      </c:pivotFmt>
      <c:pivotFmt>
        <c:idx val="44"/>
        <c:spPr>
          <a:blipFill>
            <a:blip xmlns:r="http://schemas.openxmlformats.org/officeDocument/2006/relationships" r:embed="rId4"/>
            <a:stretch>
              <a:fillRect/>
            </a:stretch>
          </a:blipFill>
          <a:ln>
            <a:noFill/>
          </a:ln>
          <a:effectLst/>
        </c:spPr>
        <c:marker>
          <c:symbol val="none"/>
        </c:marker>
        <c:dLbl>
          <c:idx val="0"/>
          <c:delete val="1"/>
          <c:extLst>
            <c:ext xmlns:c15="http://schemas.microsoft.com/office/drawing/2012/chart" uri="{CE6537A1-D6FC-4f65-9D91-7224C49458BB}"/>
          </c:extLst>
        </c:dLbl>
      </c:pivotFmt>
      <c:pivotFmt>
        <c:idx val="45"/>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46"/>
        <c:spPr>
          <a:blipFill>
            <a:blip xmlns:r="http://schemas.openxmlformats.org/officeDocument/2006/relationships" r:embed="rId3"/>
            <a:stretch>
              <a:fillRect/>
            </a:stretch>
          </a:blipFill>
          <a:ln>
            <a:noFill/>
          </a:ln>
          <a:effectLst/>
        </c:spPr>
      </c:pivotFmt>
      <c:pivotFmt>
        <c:idx val="47"/>
        <c:spPr>
          <a:blipFill>
            <a:blip xmlns:r="http://schemas.openxmlformats.org/officeDocument/2006/relationships" r:embed="rId4"/>
            <a:stretch>
              <a:fillRect/>
            </a:stretch>
          </a:blipFill>
          <a:ln>
            <a:noFill/>
          </a:ln>
          <a:effectLst/>
        </c:spPr>
        <c:marker>
          <c:symbol val="none"/>
        </c:marker>
        <c:dLbl>
          <c:idx val="0"/>
          <c:delete val="1"/>
          <c:extLst>
            <c:ext xmlns:c15="http://schemas.microsoft.com/office/drawing/2012/chart" uri="{CE6537A1-D6FC-4f65-9D91-7224C49458BB}"/>
          </c:extLst>
        </c:dLbl>
      </c:pivotFmt>
      <c:pivotFmt>
        <c:idx val="48"/>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vert="horz"/>
            <a:lstStyle/>
            <a:p>
              <a:pPr>
                <a:defRPr sz="1400" b="1"/>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49"/>
        <c:spPr>
          <a:blipFill>
            <a:blip xmlns:r="http://schemas.openxmlformats.org/officeDocument/2006/relationships" r:embed="rId3"/>
            <a:stretch>
              <a:fillRect/>
            </a:stretch>
          </a:blipFill>
          <a:ln>
            <a:noFill/>
          </a:ln>
          <a:effectLst/>
        </c:spPr>
      </c:pivotFmt>
      <c:pivotFmt>
        <c:idx val="50"/>
        <c:spPr>
          <a:blipFill>
            <a:blip xmlns:r="http://schemas.openxmlformats.org/officeDocument/2006/relationships" r:embed="rId4"/>
            <a:stretch>
              <a:fillRect/>
            </a:stretch>
          </a:blipFill>
          <a:ln>
            <a:noFill/>
          </a:ln>
          <a:effectLst/>
        </c:spPr>
        <c:marker>
          <c:symbol val="none"/>
        </c:marker>
        <c:dLbl>
          <c:idx val="0"/>
          <c:spPr>
            <a:noFill/>
            <a:ln>
              <a:noFill/>
            </a:ln>
            <a:effectLst/>
          </c:spPr>
          <c:txPr>
            <a:bodyPr/>
            <a:lstStyle/>
            <a:p>
              <a:pPr algn="ctr">
                <a:defRPr sz="1400" b="1"/>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51"/>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vert="horz"/>
            <a:lstStyle/>
            <a:p>
              <a:pPr>
                <a:defRPr sz="1400" b="1"/>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52"/>
        <c:spPr>
          <a:blipFill>
            <a:blip xmlns:r="http://schemas.openxmlformats.org/officeDocument/2006/relationships" r:embed="rId4"/>
            <a:stretch>
              <a:fillRect/>
            </a:stretch>
          </a:blipFill>
          <a:ln>
            <a:noFill/>
          </a:ln>
          <a:effectLst/>
        </c:spPr>
        <c:marker>
          <c:symbol val="none"/>
        </c:marker>
        <c:dLbl>
          <c:idx val="0"/>
          <c:spPr>
            <a:noFill/>
            <a:ln>
              <a:noFill/>
            </a:ln>
            <a:effectLst/>
          </c:spPr>
          <c:txPr>
            <a:bodyPr/>
            <a:lstStyle/>
            <a:p>
              <a:pPr algn="ctr">
                <a:defRPr sz="1400" b="1"/>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53"/>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vert="horz"/>
            <a:lstStyle/>
            <a:p>
              <a:pPr>
                <a:defRPr sz="1400" b="1"/>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54"/>
        <c:spPr>
          <a:blipFill>
            <a:blip xmlns:r="http://schemas.openxmlformats.org/officeDocument/2006/relationships" r:embed="rId4"/>
            <a:stretch>
              <a:fillRect/>
            </a:stretch>
          </a:blipFill>
          <a:ln>
            <a:noFill/>
          </a:ln>
          <a:effectLst/>
        </c:spPr>
        <c:marker>
          <c:symbol val="none"/>
        </c:marker>
        <c:dLbl>
          <c:idx val="0"/>
          <c:spPr>
            <a:noFill/>
            <a:ln>
              <a:noFill/>
            </a:ln>
            <a:effectLst/>
          </c:spPr>
          <c:txPr>
            <a:bodyPr/>
            <a:lstStyle/>
            <a:p>
              <a:pPr algn="ctr">
                <a:defRPr sz="1400" b="1"/>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3.7129810997678009E-2"/>
          <c:y val="4.7358205340828192E-2"/>
          <c:w val="0.93248631833235229"/>
          <c:h val="0.64746940577612611"/>
        </c:manualLayout>
      </c:layout>
      <c:barChart>
        <c:barDir val="col"/>
        <c:grouping val="clustered"/>
        <c:varyColors val="0"/>
        <c:ser>
          <c:idx val="0"/>
          <c:order val="0"/>
          <c:tx>
            <c:strRef>
              <c:f>'Tabla CCAA'!$B$55</c:f>
              <c:strCache>
                <c:ptCount val="1"/>
                <c:pt idx="0">
                  <c:v> % Acumulativo salarios medios (Infojobs)</c:v>
                </c:pt>
              </c:strCache>
            </c:strRef>
          </c:tx>
          <c:spPr>
            <a:blipFill>
              <a:blip xmlns:r="http://schemas.openxmlformats.org/officeDocument/2006/relationships" r:embed="rId5"/>
              <a:stretch>
                <a:fillRect/>
              </a:stretch>
            </a:blipFill>
          </c:spPr>
          <c:invertIfNegative val="0"/>
          <c:dPt>
            <c:idx val="4"/>
            <c:invertIfNegative val="0"/>
            <c:bubble3D val="0"/>
            <c:extLst>
              <c:ext xmlns:c16="http://schemas.microsoft.com/office/drawing/2014/chart" uri="{C3380CC4-5D6E-409C-BE32-E72D297353CC}">
                <c16:uniqueId val="{00000000-FA3A-4C60-B052-0A4FF0E9FE20}"/>
              </c:ext>
            </c:extLst>
          </c:dPt>
          <c:dLbls>
            <c:spPr>
              <a:noFill/>
              <a:ln>
                <a:noFill/>
              </a:ln>
              <a:effectLst/>
            </c:spPr>
            <c:txPr>
              <a:bodyPr rot="0" vert="horz"/>
              <a:lstStyle/>
              <a:p>
                <a:pPr>
                  <a:defRPr sz="1100" b="1"/>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'Tabla CCAA'!$A$56:$A$60</c:f>
              <c:strCache>
                <c:ptCount val="5"/>
                <c:pt idx="0">
                  <c:v>5 AÑOS                                                 (2024 vs 2019)</c:v>
                </c:pt>
                <c:pt idx="1">
                  <c:v>4 AÑOS                                                 (2024 vs 2020)</c:v>
                </c:pt>
                <c:pt idx="2">
                  <c:v>3 AÑOS                                                 (2024 vs 2021)</c:v>
                </c:pt>
                <c:pt idx="3">
                  <c:v>2 AÑOS                                                 (2024 vs 2022)</c:v>
                </c:pt>
                <c:pt idx="4">
                  <c:v>1 AÑO                                                     (2024 vs 2023)</c:v>
                </c:pt>
              </c:strCache>
            </c:strRef>
          </c:cat>
          <c:val>
            <c:numRef>
              <c:f>'Tabla CCAA'!$B$56:$B$60</c:f>
              <c:numCache>
                <c:formatCode>0.0%</c:formatCode>
                <c:ptCount val="5"/>
                <c:pt idx="0">
                  <c:v>6.5339764851023024E-2</c:v>
                </c:pt>
                <c:pt idx="1">
                  <c:v>6.6130558163798217E-2</c:v>
                </c:pt>
                <c:pt idx="2">
                  <c:v>7.4110257998043744E-2</c:v>
                </c:pt>
                <c:pt idx="3">
                  <c:v>4.7115298274798878E-2</c:v>
                </c:pt>
                <c:pt idx="4">
                  <c:v>3.1044630742365631E-2</c:v>
                </c:pt>
              </c:numCache>
            </c:numRef>
          </c:val>
          <c:extLst>
            <c:ext xmlns:c16="http://schemas.microsoft.com/office/drawing/2014/chart" uri="{C3380CC4-5D6E-409C-BE32-E72D297353CC}">
              <c16:uniqueId val="{00000001-FA3A-4C60-B052-0A4FF0E9FE20}"/>
            </c:ext>
          </c:extLst>
        </c:ser>
        <c:ser>
          <c:idx val="1"/>
          <c:order val="1"/>
          <c:tx>
            <c:strRef>
              <c:f>'Tabla CCAA'!$C$55</c:f>
              <c:strCache>
                <c:ptCount val="1"/>
                <c:pt idx="0">
                  <c:v> % Acumulativo del precio de la vivienda (fotocasa)</c:v>
                </c:pt>
              </c:strCache>
            </c:strRef>
          </c:tx>
          <c:spPr>
            <a:blipFill>
              <a:blip xmlns:r="http://schemas.openxmlformats.org/officeDocument/2006/relationships" r:embed="rId4"/>
              <a:stretch>
                <a:fillRect/>
              </a:stretch>
            </a:blipFill>
            <a:ln>
              <a:noFill/>
            </a:ln>
            <a:effectLst/>
          </c:spPr>
          <c:invertIfNegative val="0"/>
          <c:dLbls>
            <c:spPr>
              <a:noFill/>
              <a:ln>
                <a:noFill/>
              </a:ln>
              <a:effectLst/>
            </c:spPr>
            <c:txPr>
              <a:bodyPr/>
              <a:lstStyle/>
              <a:p>
                <a:pPr algn="ctr">
                  <a:defRPr sz="1100" b="1"/>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'Tabla CCAA'!$A$56:$A$60</c:f>
              <c:strCache>
                <c:ptCount val="5"/>
                <c:pt idx="0">
                  <c:v>5 AÑOS                                                 (2024 vs 2019)</c:v>
                </c:pt>
                <c:pt idx="1">
                  <c:v>4 AÑOS                                                 (2024 vs 2020)</c:v>
                </c:pt>
                <c:pt idx="2">
                  <c:v>3 AÑOS                                                 (2024 vs 2021)</c:v>
                </c:pt>
                <c:pt idx="3">
                  <c:v>2 AÑOS                                                 (2024 vs 2022)</c:v>
                </c:pt>
                <c:pt idx="4">
                  <c:v>1 AÑO                                                     (2024 vs 2023)</c:v>
                </c:pt>
              </c:strCache>
            </c:strRef>
          </c:cat>
          <c:val>
            <c:numRef>
              <c:f>'Tabla CCAA'!$C$56:$C$60</c:f>
              <c:numCache>
                <c:formatCode>0.0%</c:formatCode>
                <c:ptCount val="5"/>
                <c:pt idx="0">
                  <c:v>0.29434998862195622</c:v>
                </c:pt>
                <c:pt idx="1">
                  <c:v>0.2734779387070807</c:v>
                </c:pt>
                <c:pt idx="2">
                  <c:v>0.25255867116880931</c:v>
                </c:pt>
                <c:pt idx="3">
                  <c:v>0.16486576101266792</c:v>
                </c:pt>
                <c:pt idx="4">
                  <c:v>8.4349325949797979E-2</c:v>
                </c:pt>
              </c:numCache>
            </c:numRef>
          </c:val>
          <c:extLst>
            <c:ext xmlns:c16="http://schemas.microsoft.com/office/drawing/2014/chart" uri="{C3380CC4-5D6E-409C-BE32-E72D297353CC}">
              <c16:uniqueId val="{00000002-FA3A-4C60-B052-0A4FF0E9FE20}"/>
            </c:ext>
          </c:extLst>
        </c:ser>
        <c:dLbls>
          <c:showLegendKey val="0"/>
          <c:showVal val="0"/>
          <c:showCatName val="0"/>
          <c:showSerName val="0"/>
          <c:showPercent val="0"/>
          <c:showBubbleSize val="0"/>
        </c:dLbls>
        <c:gapWidth val="145"/>
        <c:overlap val="-27"/>
        <c:axId val="1587936352"/>
        <c:axId val="663677872"/>
      </c:barChart>
      <c:catAx>
        <c:axId val="1587936352"/>
        <c:scaling>
          <c:orientation val="minMax"/>
        </c:scaling>
        <c:delete val="0"/>
        <c:axPos val="b"/>
        <c:numFmt formatCode="General" sourceLinked="1"/>
        <c:majorTickMark val="cross"/>
        <c:minorTickMark val="none"/>
        <c:tickLblPos val="low"/>
        <c:spPr>
          <a:noFill/>
          <a:ln w="22225" cap="flat" cmpd="sng" algn="ctr">
            <a:solidFill>
              <a:sysClr val="windowText" lastClr="000000"/>
            </a:solidFill>
            <a:round/>
          </a:ln>
          <a:effectLst/>
        </c:spPr>
        <c:txPr>
          <a:bodyPr rot="-60000000" vert="horz"/>
          <a:lstStyle/>
          <a:p>
            <a:pPr>
              <a:defRPr sz="900"/>
            </a:pPr>
            <a:endParaRPr lang="es-ES"/>
          </a:p>
        </c:txPr>
        <c:crossAx val="663677872"/>
        <c:crosses val="autoZero"/>
        <c:auto val="1"/>
        <c:lblAlgn val="ctr"/>
        <c:lblOffset val="100"/>
        <c:noMultiLvlLbl val="0"/>
      </c:catAx>
      <c:valAx>
        <c:axId val="663677872"/>
        <c:scaling>
          <c:orientation val="minMax"/>
        </c:scaling>
        <c:delete val="1"/>
        <c:axPos val="l"/>
        <c:numFmt formatCode="0.0%" sourceLinked="1"/>
        <c:majorTickMark val="none"/>
        <c:minorTickMark val="none"/>
        <c:tickLblPos val="nextTo"/>
        <c:crossAx val="1587936352"/>
        <c:crosses val="autoZero"/>
        <c:crossBetween val="between"/>
      </c:valAx>
    </c:plotArea>
    <c:legend>
      <c:legendPos val="r"/>
      <c:layout>
        <c:manualLayout>
          <c:xMode val="edge"/>
          <c:yMode val="edge"/>
          <c:x val="1.6573237241555679E-2"/>
          <c:y val="0.86575169428940824"/>
          <c:w val="0.98081422110452954"/>
          <c:h val="0.10742461687250164"/>
        </c:manualLayout>
      </c:layout>
      <c:overlay val="0"/>
      <c:txPr>
        <a:bodyPr/>
        <a:lstStyle/>
        <a:p>
          <a:pPr>
            <a:defRPr sz="800"/>
          </a:pPr>
          <a:endParaRPr lang="es-ES"/>
        </a:p>
      </c:txPr>
    </c:legend>
    <c:plotVisOnly val="1"/>
    <c:dispBlanksAs val="gap"/>
    <c:showDLblsOverMax val="0"/>
    <c:extLst/>
  </c:chart>
  <c:spPr>
    <a:solidFill>
      <a:schemeClr val="bg1"/>
    </a:solidFill>
    <a:ln w="9525" cap="flat" cmpd="sng" algn="ctr">
      <a:noFill/>
      <a:round/>
    </a:ln>
    <a:effectLst/>
  </c:spPr>
  <c:txPr>
    <a:bodyPr/>
    <a:lstStyle/>
    <a:p>
      <a:pPr>
        <a:defRPr sz="1100">
          <a:latin typeface="+mj-lt"/>
        </a:defRPr>
      </a:pPr>
      <a:endParaRPr lang="es-ES"/>
    </a:p>
  </c:txPr>
  <c:externalData r:id="rId6">
    <c:autoUpdate val="0"/>
  </c:externalData>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[PRENSA  IJ&amp;FC - COMPARATIVA SALARIO Y COMPRA 2024.xlsm]tablas venta PROV!TablaDinámica1</c:name>
    <c:fmtId val="-1"/>
  </c:pivotSource>
  <c:chart>
    <c:autoTitleDeleted val="1"/>
    <c:pivotFmts>
      <c:pivotFmt>
        <c:idx val="0"/>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1"/>
        <c:spPr>
          <a:blipFill>
            <a:blip xmlns:r="http://schemas.openxmlformats.org/officeDocument/2006/relationships" r:embed="rId3"/>
            <a:stretch>
              <a:fillRect/>
            </a:stretch>
          </a:blipFill>
          <a:ln>
            <a:noFill/>
          </a:ln>
          <a:effectLst/>
        </c:spPr>
      </c:pivotFmt>
      <c:pivotFmt>
        <c:idx val="2"/>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3"/>
        <c:spPr>
          <a:blipFill>
            <a:blip xmlns:r="http://schemas.openxmlformats.org/officeDocument/2006/relationships" r:embed="rId3"/>
            <a:stretch>
              <a:fillRect/>
            </a:stretch>
          </a:blipFill>
          <a:ln>
            <a:noFill/>
          </a:ln>
          <a:effectLst/>
        </c:spPr>
      </c:pivotFmt>
      <c:pivotFmt>
        <c:idx val="4"/>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5"/>
        <c:spPr>
          <a:blipFill>
            <a:blip xmlns:r="http://schemas.openxmlformats.org/officeDocument/2006/relationships" r:embed="rId3"/>
            <a:stretch>
              <a:fillRect/>
            </a:stretch>
          </a:blipFill>
          <a:ln>
            <a:noFill/>
          </a:ln>
          <a:effectLst/>
        </c:spPr>
      </c:pivotFmt>
      <c:pivotFmt>
        <c:idx val="6"/>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6"/>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27"/>
        <c:spPr>
          <a:blipFill>
            <a:blip xmlns:r="http://schemas.openxmlformats.org/officeDocument/2006/relationships" r:embed="rId3"/>
            <a:stretch>
              <a:fillRect/>
            </a:stretch>
          </a:blipFill>
          <a:ln>
            <a:noFill/>
          </a:ln>
          <a:effectLst/>
        </c:spPr>
      </c:pivotFmt>
      <c:pivotFmt>
        <c:idx val="28"/>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29"/>
        <c:spPr>
          <a:blipFill>
            <a:blip xmlns:r="http://schemas.openxmlformats.org/officeDocument/2006/relationships" r:embed="rId3"/>
            <a:stretch>
              <a:fillRect/>
            </a:stretch>
          </a:blipFill>
          <a:ln>
            <a:noFill/>
          </a:ln>
          <a:effectLst/>
        </c:spPr>
      </c:pivotFmt>
      <c:pivotFmt>
        <c:idx val="30"/>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31"/>
        <c:spPr>
          <a:blipFill>
            <a:blip xmlns:r="http://schemas.openxmlformats.org/officeDocument/2006/relationships" r:embed="rId3"/>
            <a:stretch>
              <a:fillRect/>
            </a:stretch>
          </a:blipFill>
          <a:ln>
            <a:noFill/>
          </a:ln>
          <a:effectLst/>
        </c:spPr>
      </c:pivotFmt>
      <c:pivotFmt>
        <c:idx val="32"/>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33"/>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34"/>
        <c:spPr>
          <a:blipFill>
            <a:blip xmlns:r="http://schemas.openxmlformats.org/officeDocument/2006/relationships" r:embed="rId3"/>
            <a:stretch>
              <a:fillRect/>
            </a:stretch>
          </a:blipFill>
          <a:ln>
            <a:noFill/>
          </a:ln>
          <a:effectLst/>
        </c:spPr>
      </c:pivotFmt>
      <c:pivotFmt>
        <c:idx val="35"/>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36"/>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37"/>
        <c:spPr>
          <a:blipFill>
            <a:blip xmlns:r="http://schemas.openxmlformats.org/officeDocument/2006/relationships" r:embed="rId3"/>
            <a:stretch>
              <a:fillRect/>
            </a:stretch>
          </a:blipFill>
          <a:ln>
            <a:noFill/>
          </a:ln>
          <a:effectLst/>
        </c:spPr>
      </c:pivotFmt>
      <c:pivotFmt>
        <c:idx val="38"/>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39"/>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40"/>
        <c:spPr>
          <a:blipFill>
            <a:blip xmlns:r="http://schemas.openxmlformats.org/officeDocument/2006/relationships" r:embed="rId3"/>
            <a:stretch>
              <a:fillRect/>
            </a:stretch>
          </a:blipFill>
          <a:ln>
            <a:noFill/>
          </a:ln>
          <a:effectLst/>
        </c:spPr>
      </c:pivotFmt>
      <c:pivotFmt>
        <c:idx val="41"/>
        <c:spPr>
          <a:blipFill>
            <a:blip xmlns:r="http://schemas.openxmlformats.org/officeDocument/2006/relationships" r:embed="rId4"/>
            <a:stretch>
              <a:fillRect/>
            </a:stretch>
          </a:blipFill>
          <a:ln>
            <a:noFill/>
          </a:ln>
          <a:effectLst/>
        </c:spPr>
        <c:marker>
          <c:symbol val="none"/>
        </c:marker>
        <c:dLbl>
          <c:idx val="0"/>
          <c:delete val="1"/>
          <c:extLst>
            <c:ext xmlns:c15="http://schemas.microsoft.com/office/drawing/2012/chart" uri="{CE6537A1-D6FC-4f65-9D91-7224C49458BB}"/>
          </c:extLst>
        </c:dLbl>
      </c:pivotFmt>
      <c:pivotFmt>
        <c:idx val="42"/>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43"/>
        <c:spPr>
          <a:blipFill>
            <a:blip xmlns:r="http://schemas.openxmlformats.org/officeDocument/2006/relationships" r:embed="rId3"/>
            <a:stretch>
              <a:fillRect/>
            </a:stretch>
          </a:blipFill>
          <a:ln>
            <a:noFill/>
          </a:ln>
          <a:effectLst/>
        </c:spPr>
      </c:pivotFmt>
      <c:pivotFmt>
        <c:idx val="44"/>
        <c:spPr>
          <a:blipFill>
            <a:blip xmlns:r="http://schemas.openxmlformats.org/officeDocument/2006/relationships" r:embed="rId4"/>
            <a:stretch>
              <a:fillRect/>
            </a:stretch>
          </a:blipFill>
          <a:ln>
            <a:noFill/>
          </a:ln>
          <a:effectLst/>
        </c:spPr>
        <c:marker>
          <c:symbol val="none"/>
        </c:marker>
        <c:dLbl>
          <c:idx val="0"/>
          <c:delete val="1"/>
          <c:extLst>
            <c:ext xmlns:c15="http://schemas.microsoft.com/office/drawing/2012/chart" uri="{CE6537A1-D6FC-4f65-9D91-7224C49458BB}"/>
          </c:extLst>
        </c:dLbl>
      </c:pivotFmt>
      <c:pivotFmt>
        <c:idx val="45"/>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46"/>
        <c:spPr>
          <a:blipFill>
            <a:blip xmlns:r="http://schemas.openxmlformats.org/officeDocument/2006/relationships" r:embed="rId3"/>
            <a:stretch>
              <a:fillRect/>
            </a:stretch>
          </a:blipFill>
          <a:ln>
            <a:noFill/>
          </a:ln>
          <a:effectLst/>
        </c:spPr>
      </c:pivotFmt>
      <c:pivotFmt>
        <c:idx val="47"/>
        <c:spPr>
          <a:blipFill>
            <a:blip xmlns:r="http://schemas.openxmlformats.org/officeDocument/2006/relationships" r:embed="rId4"/>
            <a:stretch>
              <a:fillRect/>
            </a:stretch>
          </a:blipFill>
          <a:ln>
            <a:noFill/>
          </a:ln>
          <a:effectLst/>
        </c:spPr>
        <c:marker>
          <c:symbol val="none"/>
        </c:marker>
        <c:dLbl>
          <c:idx val="0"/>
          <c:delete val="1"/>
          <c:extLst>
            <c:ext xmlns:c15="http://schemas.microsoft.com/office/drawing/2012/chart" uri="{CE6537A1-D6FC-4f65-9D91-7224C49458BB}"/>
          </c:extLst>
        </c:dLbl>
      </c:pivotFmt>
      <c:pivotFmt>
        <c:idx val="48"/>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vert="horz"/>
            <a:lstStyle/>
            <a:p>
              <a:pPr>
                <a:defRPr sz="1400" b="1"/>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49"/>
        <c:spPr>
          <a:blipFill>
            <a:blip xmlns:r="http://schemas.openxmlformats.org/officeDocument/2006/relationships" r:embed="rId3"/>
            <a:stretch>
              <a:fillRect/>
            </a:stretch>
          </a:blipFill>
          <a:ln>
            <a:noFill/>
          </a:ln>
          <a:effectLst/>
        </c:spPr>
      </c:pivotFmt>
      <c:pivotFmt>
        <c:idx val="50"/>
        <c:spPr>
          <a:blipFill>
            <a:blip xmlns:r="http://schemas.openxmlformats.org/officeDocument/2006/relationships" r:embed="rId4"/>
            <a:stretch>
              <a:fillRect/>
            </a:stretch>
          </a:blipFill>
          <a:ln>
            <a:noFill/>
          </a:ln>
          <a:effectLst/>
        </c:spPr>
        <c:marker>
          <c:symbol val="none"/>
        </c:marker>
        <c:dLbl>
          <c:idx val="0"/>
          <c:spPr>
            <a:noFill/>
            <a:ln>
              <a:noFill/>
            </a:ln>
            <a:effectLst/>
          </c:spPr>
          <c:txPr>
            <a:bodyPr/>
            <a:lstStyle/>
            <a:p>
              <a:pPr algn="ctr">
                <a:defRPr sz="1400" b="1"/>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51"/>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vert="horz"/>
            <a:lstStyle/>
            <a:p>
              <a:pPr>
                <a:defRPr sz="1400" b="1"/>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52"/>
        <c:spPr>
          <a:blipFill>
            <a:blip xmlns:r="http://schemas.openxmlformats.org/officeDocument/2006/relationships" r:embed="rId4"/>
            <a:stretch>
              <a:fillRect/>
            </a:stretch>
          </a:blipFill>
          <a:ln>
            <a:noFill/>
          </a:ln>
          <a:effectLst/>
        </c:spPr>
        <c:marker>
          <c:symbol val="none"/>
        </c:marker>
        <c:dLbl>
          <c:idx val="0"/>
          <c:spPr>
            <a:noFill/>
            <a:ln>
              <a:noFill/>
            </a:ln>
            <a:effectLst/>
          </c:spPr>
          <c:txPr>
            <a:bodyPr/>
            <a:lstStyle/>
            <a:p>
              <a:pPr algn="ctr">
                <a:defRPr sz="1400" b="1"/>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53"/>
        <c:spPr>
          <a:blipFill>
            <a:blip xmlns:r="http://schemas.openxmlformats.org/officeDocument/2006/relationships" r:embed="rId2"/>
            <a:stretch>
              <a:fillRect/>
            </a:stretch>
          </a:blipFill>
          <a:ln>
            <a:noFill/>
          </a:ln>
          <a:effectLst/>
        </c:spPr>
        <c:marker>
          <c:symbol val="none"/>
        </c:marker>
        <c:dLbl>
          <c:idx val="0"/>
          <c:spPr>
            <a:noFill/>
            <a:ln>
              <a:noFill/>
            </a:ln>
            <a:effectLst/>
          </c:spPr>
          <c:txPr>
            <a:bodyPr rot="0" vert="horz"/>
            <a:lstStyle/>
            <a:p>
              <a:pPr>
                <a:defRPr sz="1400" b="1"/>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54"/>
        <c:spPr>
          <a:blipFill>
            <a:blip xmlns:r="http://schemas.openxmlformats.org/officeDocument/2006/relationships" r:embed="rId4"/>
            <a:stretch>
              <a:fillRect/>
            </a:stretch>
          </a:blipFill>
          <a:ln>
            <a:noFill/>
          </a:ln>
          <a:effectLst/>
        </c:spPr>
        <c:marker>
          <c:symbol val="none"/>
        </c:marker>
        <c:dLbl>
          <c:idx val="0"/>
          <c:spPr>
            <a:noFill/>
            <a:ln>
              <a:noFill/>
            </a:ln>
            <a:effectLst/>
          </c:spPr>
          <c:txPr>
            <a:bodyPr/>
            <a:lstStyle/>
            <a:p>
              <a:pPr algn="ctr">
                <a:defRPr sz="1400" b="1"/>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55"/>
        <c:spPr>
          <a:blipFill>
            <a:blip xmlns:r="http://schemas.openxmlformats.org/officeDocument/2006/relationships" r:embed="rId2"/>
            <a:stretch>
              <a:fillRect/>
            </a:stretch>
          </a:blipFill>
          <a:ln>
            <a:noFill/>
          </a:ln>
          <a:effectLst/>
        </c:spPr>
        <c:marker>
          <c:symbol val="none"/>
        </c:marker>
        <c:dLbl>
          <c:idx val="0"/>
          <c:delete val="1"/>
          <c:extLst>
            <c:ext xmlns:c15="http://schemas.microsoft.com/office/drawing/2012/chart" uri="{CE6537A1-D6FC-4f65-9D91-7224C49458BB}"/>
          </c:extLst>
        </c:dLbl>
      </c:pivotFmt>
      <c:pivotFmt>
        <c:idx val="56"/>
        <c:spPr>
          <a:blipFill>
            <a:blip xmlns:r="http://schemas.openxmlformats.org/officeDocument/2006/relationships" r:embed="rId4"/>
            <a:stretch>
              <a:fillRect/>
            </a:stretch>
          </a:blipFill>
          <a:ln>
            <a:noFill/>
          </a:ln>
          <a:effectLst/>
        </c:spPr>
        <c:marker>
          <c:symbol val="none"/>
        </c:marker>
        <c:dLbl>
          <c:idx val="0"/>
          <c:delete val="1"/>
          <c:extLst>
            <c:ext xmlns:c15="http://schemas.microsoft.com/office/drawing/2012/chart" uri="{CE6537A1-D6FC-4f65-9D91-7224C49458BB}"/>
          </c:extLst>
        </c:dLbl>
      </c:pivotFmt>
      <c:pivotFmt>
        <c:idx val="57"/>
        <c:marker>
          <c:symbol val="none"/>
        </c:marker>
        <c:dLbl>
          <c:idx val="0"/>
          <c:delete val="1"/>
          <c:extLst>
            <c:ext xmlns:c15="http://schemas.microsoft.com/office/drawing/2012/chart" uri="{CE6537A1-D6FC-4f65-9D91-7224C49458BB}"/>
          </c:extLst>
        </c:dLbl>
      </c:pivotFmt>
      <c:pivotFmt>
        <c:idx val="58"/>
        <c:marker>
          <c:symbol val="none"/>
        </c:marker>
        <c:dLbl>
          <c:idx val="0"/>
          <c:delete val="1"/>
          <c:extLst>
            <c:ext xmlns:c15="http://schemas.microsoft.com/office/drawing/2012/chart" uri="{CE6537A1-D6FC-4f65-9D91-7224C49458BB}"/>
          </c:extLst>
        </c:dLbl>
      </c:pivotFmt>
      <c:pivotFmt>
        <c:idx val="59"/>
        <c:marker>
          <c:symbol val="none"/>
        </c:marker>
        <c:dLbl>
          <c:idx val="0"/>
          <c:delete val="1"/>
          <c:extLst>
            <c:ext xmlns:c15="http://schemas.microsoft.com/office/drawing/2012/chart" uri="{CE6537A1-D6FC-4f65-9D91-7224C49458BB}"/>
          </c:extLst>
        </c:dLbl>
      </c:pivotFmt>
      <c:pivotFmt>
        <c:idx val="60"/>
        <c:marker>
          <c:symbol val="none"/>
        </c:marker>
        <c:dLbl>
          <c:idx val="0"/>
          <c:delete val="1"/>
          <c:extLst>
            <c:ext xmlns:c15="http://schemas.microsoft.com/office/drawing/2012/chart" uri="{CE6537A1-D6FC-4f65-9D91-7224C49458BB}"/>
          </c:extLst>
        </c:dLbl>
      </c:pivotFmt>
      <c:pivotFmt>
        <c:idx val="61"/>
        <c:marker>
          <c:symbol val="none"/>
        </c:marker>
        <c:dLbl>
          <c:idx val="0"/>
          <c:delete val="1"/>
          <c:extLst>
            <c:ext xmlns:c15="http://schemas.microsoft.com/office/drawing/2012/chart" uri="{CE6537A1-D6FC-4f65-9D91-7224C49458BB}"/>
          </c:extLst>
        </c:dLbl>
      </c:pivotFmt>
      <c:pivotFmt>
        <c:idx val="62"/>
        <c:marker>
          <c:symbol val="none"/>
        </c:marker>
        <c:dLbl>
          <c:idx val="0"/>
          <c:delete val="1"/>
          <c:extLst>
            <c:ext xmlns:c15="http://schemas.microsoft.com/office/drawing/2012/chart" uri="{CE6537A1-D6FC-4f65-9D91-7224C49458BB}"/>
          </c:extLst>
        </c:dLbl>
      </c:pivotFmt>
    </c:pivotFmts>
    <c:plotArea>
      <c:layout>
        <c:manualLayout>
          <c:layoutTarget val="inner"/>
          <c:xMode val="edge"/>
          <c:yMode val="edge"/>
          <c:x val="5.4852120571671582E-2"/>
          <c:y val="0.14100756062208641"/>
          <c:w val="0.94565509149939819"/>
          <c:h val="0.58701061621028716"/>
        </c:manualLayout>
      </c:layout>
      <c:barChart>
        <c:barDir val="col"/>
        <c:grouping val="stacked"/>
        <c:varyColors val="0"/>
        <c:ser>
          <c:idx val="0"/>
          <c:order val="0"/>
          <c:tx>
            <c:strRef>
              <c:f>'tablas venta PROV'!$B$41:$B$43</c:f>
              <c:strCache>
                <c:ptCount val="1"/>
                <c:pt idx="0">
                  <c:v>2024 -   % interanual  salarios medios (Infojobs)</c:v>
                </c:pt>
              </c:strCache>
            </c:strRef>
          </c:tx>
          <c:invertIfNegative val="0"/>
          <c:dPt>
            <c:idx val="2"/>
            <c:invertIfNegative val="0"/>
            <c:bubble3D val="0"/>
            <c:extLst>
              <c:ext xmlns:c16="http://schemas.microsoft.com/office/drawing/2014/chart" uri="{C3380CC4-5D6E-409C-BE32-E72D297353CC}">
                <c16:uniqueId val="{00000000-F166-42DB-909F-0C4864FC35CE}"/>
              </c:ext>
            </c:extLst>
          </c:dPt>
          <c:dPt>
            <c:idx val="3"/>
            <c:invertIfNegative val="0"/>
            <c:bubble3D val="0"/>
            <c:extLst>
              <c:ext xmlns:c16="http://schemas.microsoft.com/office/drawing/2014/chart" uri="{C3380CC4-5D6E-409C-BE32-E72D297353CC}">
                <c16:uniqueId val="{00000001-F166-42DB-909F-0C4864FC35CE}"/>
              </c:ext>
            </c:extLst>
          </c:dPt>
          <c:cat>
            <c:strRef>
              <c:f>'tablas venta PROV'!$A$44:$A$91</c:f>
              <c:strCache>
                <c:ptCount val="48"/>
                <c:pt idx="0">
                  <c:v>Alicante/Alacant</c:v>
                </c:pt>
                <c:pt idx="1">
                  <c:v>Illes Balears</c:v>
                </c:pt>
                <c:pt idx="2">
                  <c:v>Guadalajara</c:v>
                </c:pt>
                <c:pt idx="3">
                  <c:v>Málaga</c:v>
                </c:pt>
                <c:pt idx="4">
                  <c:v>Lugo</c:v>
                </c:pt>
                <c:pt idx="5">
                  <c:v>Valencia/València</c:v>
                </c:pt>
                <c:pt idx="6">
                  <c:v>Castellón/Castelló</c:v>
                </c:pt>
                <c:pt idx="7">
                  <c:v>Pontevedra</c:v>
                </c:pt>
                <c:pt idx="8">
                  <c:v>Madrid</c:v>
                </c:pt>
                <c:pt idx="9">
                  <c:v>Murcia</c:v>
                </c:pt>
                <c:pt idx="10">
                  <c:v>Toledo</c:v>
                </c:pt>
                <c:pt idx="11">
                  <c:v>Valladolid</c:v>
                </c:pt>
                <c:pt idx="12">
                  <c:v>Cádiz</c:v>
                </c:pt>
                <c:pt idx="13">
                  <c:v>Granada</c:v>
                </c:pt>
                <c:pt idx="14">
                  <c:v>Asturias</c:v>
                </c:pt>
                <c:pt idx="15">
                  <c:v>Lleida</c:v>
                </c:pt>
                <c:pt idx="16">
                  <c:v>Girona</c:v>
                </c:pt>
                <c:pt idx="17">
                  <c:v>A Coruña</c:v>
                </c:pt>
                <c:pt idx="18">
                  <c:v>Cantabria</c:v>
                </c:pt>
                <c:pt idx="19">
                  <c:v>Almería</c:v>
                </c:pt>
                <c:pt idx="20">
                  <c:v>Palencia</c:v>
                </c:pt>
                <c:pt idx="21">
                  <c:v>Guipúzcoa/Guipuzkoa</c:v>
                </c:pt>
                <c:pt idx="22">
                  <c:v>Segovia</c:v>
                </c:pt>
                <c:pt idx="23">
                  <c:v>Huelva</c:v>
                </c:pt>
                <c:pt idx="24">
                  <c:v>Vizcaya/Bizkaia</c:v>
                </c:pt>
                <c:pt idx="25">
                  <c:v>Burgos</c:v>
                </c:pt>
                <c:pt idx="26">
                  <c:v>Huesca</c:v>
                </c:pt>
                <c:pt idx="27">
                  <c:v>Badajoz</c:v>
                </c:pt>
                <c:pt idx="28">
                  <c:v>Tarragona</c:v>
                </c:pt>
                <c:pt idx="29">
                  <c:v>Ávila</c:v>
                </c:pt>
                <c:pt idx="30">
                  <c:v>Salamanca</c:v>
                </c:pt>
                <c:pt idx="31">
                  <c:v>Cáceres</c:v>
                </c:pt>
                <c:pt idx="32">
                  <c:v>Navarra</c:v>
                </c:pt>
                <c:pt idx="33">
                  <c:v>Albacete</c:v>
                </c:pt>
                <c:pt idx="34">
                  <c:v>Sevilla</c:v>
                </c:pt>
                <c:pt idx="35">
                  <c:v>Álava/Áraba</c:v>
                </c:pt>
                <c:pt idx="36">
                  <c:v>Ourense</c:v>
                </c:pt>
                <c:pt idx="37">
                  <c:v>Cuenca</c:v>
                </c:pt>
                <c:pt idx="38">
                  <c:v>Barcelona</c:v>
                </c:pt>
                <c:pt idx="39">
                  <c:v>Soria</c:v>
                </c:pt>
                <c:pt idx="40">
                  <c:v>Teruel</c:v>
                </c:pt>
                <c:pt idx="41">
                  <c:v>León</c:v>
                </c:pt>
                <c:pt idx="42">
                  <c:v>Zamora</c:v>
                </c:pt>
                <c:pt idx="43">
                  <c:v>La Rioja</c:v>
                </c:pt>
                <c:pt idx="44">
                  <c:v>Zaragoza</c:v>
                </c:pt>
                <c:pt idx="45">
                  <c:v>Jaén</c:v>
                </c:pt>
                <c:pt idx="46">
                  <c:v>Ciudad Real</c:v>
                </c:pt>
                <c:pt idx="47">
                  <c:v>Córdoba</c:v>
                </c:pt>
              </c:strCache>
            </c:strRef>
          </c:cat>
          <c:val>
            <c:numRef>
              <c:f>'tablas venta PROV'!$B$44:$B$91</c:f>
              <c:numCache>
                <c:formatCode>0%</c:formatCode>
                <c:ptCount val="48"/>
                <c:pt idx="0">
                  <c:v>-2.6097677488330584E-2</c:v>
                </c:pt>
                <c:pt idx="1">
                  <c:v>6.2207172630651009E-2</c:v>
                </c:pt>
                <c:pt idx="2">
                  <c:v>8.3903062406306406E-2</c:v>
                </c:pt>
                <c:pt idx="3">
                  <c:v>5.4433702051497113E-2</c:v>
                </c:pt>
                <c:pt idx="4">
                  <c:v>-2.9557440284948333E-2</c:v>
                </c:pt>
                <c:pt idx="5">
                  <c:v>4.6800301281379131E-2</c:v>
                </c:pt>
                <c:pt idx="6">
                  <c:v>4.1368753629383415E-2</c:v>
                </c:pt>
                <c:pt idx="7">
                  <c:v>2.4574557631366067E-2</c:v>
                </c:pt>
                <c:pt idx="8">
                  <c:v>4.6136274665719235E-2</c:v>
                </c:pt>
                <c:pt idx="9">
                  <c:v>4.2110797180497039E-2</c:v>
                </c:pt>
                <c:pt idx="10">
                  <c:v>2.1337053169887765E-2</c:v>
                </c:pt>
                <c:pt idx="11">
                  <c:v>4.3236102864044224E-2</c:v>
                </c:pt>
                <c:pt idx="12">
                  <c:v>5.3929386572373339E-3</c:v>
                </c:pt>
                <c:pt idx="13">
                  <c:v>2.9286985667853482E-2</c:v>
                </c:pt>
                <c:pt idx="14">
                  <c:v>-6.5326642744547581E-3</c:v>
                </c:pt>
                <c:pt idx="15">
                  <c:v>3.5890340218944772E-3</c:v>
                </c:pt>
                <c:pt idx="16">
                  <c:v>-8.9692926560187569E-3</c:v>
                </c:pt>
                <c:pt idx="17">
                  <c:v>5.4785951528899535E-3</c:v>
                </c:pt>
                <c:pt idx="18">
                  <c:v>-1.5057994415957232E-2</c:v>
                </c:pt>
                <c:pt idx="19">
                  <c:v>-5.4550805793623036E-2</c:v>
                </c:pt>
                <c:pt idx="20">
                  <c:v>5.9193455270177386E-2</c:v>
                </c:pt>
                <c:pt idx="21">
                  <c:v>4.6199489224182377E-2</c:v>
                </c:pt>
                <c:pt idx="22">
                  <c:v>-4.2563075040819021E-3</c:v>
                </c:pt>
                <c:pt idx="23">
                  <c:v>5.0103527335205067E-2</c:v>
                </c:pt>
                <c:pt idx="24">
                  <c:v>3.0760077046880552E-2</c:v>
                </c:pt>
                <c:pt idx="25">
                  <c:v>1.4326084189522525E-2</c:v>
                </c:pt>
                <c:pt idx="26">
                  <c:v>6.277651718787558E-2</c:v>
                </c:pt>
                <c:pt idx="27">
                  <c:v>-0.11487714610927358</c:v>
                </c:pt>
                <c:pt idx="28">
                  <c:v>-2.1862622762320871E-3</c:v>
                </c:pt>
                <c:pt idx="29">
                  <c:v>5.9146243330475912E-2</c:v>
                </c:pt>
                <c:pt idx="30">
                  <c:v>-4.1891636413841304E-2</c:v>
                </c:pt>
                <c:pt idx="31">
                  <c:v>-7.0614068538628616E-2</c:v>
                </c:pt>
                <c:pt idx="32">
                  <c:v>7.0825130130520053E-2</c:v>
                </c:pt>
                <c:pt idx="33">
                  <c:v>-3.9739285401585445E-2</c:v>
                </c:pt>
                <c:pt idx="34">
                  <c:v>4.9726801534073717E-2</c:v>
                </c:pt>
                <c:pt idx="35">
                  <c:v>2.1262053611700527E-2</c:v>
                </c:pt>
                <c:pt idx="36">
                  <c:v>3.1778247623686529E-2</c:v>
                </c:pt>
                <c:pt idx="37">
                  <c:v>-4.2823236432758871E-2</c:v>
                </c:pt>
                <c:pt idx="38">
                  <c:v>3.2728540678938156E-2</c:v>
                </c:pt>
                <c:pt idx="39">
                  <c:v>1.4560174993299091E-2</c:v>
                </c:pt>
                <c:pt idx="40">
                  <c:v>4.0302456387385499E-2</c:v>
                </c:pt>
                <c:pt idx="41">
                  <c:v>0.15138961348011781</c:v>
                </c:pt>
                <c:pt idx="42">
                  <c:v>-2.6581865495996393E-2</c:v>
                </c:pt>
                <c:pt idx="43">
                  <c:v>-1.0918891831218636E-2</c:v>
                </c:pt>
                <c:pt idx="44">
                  <c:v>2.6113596910737336E-2</c:v>
                </c:pt>
                <c:pt idx="45">
                  <c:v>1.4010697623376034E-2</c:v>
                </c:pt>
                <c:pt idx="46">
                  <c:v>-4.4423154842904267E-2</c:v>
                </c:pt>
                <c:pt idx="47">
                  <c:v>-2.3655622481844718E-2</c:v>
                </c:pt>
              </c:numCache>
            </c:numRef>
          </c:val>
          <c:extLst>
            <c:ext xmlns:c16="http://schemas.microsoft.com/office/drawing/2014/chart" uri="{C3380CC4-5D6E-409C-BE32-E72D297353CC}">
              <c16:uniqueId val="{00000002-F166-42DB-909F-0C4864FC35CE}"/>
            </c:ext>
          </c:extLst>
        </c:ser>
        <c:ser>
          <c:idx val="1"/>
          <c:order val="1"/>
          <c:tx>
            <c:strRef>
              <c:f>'tablas venta PROV'!$C$41:$C$43</c:f>
              <c:strCache>
                <c:ptCount val="1"/>
                <c:pt idx="0">
                  <c:v>2024 -   % interanual del precio de la vivienda (€/m2)  (fotocasa) </c:v>
                </c:pt>
              </c:strCache>
            </c:strRef>
          </c:tx>
          <c:invertIfNegative val="0"/>
          <c:cat>
            <c:strRef>
              <c:f>'tablas venta PROV'!$A$44:$A$91</c:f>
              <c:strCache>
                <c:ptCount val="48"/>
                <c:pt idx="0">
                  <c:v>Alicante/Alacant</c:v>
                </c:pt>
                <c:pt idx="1">
                  <c:v>Illes Balears</c:v>
                </c:pt>
                <c:pt idx="2">
                  <c:v>Guadalajara</c:v>
                </c:pt>
                <c:pt idx="3">
                  <c:v>Málaga</c:v>
                </c:pt>
                <c:pt idx="4">
                  <c:v>Lugo</c:v>
                </c:pt>
                <c:pt idx="5">
                  <c:v>Valencia/València</c:v>
                </c:pt>
                <c:pt idx="6">
                  <c:v>Castellón/Castelló</c:v>
                </c:pt>
                <c:pt idx="7">
                  <c:v>Pontevedra</c:v>
                </c:pt>
                <c:pt idx="8">
                  <c:v>Madrid</c:v>
                </c:pt>
                <c:pt idx="9">
                  <c:v>Murcia</c:v>
                </c:pt>
                <c:pt idx="10">
                  <c:v>Toledo</c:v>
                </c:pt>
                <c:pt idx="11">
                  <c:v>Valladolid</c:v>
                </c:pt>
                <c:pt idx="12">
                  <c:v>Cádiz</c:v>
                </c:pt>
                <c:pt idx="13">
                  <c:v>Granada</c:v>
                </c:pt>
                <c:pt idx="14">
                  <c:v>Asturias</c:v>
                </c:pt>
                <c:pt idx="15">
                  <c:v>Lleida</c:v>
                </c:pt>
                <c:pt idx="16">
                  <c:v>Girona</c:v>
                </c:pt>
                <c:pt idx="17">
                  <c:v>A Coruña</c:v>
                </c:pt>
                <c:pt idx="18">
                  <c:v>Cantabria</c:v>
                </c:pt>
                <c:pt idx="19">
                  <c:v>Almería</c:v>
                </c:pt>
                <c:pt idx="20">
                  <c:v>Palencia</c:v>
                </c:pt>
                <c:pt idx="21">
                  <c:v>Guipúzcoa/Guipuzkoa</c:v>
                </c:pt>
                <c:pt idx="22">
                  <c:v>Segovia</c:v>
                </c:pt>
                <c:pt idx="23">
                  <c:v>Huelva</c:v>
                </c:pt>
                <c:pt idx="24">
                  <c:v>Vizcaya/Bizkaia</c:v>
                </c:pt>
                <c:pt idx="25">
                  <c:v>Burgos</c:v>
                </c:pt>
                <c:pt idx="26">
                  <c:v>Huesca</c:v>
                </c:pt>
                <c:pt idx="27">
                  <c:v>Badajoz</c:v>
                </c:pt>
                <c:pt idx="28">
                  <c:v>Tarragona</c:v>
                </c:pt>
                <c:pt idx="29">
                  <c:v>Ávila</c:v>
                </c:pt>
                <c:pt idx="30">
                  <c:v>Salamanca</c:v>
                </c:pt>
                <c:pt idx="31">
                  <c:v>Cáceres</c:v>
                </c:pt>
                <c:pt idx="32">
                  <c:v>Navarra</c:v>
                </c:pt>
                <c:pt idx="33">
                  <c:v>Albacete</c:v>
                </c:pt>
                <c:pt idx="34">
                  <c:v>Sevilla</c:v>
                </c:pt>
                <c:pt idx="35">
                  <c:v>Álava/Áraba</c:v>
                </c:pt>
                <c:pt idx="36">
                  <c:v>Ourense</c:v>
                </c:pt>
                <c:pt idx="37">
                  <c:v>Cuenca</c:v>
                </c:pt>
                <c:pt idx="38">
                  <c:v>Barcelona</c:v>
                </c:pt>
                <c:pt idx="39">
                  <c:v>Soria</c:v>
                </c:pt>
                <c:pt idx="40">
                  <c:v>Teruel</c:v>
                </c:pt>
                <c:pt idx="41">
                  <c:v>León</c:v>
                </c:pt>
                <c:pt idx="42">
                  <c:v>Zamora</c:v>
                </c:pt>
                <c:pt idx="43">
                  <c:v>La Rioja</c:v>
                </c:pt>
                <c:pt idx="44">
                  <c:v>Zaragoza</c:v>
                </c:pt>
                <c:pt idx="45">
                  <c:v>Jaén</c:v>
                </c:pt>
                <c:pt idx="46">
                  <c:v>Ciudad Real</c:v>
                </c:pt>
                <c:pt idx="47">
                  <c:v>Córdoba</c:v>
                </c:pt>
              </c:strCache>
            </c:strRef>
          </c:cat>
          <c:val>
            <c:numRef>
              <c:f>'tablas venta PROV'!$C$44:$C$91</c:f>
              <c:numCache>
                <c:formatCode>0%</c:formatCode>
                <c:ptCount val="48"/>
                <c:pt idx="0">
                  <c:v>0.21329802737858206</c:v>
                </c:pt>
                <c:pt idx="1">
                  <c:v>0.19505664477823004</c:v>
                </c:pt>
                <c:pt idx="2">
                  <c:v>0.17174693802375907</c:v>
                </c:pt>
                <c:pt idx="3">
                  <c:v>0.16420388157994559</c:v>
                </c:pt>
                <c:pt idx="4">
                  <c:v>0.14874531714248818</c:v>
                </c:pt>
                <c:pt idx="5">
                  <c:v>0.14764400476231376</c:v>
                </c:pt>
                <c:pt idx="6">
                  <c:v>0.14515670191076757</c:v>
                </c:pt>
                <c:pt idx="7">
                  <c:v>0.13734330487787116</c:v>
                </c:pt>
                <c:pt idx="8">
                  <c:v>0.13583629345269377</c:v>
                </c:pt>
                <c:pt idx="9">
                  <c:v>0.13572816127996079</c:v>
                </c:pt>
                <c:pt idx="10">
                  <c:v>0.12644573164941608</c:v>
                </c:pt>
                <c:pt idx="11">
                  <c:v>0.11151331584973946</c:v>
                </c:pt>
                <c:pt idx="12">
                  <c:v>0.1050074492791726</c:v>
                </c:pt>
                <c:pt idx="13">
                  <c:v>0.1034551366294747</c:v>
                </c:pt>
                <c:pt idx="14">
                  <c:v>8.8735061082234848E-2</c:v>
                </c:pt>
                <c:pt idx="15">
                  <c:v>8.7538351553424251E-2</c:v>
                </c:pt>
                <c:pt idx="16">
                  <c:v>8.4817121659205727E-2</c:v>
                </c:pt>
                <c:pt idx="17">
                  <c:v>7.9807944963332877E-2</c:v>
                </c:pt>
                <c:pt idx="18">
                  <c:v>7.9556803505414386E-2</c:v>
                </c:pt>
                <c:pt idx="19">
                  <c:v>6.274473813020065E-2</c:v>
                </c:pt>
                <c:pt idx="20">
                  <c:v>6.2625084589578606E-2</c:v>
                </c:pt>
                <c:pt idx="21">
                  <c:v>5.8216903311513857E-2</c:v>
                </c:pt>
                <c:pt idx="22">
                  <c:v>5.6641680961693641E-2</c:v>
                </c:pt>
                <c:pt idx="23">
                  <c:v>5.4161783543648312E-2</c:v>
                </c:pt>
                <c:pt idx="24">
                  <c:v>4.9091764015380068E-2</c:v>
                </c:pt>
                <c:pt idx="25">
                  <c:v>4.8269916687505798E-2</c:v>
                </c:pt>
                <c:pt idx="26">
                  <c:v>4.7867388022144075E-2</c:v>
                </c:pt>
                <c:pt idx="27">
                  <c:v>4.6463717778458813E-2</c:v>
                </c:pt>
                <c:pt idx="28">
                  <c:v>4.2455073265136756E-2</c:v>
                </c:pt>
                <c:pt idx="29">
                  <c:v>3.7974222011558201E-2</c:v>
                </c:pt>
                <c:pt idx="30">
                  <c:v>3.2419651458096332E-2</c:v>
                </c:pt>
                <c:pt idx="31">
                  <c:v>2.950073155896038E-2</c:v>
                </c:pt>
                <c:pt idx="32">
                  <c:v>2.8215687224456332E-2</c:v>
                </c:pt>
                <c:pt idx="33">
                  <c:v>2.8052026098901228E-2</c:v>
                </c:pt>
                <c:pt idx="34">
                  <c:v>2.785782368718559E-2</c:v>
                </c:pt>
                <c:pt idx="35">
                  <c:v>2.3048836147877783E-2</c:v>
                </c:pt>
                <c:pt idx="36">
                  <c:v>2.233932474936795E-2</c:v>
                </c:pt>
                <c:pt idx="37">
                  <c:v>1.4395092332553983E-2</c:v>
                </c:pt>
                <c:pt idx="38">
                  <c:v>1.4057946731584892E-2</c:v>
                </c:pt>
                <c:pt idx="39">
                  <c:v>1.3229033262953882E-2</c:v>
                </c:pt>
                <c:pt idx="40">
                  <c:v>1.322892855405855E-2</c:v>
                </c:pt>
                <c:pt idx="41">
                  <c:v>4.0233009708738887E-3</c:v>
                </c:pt>
                <c:pt idx="42">
                  <c:v>2.1206142828587016E-3</c:v>
                </c:pt>
                <c:pt idx="43">
                  <c:v>-1.3293253973006847E-3</c:v>
                </c:pt>
                <c:pt idx="44">
                  <c:v>-1.4386277029179162E-3</c:v>
                </c:pt>
                <c:pt idx="45">
                  <c:v>-3.7679199888651649E-3</c:v>
                </c:pt>
                <c:pt idx="46">
                  <c:v>-2.0863727720701442E-2</c:v>
                </c:pt>
                <c:pt idx="47">
                  <c:v>-4.9060814829169248E-2</c:v>
                </c:pt>
              </c:numCache>
            </c:numRef>
          </c:val>
          <c:extLst>
            <c:ext xmlns:c16="http://schemas.microsoft.com/office/drawing/2014/chart" uri="{C3380CC4-5D6E-409C-BE32-E72D297353CC}">
              <c16:uniqueId val="{00000003-F166-42DB-909F-0C4864FC35CE}"/>
            </c:ext>
          </c:extLst>
        </c:ser>
        <c:dLbls>
          <c:showLegendKey val="0"/>
          <c:showVal val="0"/>
          <c:showCatName val="0"/>
          <c:showSerName val="0"/>
          <c:showPercent val="0"/>
          <c:showBubbleSize val="0"/>
        </c:dLbls>
        <c:gapWidth val="50"/>
        <c:overlap val="100"/>
        <c:axId val="1587936352"/>
        <c:axId val="663677872"/>
      </c:barChart>
      <c:catAx>
        <c:axId val="1587936352"/>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vert="horz"/>
          <a:lstStyle/>
          <a:p>
            <a:pPr>
              <a:defRPr sz="800" b="0"/>
            </a:pPr>
            <a:endParaRPr lang="es-ES"/>
          </a:p>
        </c:txPr>
        <c:crossAx val="663677872"/>
        <c:crosses val="autoZero"/>
        <c:auto val="1"/>
        <c:lblAlgn val="ctr"/>
        <c:lblOffset val="100"/>
        <c:noMultiLvlLbl val="0"/>
      </c:catAx>
      <c:valAx>
        <c:axId val="663677872"/>
        <c:scaling>
          <c:orientation val="minMax"/>
        </c:scaling>
        <c:delete val="0"/>
        <c:axPos val="l"/>
        <c:numFmt formatCode="0%" sourceLinked="1"/>
        <c:majorTickMark val="out"/>
        <c:minorTickMark val="none"/>
        <c:tickLblPos val="low"/>
        <c:txPr>
          <a:bodyPr/>
          <a:lstStyle/>
          <a:p>
            <a:pPr>
              <a:defRPr sz="800"/>
            </a:pPr>
            <a:endParaRPr lang="es-ES"/>
          </a:p>
        </c:txPr>
        <c:crossAx val="1587936352"/>
        <c:crosses val="autoZero"/>
        <c:crossBetween val="between"/>
      </c:valAx>
    </c:plotArea>
    <c:legend>
      <c:legendPos val="r"/>
      <c:layout>
        <c:manualLayout>
          <c:xMode val="edge"/>
          <c:yMode val="edge"/>
          <c:x val="3.8247011267617738E-2"/>
          <c:y val="1.7830808532111043E-2"/>
          <c:w val="0.89494731325523758"/>
          <c:h val="8.68786876282997E-2"/>
        </c:manualLayout>
      </c:layout>
      <c:overlay val="0"/>
      <c:txPr>
        <a:bodyPr/>
        <a:lstStyle/>
        <a:p>
          <a:pPr>
            <a:defRPr sz="800" b="0">
              <a:solidFill>
                <a:schemeClr val="tx1"/>
              </a:solidFill>
            </a:defRPr>
          </a:pPr>
          <a:endParaRPr lang="es-ES"/>
        </a:p>
      </c:txPr>
    </c:legend>
    <c:plotVisOnly val="1"/>
    <c:dispBlanksAs val="gap"/>
    <c:showDLblsOverMax val="0"/>
    <c:extLst/>
  </c:chart>
  <c:spPr>
    <a:solidFill>
      <a:schemeClr val="bg1"/>
    </a:solidFill>
    <a:ln w="9525" cap="flat" cmpd="sng" algn="ctr">
      <a:noFill/>
      <a:round/>
    </a:ln>
    <a:effectLst/>
  </c:spPr>
  <c:txPr>
    <a:bodyPr/>
    <a:lstStyle/>
    <a:p>
      <a:pPr>
        <a:defRPr sz="1600">
          <a:latin typeface="+mj-lt"/>
        </a:defRPr>
      </a:pPr>
      <a:endParaRPr lang="es-ES"/>
    </a:p>
  </c:txPr>
  <c:externalData r:id="rId5">
    <c:autoUpdate val="0"/>
  </c:externalData>
  <c:extLst>
    <c:ext xmlns:c14="http://schemas.microsoft.com/office/drawing/2007/8/2/chart" uri="{781A3756-C4B2-4CAC-9D66-4F8BD8637D16}">
      <c14:pivotOptions>
        <c14:dropZoneSeries val="1"/>
      </c14:pivotOptions>
    </c:ext>
  </c:extLst>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ersonalizado 1">
    <a:dk1>
      <a:sysClr val="windowText" lastClr="000000"/>
    </a:dk1>
    <a:lt1>
      <a:sysClr val="window" lastClr="FFFFFF"/>
    </a:lt1>
    <a:dk2>
      <a:srgbClr val="323232"/>
    </a:dk2>
    <a:lt2>
      <a:srgbClr val="E3DED1"/>
    </a:lt2>
    <a:accent1>
      <a:srgbClr val="0070C0"/>
    </a:accent1>
    <a:accent2>
      <a:srgbClr val="FFC000"/>
    </a:accent2>
    <a:accent3>
      <a:srgbClr val="FF0000"/>
    </a:accent3>
    <a:accent4>
      <a:srgbClr val="00B0F0"/>
    </a:accent4>
    <a:accent5>
      <a:srgbClr val="92D050"/>
    </a:accent5>
    <a:accent6>
      <a:srgbClr val="00B050"/>
    </a:accent6>
    <a:hlink>
      <a:srgbClr val="F07F09"/>
    </a:hlink>
    <a:folHlink>
      <a:srgbClr val="C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ersonalizado 1">
    <a:dk1>
      <a:sysClr val="windowText" lastClr="000000"/>
    </a:dk1>
    <a:lt1>
      <a:sysClr val="window" lastClr="FFFFFF"/>
    </a:lt1>
    <a:dk2>
      <a:srgbClr val="323232"/>
    </a:dk2>
    <a:lt2>
      <a:srgbClr val="E3DED1"/>
    </a:lt2>
    <a:accent1>
      <a:srgbClr val="0070C0"/>
    </a:accent1>
    <a:accent2>
      <a:srgbClr val="FFC000"/>
    </a:accent2>
    <a:accent3>
      <a:srgbClr val="FF0000"/>
    </a:accent3>
    <a:accent4>
      <a:srgbClr val="00B0F0"/>
    </a:accent4>
    <a:accent5>
      <a:srgbClr val="92D050"/>
    </a:accent5>
    <a:accent6>
      <a:srgbClr val="00B050"/>
    </a:accent6>
    <a:hlink>
      <a:srgbClr val="F07F09"/>
    </a:hlink>
    <a:folHlink>
      <a:srgbClr val="C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Mvk1D41DvJsn9eIv/k0RYnVx2w==">CgMxLjAyCGguZ2pkZ3hzMg1oLjlxN2h4amszdDV1Mg5oLjUxM28wYXYwaHU2MDIOaC55dmgydHJvMjAxdHUyDWguNWk1dnRvajNqdHQyDmgucnU0b3doNHJ3YnlpMg1oLmFueGR3aG1xMmZ2Mg5oLjlzYm1zeHpnNjhqeTIOaC5nc2dmM3o5anV6MGIyDmguaTJwZm9sdzVhdzNxMg1oLml0N201amJ0NWRjOAByITFOUHNQUU94dEpWeDZNTlRHRDRVTjdtOHhvT0tsQ0FZ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2025-05-04T10:53:00Z</dcterms:created>
  <dc:creator>Anaïs López García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2025-04-14T18:19:12Z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32155b42-5118-4e37-94f2-fef8b188b727</vt:lpwstr>
  </property>
  <property fmtid="{D5CDD505-2E9C-101B-9397-08002B2CF9AE}" pid="7" name="MSIP_Label_defa4170-0d19-0005-0004-bc88714345d2_ActionId">
    <vt:lpwstr>62efe091-be91-476f-b349-446a68b62fc6</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