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drawingml.chartshapes+xml" PartName="/word/drawings/drawing1.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-1080132</wp:posOffset>
            </wp:positionH>
            <wp:positionV relativeFrom="paragraph">
              <wp:posOffset>-351256</wp:posOffset>
            </wp:positionV>
            <wp:extent cx="7581265" cy="1019175"/>
            <wp:effectExtent b="0" l="0" r="0" t="0"/>
            <wp:wrapNone/>
            <wp:docPr descr="Patrón de fondo&#10;&#10;Descripción generada automáticamente con confianza baja" id="1734559783" name="image1.png"/>
            <a:graphic>
              <a:graphicData uri="http://schemas.openxmlformats.org/drawingml/2006/picture">
                <pic:pic>
                  <pic:nvPicPr>
                    <pic:cNvPr descr="Patrón de fondo&#10;&#10;Descripción generada automáticamente con confianza baja" id="0" name="image1.png"/>
                    <pic:cNvPicPr preferRelativeResize="0"/>
                  </pic:nvPicPr>
                  <pic:blipFill>
                    <a:blip r:embed="rId7"/>
                    <a:srcRect b="0" l="0" r="0" t="0"/>
                    <a:stretch>
                      <a:fillRect/>
                    </a:stretch>
                  </pic:blipFill>
                  <pic:spPr>
                    <a:xfrm>
                      <a:off x="0" y="0"/>
                      <a:ext cx="7581265" cy="1019175"/>
                    </a:xfrm>
                    <a:prstGeom prst="rect"/>
                    <a:ln/>
                  </pic:spPr>
                </pic:pic>
              </a:graphicData>
            </a:graphic>
          </wp:anchor>
        </w:drawing>
      </w:r>
    </w:p>
    <w:p w:rsidR="00000000" w:rsidDel="00000000" w:rsidP="00000000" w:rsidRDefault="00000000" w:rsidRPr="00000000" w14:paraId="00000002">
      <w:pPr>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4">
      <w:pPr>
        <w:rPr>
          <w:rFonts w:ascii="National" w:cs="National" w:eastAsia="National" w:hAnsi="National"/>
          <w:color w:val="303ab2"/>
          <w:sz w:val="18"/>
          <w:szCs w:val="18"/>
        </w:rPr>
      </w:pPr>
      <w:r w:rsidDel="00000000" w:rsidR="00000000" w:rsidRPr="00000000">
        <w:rPr>
          <w:rtl w:val="0"/>
        </w:rPr>
      </w:r>
    </w:p>
    <w:p w:rsidR="00000000" w:rsidDel="00000000" w:rsidP="00000000" w:rsidRDefault="00000000" w:rsidRPr="00000000" w14:paraId="00000005">
      <w:pPr>
        <w:spacing w:line="276" w:lineRule="auto"/>
        <w:jc w:val="center"/>
        <w:rPr>
          <w:rFonts w:ascii="National" w:cs="National" w:eastAsia="National" w:hAnsi="National"/>
          <w:b w:val="1"/>
          <w:color w:val="1dbdc5"/>
          <w:sz w:val="42"/>
          <w:szCs w:val="42"/>
        </w:rPr>
      </w:pPr>
      <w:r w:rsidDel="00000000" w:rsidR="00000000" w:rsidRPr="00000000">
        <w:rPr>
          <w:rFonts w:ascii="National" w:cs="National" w:eastAsia="National" w:hAnsi="National"/>
          <w:b w:val="1"/>
          <w:color w:val="1dbdc5"/>
          <w:sz w:val="42"/>
          <w:szCs w:val="42"/>
          <w:rtl w:val="0"/>
        </w:rPr>
        <w:t xml:space="preserve">MAYO: PRECIO VIVIENDA EN VENTA</w:t>
      </w:r>
    </w:p>
    <w:p w:rsidR="00000000" w:rsidDel="00000000" w:rsidP="00000000" w:rsidRDefault="00000000" w:rsidRPr="00000000" w14:paraId="00000006">
      <w:pPr>
        <w:jc w:val="center"/>
        <w:rPr>
          <w:rFonts w:ascii="National" w:cs="National" w:eastAsia="National" w:hAnsi="National"/>
          <w:b w:val="1"/>
          <w:color w:val="303ab2"/>
          <w:sz w:val="46"/>
          <w:szCs w:val="46"/>
        </w:rPr>
      </w:pPr>
      <w:r w:rsidDel="00000000" w:rsidR="00000000" w:rsidRPr="00000000">
        <w:rPr>
          <w:rFonts w:ascii="National" w:cs="National" w:eastAsia="National" w:hAnsi="National"/>
          <w:b w:val="1"/>
          <w:color w:val="303ab2"/>
          <w:sz w:val="46"/>
          <w:szCs w:val="46"/>
          <w:rtl w:val="0"/>
        </w:rPr>
        <w:t xml:space="preserve">El precio de la vivienda sube un 14,8% interanual en mayo en España, el incremento más elevado de toda la serie histórica</w:t>
      </w:r>
    </w:p>
    <w:p w:rsidR="00000000" w:rsidDel="00000000" w:rsidP="00000000" w:rsidRDefault="00000000" w:rsidRPr="00000000" w14:paraId="00000007">
      <w:pPr>
        <w:rPr>
          <w:rFonts w:ascii="National" w:cs="National" w:eastAsia="National" w:hAnsi="National"/>
          <w:b w:val="1"/>
          <w:color w:val="303ab2"/>
          <w:sz w:val="14"/>
          <w:szCs w:val="14"/>
        </w:rPr>
      </w:pPr>
      <w:r w:rsidDel="00000000" w:rsidR="00000000" w:rsidRPr="00000000">
        <w:rPr>
          <w:rtl w:val="0"/>
        </w:rPr>
      </w:r>
    </w:p>
    <w:p w:rsidR="00000000" w:rsidDel="00000000" w:rsidP="00000000" w:rsidRDefault="00000000" w:rsidRPr="00000000" w14:paraId="00000008">
      <w:pPr>
        <w:tabs>
          <w:tab w:val="left" w:leader="none" w:pos="6804"/>
        </w:tabs>
        <w:rPr>
          <w:rFonts w:ascii="National" w:cs="National" w:eastAsia="National" w:hAnsi="National"/>
          <w:b w:val="1"/>
          <w:color w:val="303ab2"/>
          <w:sz w:val="14"/>
          <w:szCs w:val="14"/>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color w:val="303ab2"/>
        </w:rPr>
      </w:pPr>
      <w:r w:rsidDel="00000000" w:rsidR="00000000" w:rsidRPr="00000000">
        <w:rPr>
          <w:rFonts w:ascii="Open Sans" w:cs="Open Sans" w:eastAsia="Open Sans" w:hAnsi="Open Sans"/>
          <w:color w:val="303ab2"/>
          <w:rtl w:val="0"/>
        </w:rPr>
        <w:t xml:space="preserve">España ha pasado de una variación interanual del 7,7% de mayo de 2024 al 14,8% detectado en el mismo periodo de 2025</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color w:val="303ab2"/>
        </w:rPr>
      </w:pPr>
      <w:r w:rsidDel="00000000" w:rsidR="00000000" w:rsidRPr="00000000">
        <w:rPr>
          <w:rFonts w:ascii="Open Sans" w:cs="Open Sans" w:eastAsia="Open Sans" w:hAnsi="Open Sans"/>
          <w:color w:val="303ab2"/>
          <w:rtl w:val="0"/>
        </w:rPr>
        <w:t xml:space="preserve">El precio mensual de la vivienda en venta sube un 4% y sitúa su precio en 2.635 euros/m</w:t>
      </w:r>
      <w:r w:rsidDel="00000000" w:rsidR="00000000" w:rsidRPr="00000000">
        <w:rPr>
          <w:rFonts w:ascii="Open Sans" w:cs="Open Sans" w:eastAsia="Open Sans" w:hAnsi="Open Sans"/>
          <w:color w:val="303ab2"/>
          <w:vertAlign w:val="superscript"/>
          <w:rtl w:val="0"/>
        </w:rPr>
        <w:t xml:space="preserve">2 </w:t>
      </w:r>
      <w:r w:rsidDel="00000000" w:rsidR="00000000" w:rsidRPr="00000000">
        <w:rPr>
          <w:rFonts w:ascii="Open Sans" w:cs="Open Sans" w:eastAsia="Open Sans" w:hAnsi="Open Sans"/>
          <w:color w:val="303ab2"/>
          <w:rtl w:val="0"/>
        </w:rPr>
        <w:t xml:space="preserve">y se pasa unos 27.000 € más que el año pasado por un piso</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w:cs="Open Sans" w:eastAsia="Open Sans" w:hAnsi="Open Sans"/>
          <w:b w:val="1"/>
          <w:color w:val="303ab2"/>
          <w:sz w:val="26"/>
          <w:szCs w:val="26"/>
        </w:rPr>
      </w:pPr>
      <w:hyperlink r:id="rId8">
        <w:r w:rsidDel="00000000" w:rsidR="00000000" w:rsidRPr="00000000">
          <w:rPr>
            <w:rFonts w:ascii="Open Sans" w:cs="Open Sans" w:eastAsia="Open Sans" w:hAnsi="Open Sans"/>
            <w:b w:val="1"/>
            <w:color w:val="0000ff"/>
            <w:sz w:val="26"/>
            <w:szCs w:val="26"/>
            <w:u w:val="single"/>
            <w:rtl w:val="0"/>
          </w:rPr>
          <w:t xml:space="preserve">Aquí se puede ver un vídeo con la valoración de la directora de Estudios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720" w:firstLine="0"/>
        <w:jc w:val="both"/>
        <w:rPr>
          <w:rFonts w:ascii="Open Sans Light" w:cs="Open Sans Light" w:eastAsia="Open Sans Light" w:hAnsi="Open Sans Light"/>
          <w:b w:val="1"/>
          <w:color w:val="ee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sz w:val="22"/>
          <w:szCs w:val="22"/>
        </w:rPr>
      </w:pPr>
      <w:bookmarkStart w:colFirst="0" w:colLast="0" w:name="_heading=h.l4mjlye9ljj" w:id="0"/>
      <w:bookmarkEnd w:id="0"/>
      <w:r w:rsidDel="00000000" w:rsidR="00000000" w:rsidRPr="00000000">
        <w:rPr>
          <w:rFonts w:ascii="Open Sans Light" w:cs="Open Sans Light" w:eastAsia="Open Sans Light" w:hAnsi="Open Sans Light"/>
          <w:b w:val="1"/>
          <w:color w:val="303ab2"/>
          <w:sz w:val="22"/>
          <w:szCs w:val="22"/>
          <w:rtl w:val="0"/>
        </w:rPr>
        <w:t xml:space="preserve">Madrid, 29 de mayo de 2025</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tabs>
          <w:tab w:val="left" w:leader="none" w:pos="3119"/>
        </w:tabs>
        <w:spacing w:after="280" w:before="280" w:line="276" w:lineRule="auto"/>
        <w:jc w:val="both"/>
        <w:rPr>
          <w:rFonts w:ascii="Open Sans" w:cs="Open Sans" w:eastAsia="Open Sans" w:hAnsi="Open Sans"/>
          <w:b w:val="1"/>
          <w:color w:val="000000"/>
        </w:rPr>
      </w:pPr>
      <w:r w:rsidDel="00000000" w:rsidR="00000000" w:rsidRPr="00000000">
        <w:rPr>
          <w:rFonts w:ascii="Open Sans" w:cs="Open Sans" w:eastAsia="Open Sans" w:hAnsi="Open Sans"/>
          <w:color w:val="000000"/>
          <w:rtl w:val="0"/>
        </w:rPr>
        <w:t xml:space="preserve">El precio de la vivienda de segunda mano en España sube un 4% en su variación mensual y un 14,8% en su variación interanual y sitúan el precio medio de las viviendas ofertadas en mayo en 2.635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según los datos del Índice Inmobiliario </w:t>
      </w:r>
      <w:hyperlink r:id="rId9">
        <w:r w:rsidDel="00000000" w:rsidR="00000000" w:rsidRPr="00000000">
          <w:rPr>
            <w:rFonts w:ascii="Open Sans" w:cs="Open Sans" w:eastAsia="Open Sans" w:hAnsi="Open Sans"/>
            <w:color w:val="0000ff"/>
            <w:u w:val="single"/>
            <w:rtl w:val="0"/>
          </w:rPr>
          <w:t xml:space="preserve">Fotocasa</w:t>
        </w:r>
      </w:hyperlink>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b w:val="1"/>
          <w:color w:val="000000"/>
          <w:rtl w:val="0"/>
        </w:rPr>
        <w:t xml:space="preserve">En los últimos 20 años de análisis, nunca habían coincidido incrementos mensuales (4%) e interanuales (14,8%) tan elevados como los de mayo de 2025.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tabs>
          <w:tab w:val="left" w:leader="none" w:pos="3119"/>
        </w:tabs>
        <w:spacing w:after="280" w:before="280" w:line="276" w:lineRule="auto"/>
        <w:jc w:val="center"/>
        <w:rPr>
          <w:rFonts w:ascii="Open Sans" w:cs="Open Sans" w:eastAsia="Open Sans" w:hAnsi="Open Sans"/>
          <w:color w:val="000000"/>
        </w:rPr>
      </w:pPr>
      <w:r w:rsidDel="00000000" w:rsidR="00000000" w:rsidRPr="00000000">
        <w:rPr>
          <w:rFonts w:ascii="Open Sans" w:cs="Open Sans" w:eastAsia="Open Sans" w:hAnsi="Open Sans"/>
          <w:b w:val="1"/>
          <w:color w:val="303ab2"/>
          <w:sz w:val="26"/>
          <w:szCs w:val="26"/>
          <w:rtl w:val="0"/>
        </w:rPr>
        <w:t xml:space="preserve">Variación mensual e interanual de España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Pr>
        <w:drawing>
          <wp:inline distB="0" distT="0" distL="0" distR="0">
            <wp:extent cx="5448935" cy="2362477"/>
            <wp:docPr id="1734559782"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tabs>
          <w:tab w:val="left" w:leader="none" w:pos="3119"/>
        </w:tabs>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Si calculamos este último incremento interanual (14,8%) en euros (341 euros) y lo multiplicamos por los 80 metros de una vivienda estándar se observa que este año se están ofertando pisos 27.246 euros más caros que hace un año.</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rtl w:val="0"/>
        </w:rPr>
        <w:t xml:space="preserve">“La vivienda se encuentra ante un momento histórico. El encarecimiento de la vivienda es el más alto registrado desde que tenemos datos, lo que revela una presión de la demanda sin precedentes, alimentada por unas condiciones hipotecarias más favorables y un aumento de los flujos migratorios muy significativo. Por su parte, la falta de oferta estructural, lastrada por las dificultades de la industria para construir vivienda, eleva los precios al alza. En apenas un año, el precio medio por metro cuadrado ha subido 341 euros, lo que implica que hoy se pagan más de 27.000 euros adicionales por una vivienda de 80 m² respecto a 2024. Es un salto muy abultado en un muy corto espacio de tiempo. Además, este fenómeno no es puntual ni localizado, ya que afecta al 94% de las provincias y al 86% de los municipios analizados, con ocho comunidades autónomas creciendo a doble dígito”, </w:t>
      </w:r>
      <w:r w:rsidDel="00000000" w:rsidR="00000000" w:rsidRPr="00000000">
        <w:rPr>
          <w:rFonts w:ascii="Open Sans" w:cs="Open Sans" w:eastAsia="Open Sans" w:hAnsi="Open Sans"/>
          <w:b w:val="1"/>
          <w:rtl w:val="0"/>
        </w:rPr>
        <w:t xml:space="preserve">comenta María Matos, directora de Estudios y portavoz de</w:t>
      </w:r>
      <w:r w:rsidDel="00000000" w:rsidR="00000000" w:rsidRPr="00000000">
        <w:rPr>
          <w:rFonts w:ascii="Open Sans" w:cs="Open Sans" w:eastAsia="Open Sans" w:hAnsi="Open Sans"/>
          <w:color w:val="000000"/>
          <w:rtl w:val="0"/>
        </w:rPr>
        <w:t xml:space="preserve"> </w:t>
      </w:r>
      <w:hyperlink r:id="rId11">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color w:val="000000"/>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after="280" w:before="280" w:line="276" w:lineRule="auto"/>
        <w:jc w:val="center"/>
        <w:rPr>
          <w:rFonts w:ascii="Open Sans" w:cs="Open Sans" w:eastAsia="Open Sans" w:hAnsi="Open Sans"/>
          <w:b w:val="1"/>
          <w:color w:val="000000"/>
          <w:sz w:val="26"/>
          <w:szCs w:val="26"/>
        </w:rPr>
      </w:pPr>
      <w:hyperlink r:id="rId12">
        <w:r w:rsidDel="00000000" w:rsidR="00000000" w:rsidRPr="00000000">
          <w:rPr>
            <w:rFonts w:ascii="Open Sans" w:cs="Open Sans" w:eastAsia="Open Sans" w:hAnsi="Open Sans"/>
            <w:b w:val="1"/>
            <w:color w:val="0000ff"/>
            <w:sz w:val="26"/>
            <w:szCs w:val="26"/>
            <w:u w:val="single"/>
            <w:rtl w:val="0"/>
          </w:rPr>
          <w:t xml:space="preserve">Declaraciones de María Matos, directora de Estudios de Fotocasa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Pr>
        <w:drawing>
          <wp:inline distB="0" distT="0" distL="0" distR="0">
            <wp:extent cx="5762623" cy="2874324"/>
            <wp:effectExtent b="0" l="0" r="0" t="0"/>
            <wp:docPr descr="Interfaz de usuario gráfica, Aplicación&#10;&#10;El contenido generado por IA puede ser incorrecto." id="1734559784" name="image3.jpg"/>
            <a:graphic>
              <a:graphicData uri="http://schemas.openxmlformats.org/drawingml/2006/picture">
                <pic:pic>
                  <pic:nvPicPr>
                    <pic:cNvPr descr="Interfaz de usuario gráfica, Aplicación&#10;&#10;El contenido generado por IA puede ser incorrecto." id="0" name="image3.jpg"/>
                    <pic:cNvPicPr preferRelativeResize="0"/>
                  </pic:nvPicPr>
                  <pic:blipFill>
                    <a:blip r:embed="rId13"/>
                    <a:srcRect b="0" l="0" r="0" t="0"/>
                    <a:stretch>
                      <a:fillRect/>
                    </a:stretch>
                  </pic:blipFill>
                  <pic:spPr>
                    <a:xfrm>
                      <a:off x="0" y="0"/>
                      <a:ext cx="5762623" cy="2874324"/>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tabs>
          <w:tab w:val="left" w:leader="none" w:pos="3119"/>
        </w:tabs>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Así, España </w:t>
      </w:r>
      <w:r w:rsidDel="00000000" w:rsidR="00000000" w:rsidRPr="00000000">
        <w:rPr>
          <w:rFonts w:ascii="Open Sans" w:cs="Open Sans" w:eastAsia="Open Sans" w:hAnsi="Open Sans"/>
          <w:b w:val="1"/>
          <w:color w:val="000000"/>
          <w:rtl w:val="0"/>
        </w:rPr>
        <w:t xml:space="preserve">ha pasado de una variación interanual del 7,7% de mayo de 2024 al 14,8% detectado en el mismo periodo de 2025.</w:t>
      </w:r>
      <w:r w:rsidDel="00000000" w:rsidR="00000000" w:rsidRPr="00000000">
        <w:rPr>
          <w:rFonts w:ascii="Open Sans" w:cs="Open Sans" w:eastAsia="Open Sans" w:hAnsi="Open Sans"/>
          <w:color w:val="000000"/>
          <w:rtl w:val="0"/>
        </w:rPr>
        <w:t xml:space="preserve"> En los últimos 12 meses analizados el precio de la vivienda se ha incrementado 341 euros por metro cuadrado, es decir, ha pasado de los 2.294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de mayo de 2024 a los 2.635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de mayo de 2025.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Por comunidades, si analizamos los precios de la vivienda en venta respecto a los de hace un año, vemos que 16 comunidades incrementan el precio interanual en mayo. Los incrementos superiores al 10% afecta a ocho comunidades y son: Comunitat Valenciana (28,3%), Región de Murcia (24,1%), Baleares (20,9%), Andalucía (18,5%), Madrid (17,9%), Canarias (17,9%), Asturias (16,6%) y Cantabria (15,5%). Por otro lado, la única región que experimenta descenso interanual es Navarra (-1,4%).</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cuanto al ranking de Comunidades Autónomas (CC.AA.) con </w:t>
      </w:r>
      <w:r w:rsidDel="00000000" w:rsidR="00000000" w:rsidRPr="00000000">
        <w:rPr>
          <w:rFonts w:ascii="Open Sans" w:cs="Open Sans" w:eastAsia="Open Sans" w:hAnsi="Open Sans"/>
          <w:b w:val="1"/>
          <w:color w:val="000000"/>
          <w:rtl w:val="0"/>
        </w:rPr>
        <w:t xml:space="preserve">el precio del metro cuadrado más caro en España se encuentra en Baleares, que por primera vez supera los 5.000 euros, en concreto se sitúa en 5.028</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Open Sans" w:cs="Open Sans" w:eastAsia="Open Sans" w:hAnsi="Open Sans"/>
          <w:b w:val="1"/>
          <w:color w:val="000000"/>
          <w:rtl w:val="0"/>
        </w:rPr>
        <w:t xml:space="preserve">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w:t>
      </w:r>
      <w:r w:rsidDel="00000000" w:rsidR="00000000" w:rsidRPr="00000000">
        <w:rPr>
          <w:rFonts w:ascii="Open Sans" w:cs="Open Sans" w:eastAsia="Open Sans" w:hAnsi="Open Sans"/>
          <w:color w:val="000000"/>
          <w:rtl w:val="0"/>
        </w:rPr>
        <w:t xml:space="preserve">Le siguen, Madrid con 4.817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País Vasco con 3.476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Canarias con 3.108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Cataluña con 3.035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Andalucía con 2.509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Comunitat Valenciana con 2.407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Cantabria con 2.286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Navarra con 2.064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Asturias con 1.976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Galicia con 1.958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Aragón con 1.803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La Rioja con 1.720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Región de Murcia con 1.695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Castilla y León con 1.600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Extremadura con 1.258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y Castilla-La Mancha con 1.228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CCAA de mayor a menor incremento interanual</w:t>
      </w:r>
    </w:p>
    <w:tbl>
      <w:tblPr>
        <w:tblStyle w:val="Table1"/>
        <w:tblW w:w="907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410"/>
        <w:gridCol w:w="1701"/>
        <w:gridCol w:w="1559"/>
        <w:gridCol w:w="1701"/>
        <w:gridCol w:w="1700"/>
        <w:tblGridChange w:id="0">
          <w:tblGrid>
            <w:gridCol w:w="2410"/>
            <w:gridCol w:w="1701"/>
            <w:gridCol w:w="1559"/>
            <w:gridCol w:w="1701"/>
            <w:gridCol w:w="1700"/>
          </w:tblGrid>
        </w:tblGridChange>
      </w:tblGrid>
      <w:tr>
        <w:trPr>
          <w:cantSplit w:val="0"/>
          <w:trHeight w:val="283" w:hRule="atLeast"/>
          <w:tblHeader w:val="0"/>
        </w:trPr>
        <w:tc>
          <w:tcPr>
            <w:vAlign w:val="center"/>
          </w:tcPr>
          <w:p w:rsidR="00000000" w:rsidDel="00000000" w:rsidP="00000000" w:rsidRDefault="00000000" w:rsidRPr="00000000" w14:paraId="0000001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Comunidad Autónoma</w:t>
            </w:r>
            <w:r w:rsidDel="00000000" w:rsidR="00000000" w:rsidRPr="00000000">
              <w:rPr>
                <w:rtl w:val="0"/>
              </w:rPr>
            </w:r>
          </w:p>
        </w:tc>
        <w:tc>
          <w:tcPr>
            <w:vAlign w:val="center"/>
          </w:tcPr>
          <w:p w:rsidR="00000000" w:rsidDel="00000000" w:rsidP="00000000" w:rsidRDefault="00000000" w:rsidRPr="00000000" w14:paraId="00000019">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Mayo 2025</w:t>
            </w:r>
            <w:r w:rsidDel="00000000" w:rsidR="00000000" w:rsidRPr="00000000">
              <w:rPr>
                <w:rtl w:val="0"/>
              </w:rPr>
            </w:r>
          </w:p>
          <w:p w:rsidR="00000000" w:rsidDel="00000000" w:rsidP="00000000" w:rsidRDefault="00000000" w:rsidRPr="00000000" w14:paraId="0000001A">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(euros/m²)</w:t>
            </w:r>
            <w:r w:rsidDel="00000000" w:rsidR="00000000" w:rsidRPr="00000000">
              <w:rPr>
                <w:rtl w:val="0"/>
              </w:rPr>
            </w:r>
          </w:p>
        </w:tc>
        <w:tc>
          <w:tcPr>
            <w:vAlign w:val="center"/>
          </w:tcPr>
          <w:p w:rsidR="00000000" w:rsidDel="00000000" w:rsidP="00000000" w:rsidRDefault="00000000" w:rsidRPr="00000000" w14:paraId="0000001B">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01C">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c>
          <w:tcPr/>
          <w:p w:rsidR="00000000" w:rsidDel="00000000" w:rsidP="00000000" w:rsidRDefault="00000000" w:rsidRPr="00000000" w14:paraId="0000001D">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respecto media nacional</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1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Comunitat Valenciana </w:t>
            </w:r>
            <w:r w:rsidDel="00000000" w:rsidR="00000000" w:rsidRPr="00000000">
              <w:rPr>
                <w:rtl w:val="0"/>
              </w:rPr>
            </w:r>
          </w:p>
        </w:tc>
        <w:tc>
          <w:tcPr>
            <w:vAlign w:val="bottom"/>
          </w:tcPr>
          <w:p w:rsidR="00000000" w:rsidDel="00000000" w:rsidP="00000000" w:rsidRDefault="00000000" w:rsidRPr="00000000" w14:paraId="0000001F">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2.407 €</w:t>
            </w:r>
          </w:p>
        </w:tc>
        <w:tc>
          <w:tcPr>
            <w:vAlign w:val="bottom"/>
          </w:tcPr>
          <w:p w:rsidR="00000000" w:rsidDel="00000000" w:rsidP="00000000" w:rsidRDefault="00000000" w:rsidRPr="00000000" w14:paraId="00000020">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5,1%</w:t>
            </w:r>
          </w:p>
        </w:tc>
        <w:tc>
          <w:tcPr>
            <w:vAlign w:val="bottom"/>
          </w:tcPr>
          <w:p w:rsidR="00000000" w:rsidDel="00000000" w:rsidP="00000000" w:rsidRDefault="00000000" w:rsidRPr="00000000" w14:paraId="00000021">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28,3%</w:t>
            </w:r>
          </w:p>
        </w:tc>
        <w:tc>
          <w:tcPr>
            <w:vAlign w:val="bottom"/>
          </w:tcPr>
          <w:p w:rsidR="00000000" w:rsidDel="00000000" w:rsidP="00000000" w:rsidRDefault="00000000" w:rsidRPr="00000000" w14:paraId="00000022">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-8,6%</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2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Región de Murcia </w:t>
            </w:r>
            <w:r w:rsidDel="00000000" w:rsidR="00000000" w:rsidRPr="00000000">
              <w:rPr>
                <w:rtl w:val="0"/>
              </w:rPr>
            </w:r>
          </w:p>
        </w:tc>
        <w:tc>
          <w:tcPr>
            <w:vAlign w:val="bottom"/>
          </w:tcPr>
          <w:p w:rsidR="00000000" w:rsidDel="00000000" w:rsidP="00000000" w:rsidRDefault="00000000" w:rsidRPr="00000000" w14:paraId="0000002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1.695 €</w:t>
            </w:r>
          </w:p>
        </w:tc>
        <w:tc>
          <w:tcPr>
            <w:vAlign w:val="bottom"/>
          </w:tcPr>
          <w:p w:rsidR="00000000" w:rsidDel="00000000" w:rsidP="00000000" w:rsidRDefault="00000000" w:rsidRPr="00000000" w14:paraId="0000002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6,1%</w:t>
            </w:r>
          </w:p>
        </w:tc>
        <w:tc>
          <w:tcPr>
            <w:vAlign w:val="bottom"/>
          </w:tcPr>
          <w:p w:rsidR="00000000" w:rsidDel="00000000" w:rsidP="00000000" w:rsidRDefault="00000000" w:rsidRPr="00000000" w14:paraId="0000002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24,1%</w:t>
            </w:r>
          </w:p>
        </w:tc>
        <w:tc>
          <w:tcPr>
            <w:vAlign w:val="bottom"/>
          </w:tcPr>
          <w:p w:rsidR="00000000" w:rsidDel="00000000" w:rsidP="00000000" w:rsidRDefault="00000000" w:rsidRPr="00000000" w14:paraId="0000002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-35,7%</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2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Baleares </w:t>
            </w:r>
            <w:r w:rsidDel="00000000" w:rsidR="00000000" w:rsidRPr="00000000">
              <w:rPr>
                <w:rtl w:val="0"/>
              </w:rPr>
            </w:r>
          </w:p>
        </w:tc>
        <w:tc>
          <w:tcPr>
            <w:vAlign w:val="bottom"/>
          </w:tcPr>
          <w:p w:rsidR="00000000" w:rsidDel="00000000" w:rsidP="00000000" w:rsidRDefault="00000000" w:rsidRPr="00000000" w14:paraId="0000002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5.028 €</w:t>
            </w:r>
          </w:p>
        </w:tc>
        <w:tc>
          <w:tcPr>
            <w:vAlign w:val="bottom"/>
          </w:tcPr>
          <w:p w:rsidR="00000000" w:rsidDel="00000000" w:rsidP="00000000" w:rsidRDefault="00000000" w:rsidRPr="00000000" w14:paraId="0000002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2,5%</w:t>
            </w:r>
          </w:p>
        </w:tc>
        <w:tc>
          <w:tcPr>
            <w:vAlign w:val="bottom"/>
          </w:tcPr>
          <w:p w:rsidR="00000000" w:rsidDel="00000000" w:rsidP="00000000" w:rsidRDefault="00000000" w:rsidRPr="00000000" w14:paraId="0000002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20,9%</w:t>
            </w:r>
          </w:p>
        </w:tc>
        <w:tc>
          <w:tcPr>
            <w:vAlign w:val="bottom"/>
          </w:tcPr>
          <w:p w:rsidR="00000000" w:rsidDel="00000000" w:rsidP="00000000" w:rsidRDefault="00000000" w:rsidRPr="00000000" w14:paraId="0000002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90,8%</w:t>
            </w:r>
          </w:p>
        </w:tc>
      </w:tr>
      <w:tr>
        <w:trPr>
          <w:cantSplit w:val="0"/>
          <w:trHeight w:val="283" w:hRule="atLeast"/>
          <w:tblHeader w:val="0"/>
        </w:trPr>
        <w:tc>
          <w:tcPr>
            <w:vAlign w:val="bottom"/>
          </w:tcPr>
          <w:p w:rsidR="00000000" w:rsidDel="00000000" w:rsidP="00000000" w:rsidRDefault="00000000" w:rsidRPr="00000000" w14:paraId="0000002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Andalucía </w:t>
            </w:r>
            <w:r w:rsidDel="00000000" w:rsidR="00000000" w:rsidRPr="00000000">
              <w:rPr>
                <w:rtl w:val="0"/>
              </w:rPr>
            </w:r>
          </w:p>
        </w:tc>
        <w:tc>
          <w:tcPr>
            <w:vAlign w:val="bottom"/>
          </w:tcPr>
          <w:p w:rsidR="00000000" w:rsidDel="00000000" w:rsidP="00000000" w:rsidRDefault="00000000" w:rsidRPr="00000000" w14:paraId="0000002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2.509 €</w:t>
            </w:r>
          </w:p>
        </w:tc>
        <w:tc>
          <w:tcPr>
            <w:vAlign w:val="bottom"/>
          </w:tcPr>
          <w:p w:rsidR="00000000" w:rsidDel="00000000" w:rsidP="00000000" w:rsidRDefault="00000000" w:rsidRPr="00000000" w14:paraId="0000002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4,0%</w:t>
            </w:r>
            <w:r w:rsidDel="00000000" w:rsidR="00000000" w:rsidRPr="00000000">
              <w:rPr>
                <w:rtl w:val="0"/>
              </w:rPr>
            </w:r>
          </w:p>
        </w:tc>
        <w:tc>
          <w:tcPr>
            <w:vAlign w:val="bottom"/>
          </w:tcPr>
          <w:p w:rsidR="00000000" w:rsidDel="00000000" w:rsidP="00000000" w:rsidRDefault="00000000" w:rsidRPr="00000000" w14:paraId="0000003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18,5%</w:t>
            </w:r>
          </w:p>
        </w:tc>
        <w:tc>
          <w:tcPr>
            <w:vAlign w:val="bottom"/>
          </w:tcPr>
          <w:p w:rsidR="00000000" w:rsidDel="00000000" w:rsidP="00000000" w:rsidRDefault="00000000" w:rsidRPr="00000000" w14:paraId="0000003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-4,8%</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3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Madrid </w:t>
            </w:r>
            <w:r w:rsidDel="00000000" w:rsidR="00000000" w:rsidRPr="00000000">
              <w:rPr>
                <w:rtl w:val="0"/>
              </w:rPr>
            </w:r>
          </w:p>
        </w:tc>
        <w:tc>
          <w:tcPr>
            <w:vAlign w:val="bottom"/>
          </w:tcPr>
          <w:p w:rsidR="00000000" w:rsidDel="00000000" w:rsidP="00000000" w:rsidRDefault="00000000" w:rsidRPr="00000000" w14:paraId="0000003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4.817 €</w:t>
            </w:r>
          </w:p>
        </w:tc>
        <w:tc>
          <w:tcPr>
            <w:vAlign w:val="bottom"/>
          </w:tcPr>
          <w:p w:rsidR="00000000" w:rsidDel="00000000" w:rsidP="00000000" w:rsidRDefault="00000000" w:rsidRPr="00000000" w14:paraId="0000003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4,2%</w:t>
            </w:r>
          </w:p>
        </w:tc>
        <w:tc>
          <w:tcPr>
            <w:vAlign w:val="bottom"/>
          </w:tcPr>
          <w:p w:rsidR="00000000" w:rsidDel="00000000" w:rsidP="00000000" w:rsidRDefault="00000000" w:rsidRPr="00000000" w14:paraId="0000003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17,9%</w:t>
            </w:r>
          </w:p>
        </w:tc>
        <w:tc>
          <w:tcPr>
            <w:vAlign w:val="bottom"/>
          </w:tcPr>
          <w:p w:rsidR="00000000" w:rsidDel="00000000" w:rsidP="00000000" w:rsidRDefault="00000000" w:rsidRPr="00000000" w14:paraId="0000003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82,8%</w:t>
            </w:r>
          </w:p>
        </w:tc>
      </w:tr>
      <w:tr>
        <w:trPr>
          <w:cantSplit w:val="0"/>
          <w:trHeight w:val="283" w:hRule="atLeast"/>
          <w:tblHeader w:val="0"/>
        </w:trPr>
        <w:tc>
          <w:tcPr>
            <w:vAlign w:val="bottom"/>
          </w:tcPr>
          <w:p w:rsidR="00000000" w:rsidDel="00000000" w:rsidP="00000000" w:rsidRDefault="00000000" w:rsidRPr="00000000" w14:paraId="0000003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Canarias </w:t>
            </w:r>
            <w:r w:rsidDel="00000000" w:rsidR="00000000" w:rsidRPr="00000000">
              <w:rPr>
                <w:rtl w:val="0"/>
              </w:rPr>
            </w:r>
          </w:p>
        </w:tc>
        <w:tc>
          <w:tcPr>
            <w:vAlign w:val="bottom"/>
          </w:tcPr>
          <w:p w:rsidR="00000000" w:rsidDel="00000000" w:rsidP="00000000" w:rsidRDefault="00000000" w:rsidRPr="00000000" w14:paraId="0000003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3.108 €</w:t>
            </w:r>
          </w:p>
        </w:tc>
        <w:tc>
          <w:tcPr>
            <w:vAlign w:val="bottom"/>
          </w:tcPr>
          <w:p w:rsidR="00000000" w:rsidDel="00000000" w:rsidP="00000000" w:rsidRDefault="00000000" w:rsidRPr="00000000" w14:paraId="0000003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7,1%</w:t>
            </w:r>
          </w:p>
        </w:tc>
        <w:tc>
          <w:tcPr>
            <w:vAlign w:val="bottom"/>
          </w:tcPr>
          <w:p w:rsidR="00000000" w:rsidDel="00000000" w:rsidP="00000000" w:rsidRDefault="00000000" w:rsidRPr="00000000" w14:paraId="0000003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17,9%</w:t>
            </w:r>
          </w:p>
        </w:tc>
        <w:tc>
          <w:tcPr>
            <w:vAlign w:val="bottom"/>
          </w:tcPr>
          <w:p w:rsidR="00000000" w:rsidDel="00000000" w:rsidP="00000000" w:rsidRDefault="00000000" w:rsidRPr="00000000" w14:paraId="0000003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18,0%</w:t>
            </w:r>
          </w:p>
        </w:tc>
      </w:tr>
      <w:tr>
        <w:trPr>
          <w:cantSplit w:val="0"/>
          <w:trHeight w:val="283" w:hRule="atLeast"/>
          <w:tblHeader w:val="0"/>
        </w:trPr>
        <w:tc>
          <w:tcPr>
            <w:vAlign w:val="bottom"/>
          </w:tcPr>
          <w:p w:rsidR="00000000" w:rsidDel="00000000" w:rsidP="00000000" w:rsidRDefault="00000000" w:rsidRPr="00000000" w14:paraId="0000003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Asturias </w:t>
            </w:r>
            <w:r w:rsidDel="00000000" w:rsidR="00000000" w:rsidRPr="00000000">
              <w:rPr>
                <w:rtl w:val="0"/>
              </w:rPr>
            </w:r>
          </w:p>
        </w:tc>
        <w:tc>
          <w:tcPr>
            <w:vAlign w:val="bottom"/>
          </w:tcPr>
          <w:p w:rsidR="00000000" w:rsidDel="00000000" w:rsidP="00000000" w:rsidRDefault="00000000" w:rsidRPr="00000000" w14:paraId="0000003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1.976 €</w:t>
            </w:r>
          </w:p>
        </w:tc>
        <w:tc>
          <w:tcPr>
            <w:vAlign w:val="bottom"/>
          </w:tcPr>
          <w:p w:rsidR="00000000" w:rsidDel="00000000" w:rsidP="00000000" w:rsidRDefault="00000000" w:rsidRPr="00000000" w14:paraId="0000003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4,3%</w:t>
            </w:r>
          </w:p>
        </w:tc>
        <w:tc>
          <w:tcPr>
            <w:vAlign w:val="bottom"/>
          </w:tcPr>
          <w:p w:rsidR="00000000" w:rsidDel="00000000" w:rsidP="00000000" w:rsidRDefault="00000000" w:rsidRPr="00000000" w14:paraId="0000003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16,6%</w:t>
            </w:r>
          </w:p>
        </w:tc>
        <w:tc>
          <w:tcPr>
            <w:vAlign w:val="bottom"/>
          </w:tcPr>
          <w:p w:rsidR="00000000" w:rsidDel="00000000" w:rsidP="00000000" w:rsidRDefault="00000000" w:rsidRPr="00000000" w14:paraId="0000004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-25,0%</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4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Cantabria </w:t>
            </w:r>
            <w:r w:rsidDel="00000000" w:rsidR="00000000" w:rsidRPr="00000000">
              <w:rPr>
                <w:rtl w:val="0"/>
              </w:rPr>
            </w:r>
          </w:p>
        </w:tc>
        <w:tc>
          <w:tcPr>
            <w:vAlign w:val="bottom"/>
          </w:tcPr>
          <w:p w:rsidR="00000000" w:rsidDel="00000000" w:rsidP="00000000" w:rsidRDefault="00000000" w:rsidRPr="00000000" w14:paraId="0000004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2.286 €</w:t>
            </w:r>
          </w:p>
        </w:tc>
        <w:tc>
          <w:tcPr>
            <w:vAlign w:val="bottom"/>
          </w:tcPr>
          <w:p w:rsidR="00000000" w:rsidDel="00000000" w:rsidP="00000000" w:rsidRDefault="00000000" w:rsidRPr="00000000" w14:paraId="00000043">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4,9%</w:t>
            </w:r>
            <w:r w:rsidDel="00000000" w:rsidR="00000000" w:rsidRPr="00000000">
              <w:rPr>
                <w:rtl w:val="0"/>
              </w:rPr>
            </w:r>
          </w:p>
        </w:tc>
        <w:tc>
          <w:tcPr>
            <w:vAlign w:val="bottom"/>
          </w:tcPr>
          <w:p w:rsidR="00000000" w:rsidDel="00000000" w:rsidP="00000000" w:rsidRDefault="00000000" w:rsidRPr="00000000" w14:paraId="0000004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15,5%</w:t>
            </w:r>
          </w:p>
        </w:tc>
        <w:tc>
          <w:tcPr>
            <w:vAlign w:val="bottom"/>
          </w:tcPr>
          <w:p w:rsidR="00000000" w:rsidDel="00000000" w:rsidP="00000000" w:rsidRDefault="00000000" w:rsidRPr="00000000" w14:paraId="0000004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-13,2%</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4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País Vasco </w:t>
            </w:r>
            <w:r w:rsidDel="00000000" w:rsidR="00000000" w:rsidRPr="00000000">
              <w:rPr>
                <w:rtl w:val="0"/>
              </w:rPr>
            </w:r>
          </w:p>
        </w:tc>
        <w:tc>
          <w:tcPr>
            <w:vAlign w:val="bottom"/>
          </w:tcPr>
          <w:p w:rsidR="00000000" w:rsidDel="00000000" w:rsidP="00000000" w:rsidRDefault="00000000" w:rsidRPr="00000000" w14:paraId="0000004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3.476 €</w:t>
            </w:r>
          </w:p>
        </w:tc>
        <w:tc>
          <w:tcPr>
            <w:vAlign w:val="bottom"/>
          </w:tcPr>
          <w:p w:rsidR="00000000" w:rsidDel="00000000" w:rsidP="00000000" w:rsidRDefault="00000000" w:rsidRPr="00000000" w14:paraId="00000048">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1,6%</w:t>
            </w:r>
            <w:r w:rsidDel="00000000" w:rsidR="00000000" w:rsidRPr="00000000">
              <w:rPr>
                <w:rtl w:val="0"/>
              </w:rPr>
            </w:r>
          </w:p>
        </w:tc>
        <w:tc>
          <w:tcPr>
            <w:vAlign w:val="bottom"/>
          </w:tcPr>
          <w:p w:rsidR="00000000" w:rsidDel="00000000" w:rsidP="00000000" w:rsidRDefault="00000000" w:rsidRPr="00000000" w14:paraId="0000004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9,8%</w:t>
            </w:r>
          </w:p>
        </w:tc>
        <w:tc>
          <w:tcPr>
            <w:vAlign w:val="bottom"/>
          </w:tcPr>
          <w:p w:rsidR="00000000" w:rsidDel="00000000" w:rsidP="00000000" w:rsidRDefault="00000000" w:rsidRPr="00000000" w14:paraId="0000004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31,9%</w:t>
            </w:r>
          </w:p>
        </w:tc>
      </w:tr>
      <w:tr>
        <w:trPr>
          <w:cantSplit w:val="0"/>
          <w:trHeight w:val="283" w:hRule="atLeast"/>
          <w:tblHeader w:val="0"/>
        </w:trPr>
        <w:tc>
          <w:tcPr>
            <w:vAlign w:val="bottom"/>
          </w:tcPr>
          <w:p w:rsidR="00000000" w:rsidDel="00000000" w:rsidP="00000000" w:rsidRDefault="00000000" w:rsidRPr="00000000" w14:paraId="0000004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Galicia </w:t>
            </w:r>
            <w:r w:rsidDel="00000000" w:rsidR="00000000" w:rsidRPr="00000000">
              <w:rPr>
                <w:rtl w:val="0"/>
              </w:rPr>
            </w:r>
          </w:p>
        </w:tc>
        <w:tc>
          <w:tcPr>
            <w:vAlign w:val="bottom"/>
          </w:tcPr>
          <w:p w:rsidR="00000000" w:rsidDel="00000000" w:rsidP="00000000" w:rsidRDefault="00000000" w:rsidRPr="00000000" w14:paraId="0000004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1.958 €</w:t>
            </w:r>
          </w:p>
        </w:tc>
        <w:tc>
          <w:tcPr>
            <w:vAlign w:val="bottom"/>
          </w:tcPr>
          <w:p w:rsidR="00000000" w:rsidDel="00000000" w:rsidP="00000000" w:rsidRDefault="00000000" w:rsidRPr="00000000" w14:paraId="0000004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2,6%</w:t>
            </w:r>
          </w:p>
        </w:tc>
        <w:tc>
          <w:tcPr>
            <w:vAlign w:val="bottom"/>
          </w:tcPr>
          <w:p w:rsidR="00000000" w:rsidDel="00000000" w:rsidP="00000000" w:rsidRDefault="00000000" w:rsidRPr="00000000" w14:paraId="0000004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9,6%</w:t>
            </w:r>
          </w:p>
        </w:tc>
        <w:tc>
          <w:tcPr>
            <w:vAlign w:val="bottom"/>
          </w:tcPr>
          <w:p w:rsidR="00000000" w:rsidDel="00000000" w:rsidP="00000000" w:rsidRDefault="00000000" w:rsidRPr="00000000" w14:paraId="0000004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-25,7%</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5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Cataluña </w:t>
            </w:r>
            <w:r w:rsidDel="00000000" w:rsidR="00000000" w:rsidRPr="00000000">
              <w:rPr>
                <w:rtl w:val="0"/>
              </w:rPr>
            </w:r>
          </w:p>
        </w:tc>
        <w:tc>
          <w:tcPr>
            <w:vAlign w:val="bottom"/>
          </w:tcPr>
          <w:p w:rsidR="00000000" w:rsidDel="00000000" w:rsidP="00000000" w:rsidRDefault="00000000" w:rsidRPr="00000000" w14:paraId="00000051">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3.035 €</w:t>
            </w:r>
            <w:r w:rsidDel="00000000" w:rsidR="00000000" w:rsidRPr="00000000">
              <w:rPr>
                <w:rtl w:val="0"/>
              </w:rPr>
            </w:r>
          </w:p>
        </w:tc>
        <w:tc>
          <w:tcPr>
            <w:vAlign w:val="bottom"/>
          </w:tcPr>
          <w:p w:rsidR="00000000" w:rsidDel="00000000" w:rsidP="00000000" w:rsidRDefault="00000000" w:rsidRPr="00000000" w14:paraId="0000005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2,8%</w:t>
            </w:r>
          </w:p>
        </w:tc>
        <w:tc>
          <w:tcPr>
            <w:vAlign w:val="bottom"/>
          </w:tcPr>
          <w:p w:rsidR="00000000" w:rsidDel="00000000" w:rsidP="00000000" w:rsidRDefault="00000000" w:rsidRPr="00000000" w14:paraId="0000005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8,4%</w:t>
            </w:r>
          </w:p>
        </w:tc>
        <w:tc>
          <w:tcPr>
            <w:vAlign w:val="bottom"/>
          </w:tcPr>
          <w:p w:rsidR="00000000" w:rsidDel="00000000" w:rsidP="00000000" w:rsidRDefault="00000000" w:rsidRPr="00000000" w14:paraId="0000005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15,2%</w:t>
            </w:r>
          </w:p>
        </w:tc>
      </w:tr>
      <w:tr>
        <w:trPr>
          <w:cantSplit w:val="0"/>
          <w:trHeight w:val="283" w:hRule="atLeast"/>
          <w:tblHeader w:val="0"/>
        </w:trPr>
        <w:tc>
          <w:tcPr>
            <w:vAlign w:val="bottom"/>
          </w:tcPr>
          <w:p w:rsidR="00000000" w:rsidDel="00000000" w:rsidP="00000000" w:rsidRDefault="00000000" w:rsidRPr="00000000" w14:paraId="0000005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Castilla y León </w:t>
            </w:r>
            <w:r w:rsidDel="00000000" w:rsidR="00000000" w:rsidRPr="00000000">
              <w:rPr>
                <w:rtl w:val="0"/>
              </w:rPr>
            </w:r>
          </w:p>
        </w:tc>
        <w:tc>
          <w:tcPr>
            <w:vAlign w:val="bottom"/>
          </w:tcPr>
          <w:p w:rsidR="00000000" w:rsidDel="00000000" w:rsidP="00000000" w:rsidRDefault="00000000" w:rsidRPr="00000000" w14:paraId="00000056">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1.600 €</w:t>
            </w:r>
            <w:r w:rsidDel="00000000" w:rsidR="00000000" w:rsidRPr="00000000">
              <w:rPr>
                <w:rtl w:val="0"/>
              </w:rPr>
            </w:r>
          </w:p>
        </w:tc>
        <w:tc>
          <w:tcPr>
            <w:vAlign w:val="bottom"/>
          </w:tcPr>
          <w:p w:rsidR="00000000" w:rsidDel="00000000" w:rsidP="00000000" w:rsidRDefault="00000000" w:rsidRPr="00000000" w14:paraId="0000005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w:t>
            </w:r>
          </w:p>
        </w:tc>
        <w:tc>
          <w:tcPr>
            <w:vAlign w:val="bottom"/>
          </w:tcPr>
          <w:p w:rsidR="00000000" w:rsidDel="00000000" w:rsidP="00000000" w:rsidRDefault="00000000" w:rsidRPr="00000000" w14:paraId="0000005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6,8%</w:t>
            </w:r>
          </w:p>
        </w:tc>
        <w:tc>
          <w:tcPr>
            <w:vAlign w:val="bottom"/>
          </w:tcPr>
          <w:p w:rsidR="00000000" w:rsidDel="00000000" w:rsidP="00000000" w:rsidRDefault="00000000" w:rsidRPr="00000000" w14:paraId="0000005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-39,3%</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5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Aragón </w:t>
            </w:r>
            <w:r w:rsidDel="00000000" w:rsidR="00000000" w:rsidRPr="00000000">
              <w:rPr>
                <w:rtl w:val="0"/>
              </w:rPr>
            </w:r>
          </w:p>
        </w:tc>
        <w:tc>
          <w:tcPr>
            <w:vAlign w:val="bottom"/>
          </w:tcPr>
          <w:p w:rsidR="00000000" w:rsidDel="00000000" w:rsidP="00000000" w:rsidRDefault="00000000" w:rsidRPr="00000000" w14:paraId="0000005B">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1.803 €</w:t>
            </w:r>
            <w:r w:rsidDel="00000000" w:rsidR="00000000" w:rsidRPr="00000000">
              <w:rPr>
                <w:rtl w:val="0"/>
              </w:rPr>
            </w:r>
          </w:p>
        </w:tc>
        <w:tc>
          <w:tcPr>
            <w:vAlign w:val="bottom"/>
          </w:tcPr>
          <w:p w:rsidR="00000000" w:rsidDel="00000000" w:rsidP="00000000" w:rsidRDefault="00000000" w:rsidRPr="00000000" w14:paraId="0000005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3,0%</w:t>
            </w:r>
          </w:p>
        </w:tc>
        <w:tc>
          <w:tcPr>
            <w:vAlign w:val="bottom"/>
          </w:tcPr>
          <w:p w:rsidR="00000000" w:rsidDel="00000000" w:rsidP="00000000" w:rsidRDefault="00000000" w:rsidRPr="00000000" w14:paraId="0000005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4,6%</w:t>
            </w:r>
          </w:p>
        </w:tc>
        <w:tc>
          <w:tcPr>
            <w:vAlign w:val="bottom"/>
          </w:tcPr>
          <w:p w:rsidR="00000000" w:rsidDel="00000000" w:rsidP="00000000" w:rsidRDefault="00000000" w:rsidRPr="00000000" w14:paraId="0000005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-31,6%</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5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La Rioja </w:t>
            </w:r>
            <w:r w:rsidDel="00000000" w:rsidR="00000000" w:rsidRPr="00000000">
              <w:rPr>
                <w:rtl w:val="0"/>
              </w:rPr>
            </w:r>
          </w:p>
        </w:tc>
        <w:tc>
          <w:tcPr>
            <w:vAlign w:val="bottom"/>
          </w:tcPr>
          <w:p w:rsidR="00000000" w:rsidDel="00000000" w:rsidP="00000000" w:rsidRDefault="00000000" w:rsidRPr="00000000" w14:paraId="00000060">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1.720 €</w:t>
            </w:r>
            <w:r w:rsidDel="00000000" w:rsidR="00000000" w:rsidRPr="00000000">
              <w:rPr>
                <w:rtl w:val="0"/>
              </w:rPr>
            </w:r>
          </w:p>
        </w:tc>
        <w:tc>
          <w:tcPr>
            <w:vAlign w:val="bottom"/>
          </w:tcPr>
          <w:p w:rsidR="00000000" w:rsidDel="00000000" w:rsidP="00000000" w:rsidRDefault="00000000" w:rsidRPr="00000000" w14:paraId="0000006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w:t>
            </w:r>
          </w:p>
        </w:tc>
        <w:tc>
          <w:tcPr>
            <w:vAlign w:val="bottom"/>
          </w:tcPr>
          <w:p w:rsidR="00000000" w:rsidDel="00000000" w:rsidP="00000000" w:rsidRDefault="00000000" w:rsidRPr="00000000" w14:paraId="0000006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3,7%</w:t>
            </w:r>
          </w:p>
        </w:tc>
        <w:tc>
          <w:tcPr>
            <w:vAlign w:val="bottom"/>
          </w:tcPr>
          <w:p w:rsidR="00000000" w:rsidDel="00000000" w:rsidP="00000000" w:rsidRDefault="00000000" w:rsidRPr="00000000" w14:paraId="0000006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-34,7%</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6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Extremadura </w:t>
            </w:r>
            <w:r w:rsidDel="00000000" w:rsidR="00000000" w:rsidRPr="00000000">
              <w:rPr>
                <w:rtl w:val="0"/>
              </w:rPr>
            </w:r>
          </w:p>
        </w:tc>
        <w:tc>
          <w:tcPr>
            <w:vAlign w:val="bottom"/>
          </w:tcPr>
          <w:p w:rsidR="00000000" w:rsidDel="00000000" w:rsidP="00000000" w:rsidRDefault="00000000" w:rsidRPr="00000000" w14:paraId="00000065">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1.258 €</w:t>
            </w:r>
            <w:r w:rsidDel="00000000" w:rsidR="00000000" w:rsidRPr="00000000">
              <w:rPr>
                <w:rtl w:val="0"/>
              </w:rPr>
            </w:r>
          </w:p>
        </w:tc>
        <w:tc>
          <w:tcPr>
            <w:vAlign w:val="bottom"/>
          </w:tcPr>
          <w:p w:rsidR="00000000" w:rsidDel="00000000" w:rsidP="00000000" w:rsidRDefault="00000000" w:rsidRPr="00000000" w14:paraId="0000006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3,1%</w:t>
            </w:r>
          </w:p>
        </w:tc>
        <w:tc>
          <w:tcPr>
            <w:vAlign w:val="bottom"/>
          </w:tcPr>
          <w:p w:rsidR="00000000" w:rsidDel="00000000" w:rsidP="00000000" w:rsidRDefault="00000000" w:rsidRPr="00000000" w14:paraId="0000006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2,7%</w:t>
            </w:r>
          </w:p>
        </w:tc>
        <w:tc>
          <w:tcPr>
            <w:vAlign w:val="bottom"/>
          </w:tcPr>
          <w:p w:rsidR="00000000" w:rsidDel="00000000" w:rsidP="00000000" w:rsidRDefault="00000000" w:rsidRPr="00000000" w14:paraId="0000006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-52,3%</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6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Castilla-La Mancha </w:t>
            </w:r>
            <w:r w:rsidDel="00000000" w:rsidR="00000000" w:rsidRPr="00000000">
              <w:rPr>
                <w:rtl w:val="0"/>
              </w:rPr>
            </w:r>
          </w:p>
        </w:tc>
        <w:tc>
          <w:tcPr>
            <w:vAlign w:val="bottom"/>
          </w:tcPr>
          <w:p w:rsidR="00000000" w:rsidDel="00000000" w:rsidP="00000000" w:rsidRDefault="00000000" w:rsidRPr="00000000" w14:paraId="0000006A">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1.228 €</w:t>
            </w:r>
            <w:r w:rsidDel="00000000" w:rsidR="00000000" w:rsidRPr="00000000">
              <w:rPr>
                <w:rtl w:val="0"/>
              </w:rPr>
            </w:r>
          </w:p>
        </w:tc>
        <w:tc>
          <w:tcPr>
            <w:vAlign w:val="bottom"/>
          </w:tcPr>
          <w:p w:rsidR="00000000" w:rsidDel="00000000" w:rsidP="00000000" w:rsidRDefault="00000000" w:rsidRPr="00000000" w14:paraId="0000006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3,1%</w:t>
            </w:r>
          </w:p>
        </w:tc>
        <w:tc>
          <w:tcPr>
            <w:vAlign w:val="bottom"/>
          </w:tcPr>
          <w:p w:rsidR="00000000" w:rsidDel="00000000" w:rsidP="00000000" w:rsidRDefault="00000000" w:rsidRPr="00000000" w14:paraId="0000006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1,9%</w:t>
            </w:r>
          </w:p>
        </w:tc>
        <w:tc>
          <w:tcPr>
            <w:vAlign w:val="bottom"/>
          </w:tcPr>
          <w:p w:rsidR="00000000" w:rsidDel="00000000" w:rsidP="00000000" w:rsidRDefault="00000000" w:rsidRPr="00000000" w14:paraId="0000006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-53,4%</w:t>
            </w:r>
            <w:r w:rsidDel="00000000" w:rsidR="00000000" w:rsidRPr="00000000">
              <w:rPr>
                <w:rtl w:val="0"/>
              </w:rPr>
            </w:r>
          </w:p>
        </w:tc>
      </w:tr>
      <w:tr>
        <w:trPr>
          <w:cantSplit w:val="0"/>
          <w:trHeight w:val="283" w:hRule="atLeast"/>
          <w:tblHeader w:val="0"/>
        </w:trPr>
        <w:tc>
          <w:tcPr>
            <w:vAlign w:val="bottom"/>
          </w:tcPr>
          <w:p w:rsidR="00000000" w:rsidDel="00000000" w:rsidP="00000000" w:rsidRDefault="00000000" w:rsidRPr="00000000" w14:paraId="0000006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Navarra </w:t>
            </w:r>
            <w:r w:rsidDel="00000000" w:rsidR="00000000" w:rsidRPr="00000000">
              <w:rPr>
                <w:rtl w:val="0"/>
              </w:rPr>
            </w:r>
          </w:p>
        </w:tc>
        <w:tc>
          <w:tcPr>
            <w:vAlign w:val="bottom"/>
          </w:tcPr>
          <w:p w:rsidR="00000000" w:rsidDel="00000000" w:rsidP="00000000" w:rsidRDefault="00000000" w:rsidRPr="00000000" w14:paraId="0000006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2.064 €</w:t>
            </w:r>
          </w:p>
        </w:tc>
        <w:tc>
          <w:tcPr>
            <w:vAlign w:val="bottom"/>
          </w:tcPr>
          <w:p w:rsidR="00000000" w:rsidDel="00000000" w:rsidP="00000000" w:rsidRDefault="00000000" w:rsidRPr="00000000" w14:paraId="0000007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-0,4%</w:t>
            </w:r>
            <w:r w:rsidDel="00000000" w:rsidR="00000000" w:rsidRPr="00000000">
              <w:rPr>
                <w:rtl w:val="0"/>
              </w:rPr>
            </w:r>
          </w:p>
        </w:tc>
        <w:tc>
          <w:tcPr>
            <w:vAlign w:val="bottom"/>
          </w:tcPr>
          <w:p w:rsidR="00000000" w:rsidDel="00000000" w:rsidP="00000000" w:rsidRDefault="00000000" w:rsidRPr="00000000" w14:paraId="0000007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-1,4%</w:t>
            </w:r>
            <w:r w:rsidDel="00000000" w:rsidR="00000000" w:rsidRPr="00000000">
              <w:rPr>
                <w:rtl w:val="0"/>
              </w:rPr>
            </w:r>
          </w:p>
        </w:tc>
        <w:tc>
          <w:tcPr>
            <w:vAlign w:val="bottom"/>
          </w:tcPr>
          <w:p w:rsidR="00000000" w:rsidDel="00000000" w:rsidP="00000000" w:rsidRDefault="00000000" w:rsidRPr="00000000" w14:paraId="0000007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-21,7%</w:t>
            </w:r>
            <w:r w:rsidDel="00000000" w:rsidR="00000000" w:rsidRPr="00000000">
              <w:rPr>
                <w:rtl w:val="0"/>
              </w:rPr>
            </w:r>
          </w:p>
        </w:tc>
      </w:tr>
      <w:tr>
        <w:trPr>
          <w:cantSplit w:val="0"/>
          <w:trHeight w:val="260" w:hRule="atLeast"/>
          <w:tblHeader w:val="0"/>
        </w:trPr>
        <w:tc>
          <w:tcPr>
            <w:vAlign w:val="bottom"/>
          </w:tcPr>
          <w:p w:rsidR="00000000" w:rsidDel="00000000" w:rsidP="00000000" w:rsidRDefault="00000000" w:rsidRPr="00000000" w14:paraId="0000007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España </w:t>
            </w:r>
            <w:r w:rsidDel="00000000" w:rsidR="00000000" w:rsidRPr="00000000">
              <w:rPr>
                <w:rtl w:val="0"/>
              </w:rPr>
            </w:r>
          </w:p>
        </w:tc>
        <w:tc>
          <w:tcPr>
            <w:vAlign w:val="bottom"/>
          </w:tcPr>
          <w:p w:rsidR="00000000" w:rsidDel="00000000" w:rsidP="00000000" w:rsidRDefault="00000000" w:rsidRPr="00000000" w14:paraId="00000074">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2.635 €</w:t>
            </w:r>
            <w:r w:rsidDel="00000000" w:rsidR="00000000" w:rsidRPr="00000000">
              <w:rPr>
                <w:rtl w:val="0"/>
              </w:rPr>
            </w:r>
          </w:p>
        </w:tc>
        <w:tc>
          <w:tcPr>
            <w:vAlign w:val="bottom"/>
          </w:tcPr>
          <w:p w:rsidR="00000000" w:rsidDel="00000000" w:rsidP="00000000" w:rsidRDefault="00000000" w:rsidRPr="00000000" w14:paraId="00000075">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color w:val="000000"/>
                <w:sz w:val="22"/>
                <w:szCs w:val="22"/>
                <w:rtl w:val="0"/>
              </w:rPr>
              <w:t xml:space="preserve">4,0%</w:t>
            </w:r>
            <w:r w:rsidDel="00000000" w:rsidR="00000000" w:rsidRPr="00000000">
              <w:rPr>
                <w:rtl w:val="0"/>
              </w:rPr>
            </w:r>
          </w:p>
        </w:tc>
        <w:tc>
          <w:tcPr>
            <w:vAlign w:val="bottom"/>
          </w:tcPr>
          <w:p w:rsidR="00000000" w:rsidDel="00000000" w:rsidP="00000000" w:rsidRDefault="00000000" w:rsidRPr="00000000" w14:paraId="00000076">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14,8%</w:t>
            </w:r>
            <w:r w:rsidDel="00000000" w:rsidR="00000000" w:rsidRPr="00000000">
              <w:rPr>
                <w:rtl w:val="0"/>
              </w:rPr>
            </w:r>
          </w:p>
        </w:tc>
        <w:tc>
          <w:tcPr>
            <w:vAlign w:val="bottom"/>
          </w:tcPr>
          <w:p w:rsidR="00000000" w:rsidDel="00000000" w:rsidP="00000000" w:rsidRDefault="00000000" w:rsidRPr="00000000" w14:paraId="0000007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w:t>
            </w:r>
            <w:r w:rsidDel="00000000" w:rsidR="00000000" w:rsidRPr="00000000">
              <w:rPr>
                <w:rtl w:val="0"/>
              </w:rPr>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color w:val="000000"/>
        </w:rPr>
      </w:pPr>
      <w:r w:rsidDel="00000000" w:rsidR="00000000" w:rsidRPr="00000000">
        <w:rPr>
          <w:rFonts w:ascii="Open Sans Light" w:cs="Open Sans Light" w:eastAsia="Open Sans Light" w:hAnsi="Open Sans Light"/>
          <w:b w:val="1"/>
          <w:color w:val="303ab2"/>
          <w:sz w:val="28"/>
          <w:szCs w:val="28"/>
          <w:rtl w:val="0"/>
        </w:rPr>
        <w:t xml:space="preserve">Provincias </w:t>
      </w:r>
      <w:r w:rsidDel="00000000" w:rsidR="00000000" w:rsidRPr="00000000">
        <w:rPr>
          <w:rtl w:val="0"/>
        </w:rPr>
      </w:r>
    </w:p>
    <w:p w:rsidR="00000000" w:rsidDel="00000000" w:rsidP="00000000" w:rsidRDefault="00000000" w:rsidRPr="00000000" w14:paraId="00000079">
      <w:pPr>
        <w:spacing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47 de las 50 provincias analizadas (en el 94%) sube el precio interanual de la vivienda en el mes de mayo. </w:t>
      </w:r>
      <w:r w:rsidDel="00000000" w:rsidR="00000000" w:rsidRPr="00000000">
        <w:rPr>
          <w:rFonts w:ascii="Open Sans" w:cs="Open Sans" w:eastAsia="Open Sans" w:hAnsi="Open Sans"/>
          <w:b w:val="1"/>
          <w:color w:val="000000"/>
          <w:rtl w:val="0"/>
        </w:rPr>
        <w:t xml:space="preserve">En 22 provincias se supera el 10%, en concreto en Alicante (27,1%), Murcia (24,1%), Valencia (21,2%), Illes Balears (20,9%),</w:t>
      </w:r>
      <w:r w:rsidDel="00000000" w:rsidR="00000000" w:rsidRPr="00000000">
        <w:rPr>
          <w:rFonts w:ascii="Open Sans" w:cs="Open Sans" w:eastAsia="Open Sans" w:hAnsi="Open Sans"/>
          <w:color w:val="000000"/>
          <w:rtl w:val="0"/>
        </w:rPr>
        <w:t xml:space="preserve"> Castellón (20,2%), Santa Cruz de Tenerife (18,2%), Madrid (17,9%), Asturias (16,6%), Cantabria (15,5%), Málaga (15,2%), Granada (14,4%), Lugo (14,1%), Palencia (12,9%), Cádiz (12,6%), Huesca (12,6%), Gipuzkoa (12,0%), Huelva (11,7%), Pontevedra (11,4%), Las Palmas (11,1%), A Coruña (10,4%), Guadalajara (10,1%) y Valladolid (10,0%). Por otro lado, las provincias con descensos son Navarra (-1,4%), Ávila (-0,9%) y Jaén (-0,8%).</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cuanto a los precios, Illes Balears, Madrid, Málaga y Gipuzkoa han superado los 4.000 euros por metro cuadrado. </w:t>
      </w:r>
      <w:r w:rsidDel="00000000" w:rsidR="00000000" w:rsidRPr="00000000">
        <w:rPr>
          <w:rFonts w:ascii="Open Sans" w:cs="Open Sans" w:eastAsia="Open Sans" w:hAnsi="Open Sans"/>
          <w:b w:val="1"/>
          <w:color w:val="000000"/>
          <w:rtl w:val="0"/>
        </w:rPr>
        <w:t xml:space="preserve">Las cuatro provincias con el precio más elevado son: Illes Balears con 5.028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Madrid con 4.817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Málaga con 4.149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y Gipuzkoa con 4.008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w:t>
      </w:r>
      <w:r w:rsidDel="00000000" w:rsidR="00000000" w:rsidRPr="00000000">
        <w:rPr>
          <w:rFonts w:ascii="Open Sans" w:cs="Open Sans" w:eastAsia="Open Sans" w:hAnsi="Open Sans"/>
          <w:color w:val="000000"/>
          <w:rtl w:val="0"/>
        </w:rPr>
        <w:t xml:space="preserve">Por otro lado, las provincias con el precio por metro cuadrado por debajo de los 1.000 euros son Ciudad Real con 968 y Jaén con 996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respectivamente.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ffffff" w:val="clea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Provincias de mayor a menor incremento interanual</w:t>
      </w:r>
    </w:p>
    <w:tbl>
      <w:tblPr>
        <w:tblStyle w:val="Table2"/>
        <w:tblW w:w="907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127"/>
        <w:gridCol w:w="1984"/>
        <w:gridCol w:w="1559"/>
        <w:gridCol w:w="1701"/>
        <w:gridCol w:w="1700"/>
        <w:tblGridChange w:id="0">
          <w:tblGrid>
            <w:gridCol w:w="2127"/>
            <w:gridCol w:w="1984"/>
            <w:gridCol w:w="1559"/>
            <w:gridCol w:w="1701"/>
            <w:gridCol w:w="1700"/>
          </w:tblGrid>
        </w:tblGridChange>
      </w:tblGrid>
      <w:tr>
        <w:trPr>
          <w:cantSplit w:val="0"/>
          <w:trHeight w:val="280" w:hRule="atLeast"/>
          <w:tblHeader w:val="0"/>
        </w:trPr>
        <w:tc>
          <w:tcPr>
            <w:vAlign w:val="center"/>
          </w:tcPr>
          <w:p w:rsidR="00000000" w:rsidDel="00000000" w:rsidP="00000000" w:rsidRDefault="00000000" w:rsidRPr="00000000" w14:paraId="0000007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07D">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Mayo 2025</w:t>
            </w:r>
            <w:r w:rsidDel="00000000" w:rsidR="00000000" w:rsidRPr="00000000">
              <w:rPr>
                <w:rtl w:val="0"/>
              </w:rPr>
            </w:r>
          </w:p>
          <w:p w:rsidR="00000000" w:rsidDel="00000000" w:rsidP="00000000" w:rsidRDefault="00000000" w:rsidRPr="00000000" w14:paraId="0000007E">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(euros/m²)</w:t>
            </w:r>
            <w:r w:rsidDel="00000000" w:rsidR="00000000" w:rsidRPr="00000000">
              <w:rPr>
                <w:rtl w:val="0"/>
              </w:rPr>
            </w:r>
          </w:p>
        </w:tc>
        <w:tc>
          <w:tcPr>
            <w:vAlign w:val="center"/>
          </w:tcPr>
          <w:p w:rsidR="00000000" w:rsidDel="00000000" w:rsidP="00000000" w:rsidRDefault="00000000" w:rsidRPr="00000000" w14:paraId="0000007F">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080">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c>
          <w:tcPr/>
          <w:p w:rsidR="00000000" w:rsidDel="00000000" w:rsidP="00000000" w:rsidRDefault="00000000" w:rsidRPr="00000000" w14:paraId="00000081">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 respecto media nacional</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8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083">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2.781 €</w:t>
            </w:r>
            <w:r w:rsidDel="00000000" w:rsidR="00000000" w:rsidRPr="00000000">
              <w:rPr>
                <w:rtl w:val="0"/>
              </w:rPr>
            </w:r>
          </w:p>
        </w:tc>
        <w:tc>
          <w:tcPr>
            <w:vAlign w:val="bottom"/>
          </w:tcPr>
          <w:p w:rsidR="00000000" w:rsidDel="00000000" w:rsidP="00000000" w:rsidRDefault="00000000" w:rsidRPr="00000000" w14:paraId="00000084">
            <w:pPr>
              <w:jc w:val="center"/>
              <w:rPr>
                <w:rFonts w:ascii="Open Sans" w:cs="Open Sans" w:eastAsia="Open Sans" w:hAnsi="Open Sans"/>
                <w:color w:val="0d0d0d"/>
                <w:sz w:val="22"/>
                <w:szCs w:val="22"/>
              </w:rPr>
            </w:pPr>
            <w:r w:rsidDel="00000000" w:rsidR="00000000" w:rsidRPr="00000000">
              <w:rPr>
                <w:rFonts w:ascii="Open Sans" w:cs="Open Sans" w:eastAsia="Open Sans" w:hAnsi="Open Sans"/>
                <w:color w:val="000000"/>
                <w:sz w:val="22"/>
                <w:szCs w:val="22"/>
                <w:rtl w:val="0"/>
              </w:rPr>
              <w:t xml:space="preserve">5,2%</w:t>
            </w:r>
            <w:r w:rsidDel="00000000" w:rsidR="00000000" w:rsidRPr="00000000">
              <w:rPr>
                <w:rtl w:val="0"/>
              </w:rPr>
            </w:r>
          </w:p>
        </w:tc>
        <w:tc>
          <w:tcPr>
            <w:vAlign w:val="bottom"/>
          </w:tcPr>
          <w:p w:rsidR="00000000" w:rsidDel="00000000" w:rsidP="00000000" w:rsidRDefault="00000000" w:rsidRPr="00000000" w14:paraId="00000085">
            <w:pPr>
              <w:jc w:val="center"/>
              <w:rPr>
                <w:rFonts w:ascii="Open Sans" w:cs="Open Sans" w:eastAsia="Open Sans" w:hAnsi="Open Sans"/>
                <w:b w:val="1"/>
                <w:color w:val="0d0d0d"/>
                <w:sz w:val="22"/>
                <w:szCs w:val="22"/>
              </w:rPr>
            </w:pPr>
            <w:r w:rsidDel="00000000" w:rsidR="00000000" w:rsidRPr="00000000">
              <w:rPr>
                <w:rFonts w:ascii="Open Sans" w:cs="Open Sans" w:eastAsia="Open Sans" w:hAnsi="Open Sans"/>
                <w:b w:val="1"/>
                <w:color w:val="000000"/>
                <w:sz w:val="22"/>
                <w:szCs w:val="22"/>
                <w:rtl w:val="0"/>
              </w:rPr>
              <w:t xml:space="preserve">27,1%</w:t>
            </w:r>
            <w:r w:rsidDel="00000000" w:rsidR="00000000" w:rsidRPr="00000000">
              <w:rPr>
                <w:rtl w:val="0"/>
              </w:rPr>
            </w:r>
          </w:p>
        </w:tc>
        <w:tc>
          <w:tcPr>
            <w:vAlign w:val="bottom"/>
          </w:tcPr>
          <w:p w:rsidR="00000000" w:rsidDel="00000000" w:rsidP="00000000" w:rsidRDefault="00000000" w:rsidRPr="00000000" w14:paraId="0000008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5,6%</w:t>
            </w:r>
          </w:p>
        </w:tc>
      </w:tr>
      <w:tr>
        <w:trPr>
          <w:cantSplit w:val="0"/>
          <w:trHeight w:val="280" w:hRule="atLeast"/>
          <w:tblHeader w:val="0"/>
        </w:trPr>
        <w:tc>
          <w:tcPr>
            <w:vAlign w:val="bottom"/>
          </w:tcPr>
          <w:p w:rsidR="00000000" w:rsidDel="00000000" w:rsidP="00000000" w:rsidRDefault="00000000" w:rsidRPr="00000000" w14:paraId="0000008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Murcia</w:t>
            </w:r>
            <w:r w:rsidDel="00000000" w:rsidR="00000000" w:rsidRPr="00000000">
              <w:rPr>
                <w:rtl w:val="0"/>
              </w:rPr>
            </w:r>
          </w:p>
        </w:tc>
        <w:tc>
          <w:tcPr>
            <w:vAlign w:val="bottom"/>
          </w:tcPr>
          <w:p w:rsidR="00000000" w:rsidDel="00000000" w:rsidP="00000000" w:rsidRDefault="00000000" w:rsidRPr="00000000" w14:paraId="00000088">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1.695 €</w:t>
            </w:r>
            <w:r w:rsidDel="00000000" w:rsidR="00000000" w:rsidRPr="00000000">
              <w:rPr>
                <w:rtl w:val="0"/>
              </w:rPr>
            </w:r>
          </w:p>
        </w:tc>
        <w:tc>
          <w:tcPr>
            <w:vAlign w:val="bottom"/>
          </w:tcPr>
          <w:p w:rsidR="00000000" w:rsidDel="00000000" w:rsidP="00000000" w:rsidRDefault="00000000" w:rsidRPr="00000000" w14:paraId="00000089">
            <w:pPr>
              <w:jc w:val="center"/>
              <w:rPr>
                <w:rFonts w:ascii="Open Sans" w:cs="Open Sans" w:eastAsia="Open Sans" w:hAnsi="Open Sans"/>
                <w:color w:val="0d0d0d"/>
                <w:sz w:val="22"/>
                <w:szCs w:val="22"/>
              </w:rPr>
            </w:pPr>
            <w:r w:rsidDel="00000000" w:rsidR="00000000" w:rsidRPr="00000000">
              <w:rPr>
                <w:rFonts w:ascii="Open Sans" w:cs="Open Sans" w:eastAsia="Open Sans" w:hAnsi="Open Sans"/>
                <w:color w:val="000000"/>
                <w:sz w:val="22"/>
                <w:szCs w:val="22"/>
                <w:rtl w:val="0"/>
              </w:rPr>
              <w:t xml:space="preserve">6,1%</w:t>
            </w:r>
            <w:r w:rsidDel="00000000" w:rsidR="00000000" w:rsidRPr="00000000">
              <w:rPr>
                <w:rtl w:val="0"/>
              </w:rPr>
            </w:r>
          </w:p>
        </w:tc>
        <w:tc>
          <w:tcPr>
            <w:vAlign w:val="bottom"/>
          </w:tcPr>
          <w:p w:rsidR="00000000" w:rsidDel="00000000" w:rsidP="00000000" w:rsidRDefault="00000000" w:rsidRPr="00000000" w14:paraId="0000008A">
            <w:pPr>
              <w:jc w:val="center"/>
              <w:rPr>
                <w:rFonts w:ascii="Open Sans" w:cs="Open Sans" w:eastAsia="Open Sans" w:hAnsi="Open Sans"/>
                <w:b w:val="1"/>
                <w:color w:val="0d0d0d"/>
                <w:sz w:val="22"/>
                <w:szCs w:val="22"/>
              </w:rPr>
            </w:pPr>
            <w:r w:rsidDel="00000000" w:rsidR="00000000" w:rsidRPr="00000000">
              <w:rPr>
                <w:rFonts w:ascii="Open Sans" w:cs="Open Sans" w:eastAsia="Open Sans" w:hAnsi="Open Sans"/>
                <w:b w:val="1"/>
                <w:color w:val="000000"/>
                <w:sz w:val="22"/>
                <w:szCs w:val="22"/>
                <w:rtl w:val="0"/>
              </w:rPr>
              <w:t xml:space="preserve">24,1%</w:t>
            </w:r>
            <w:r w:rsidDel="00000000" w:rsidR="00000000" w:rsidRPr="00000000">
              <w:rPr>
                <w:rtl w:val="0"/>
              </w:rPr>
            </w:r>
          </w:p>
        </w:tc>
        <w:tc>
          <w:tcPr>
            <w:vAlign w:val="bottom"/>
          </w:tcPr>
          <w:p w:rsidR="00000000" w:rsidDel="00000000" w:rsidP="00000000" w:rsidRDefault="00000000" w:rsidRPr="00000000" w14:paraId="0000008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-35,7%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8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Valencia</w:t>
            </w:r>
            <w:r w:rsidDel="00000000" w:rsidR="00000000" w:rsidRPr="00000000">
              <w:rPr>
                <w:rtl w:val="0"/>
              </w:rPr>
            </w:r>
          </w:p>
        </w:tc>
        <w:tc>
          <w:tcPr>
            <w:vAlign w:val="bottom"/>
          </w:tcPr>
          <w:p w:rsidR="00000000" w:rsidDel="00000000" w:rsidP="00000000" w:rsidRDefault="00000000" w:rsidRPr="00000000" w14:paraId="0000008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2.057 €</w:t>
            </w:r>
          </w:p>
        </w:tc>
        <w:tc>
          <w:tcPr>
            <w:vAlign w:val="bottom"/>
          </w:tcPr>
          <w:p w:rsidR="00000000" w:rsidDel="00000000" w:rsidP="00000000" w:rsidRDefault="00000000" w:rsidRPr="00000000" w14:paraId="0000008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3,2%</w:t>
            </w:r>
          </w:p>
        </w:tc>
        <w:tc>
          <w:tcPr>
            <w:vAlign w:val="bottom"/>
          </w:tcPr>
          <w:p w:rsidR="00000000" w:rsidDel="00000000" w:rsidP="00000000" w:rsidRDefault="00000000" w:rsidRPr="00000000" w14:paraId="0000008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21,2%</w:t>
            </w:r>
          </w:p>
        </w:tc>
        <w:tc>
          <w:tcPr>
            <w:vAlign w:val="bottom"/>
          </w:tcPr>
          <w:p w:rsidR="00000000" w:rsidDel="00000000" w:rsidP="00000000" w:rsidRDefault="00000000" w:rsidRPr="00000000" w14:paraId="0000009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-21,9%</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9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09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5.028 €</w:t>
            </w:r>
          </w:p>
        </w:tc>
        <w:tc>
          <w:tcPr>
            <w:vAlign w:val="bottom"/>
          </w:tcPr>
          <w:p w:rsidR="00000000" w:rsidDel="00000000" w:rsidP="00000000" w:rsidRDefault="00000000" w:rsidRPr="00000000" w14:paraId="0000009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2,5%</w:t>
            </w:r>
          </w:p>
        </w:tc>
        <w:tc>
          <w:tcPr>
            <w:vAlign w:val="bottom"/>
          </w:tcPr>
          <w:p w:rsidR="00000000" w:rsidDel="00000000" w:rsidP="00000000" w:rsidRDefault="00000000" w:rsidRPr="00000000" w14:paraId="0000009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20,9%</w:t>
            </w:r>
          </w:p>
        </w:tc>
        <w:tc>
          <w:tcPr>
            <w:vAlign w:val="bottom"/>
          </w:tcPr>
          <w:p w:rsidR="00000000" w:rsidDel="00000000" w:rsidP="00000000" w:rsidRDefault="00000000" w:rsidRPr="00000000" w14:paraId="0000009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90,8%</w:t>
            </w:r>
          </w:p>
        </w:tc>
      </w:tr>
      <w:tr>
        <w:trPr>
          <w:cantSplit w:val="0"/>
          <w:trHeight w:val="280" w:hRule="atLeast"/>
          <w:tblHeader w:val="0"/>
        </w:trPr>
        <w:tc>
          <w:tcPr>
            <w:vAlign w:val="bottom"/>
          </w:tcPr>
          <w:p w:rsidR="00000000" w:rsidDel="00000000" w:rsidP="00000000" w:rsidRDefault="00000000" w:rsidRPr="00000000" w14:paraId="0000009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Castellón</w:t>
            </w:r>
            <w:r w:rsidDel="00000000" w:rsidR="00000000" w:rsidRPr="00000000">
              <w:rPr>
                <w:rtl w:val="0"/>
              </w:rPr>
            </w:r>
          </w:p>
        </w:tc>
        <w:tc>
          <w:tcPr>
            <w:vAlign w:val="bottom"/>
          </w:tcPr>
          <w:p w:rsidR="00000000" w:rsidDel="00000000" w:rsidP="00000000" w:rsidRDefault="00000000" w:rsidRPr="00000000" w14:paraId="0000009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1.572 €</w:t>
            </w:r>
          </w:p>
        </w:tc>
        <w:tc>
          <w:tcPr>
            <w:vAlign w:val="bottom"/>
          </w:tcPr>
          <w:p w:rsidR="00000000" w:rsidDel="00000000" w:rsidP="00000000" w:rsidRDefault="00000000" w:rsidRPr="00000000" w14:paraId="0000009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w:t>
            </w:r>
          </w:p>
        </w:tc>
        <w:tc>
          <w:tcPr>
            <w:vAlign w:val="bottom"/>
          </w:tcPr>
          <w:p w:rsidR="00000000" w:rsidDel="00000000" w:rsidP="00000000" w:rsidRDefault="00000000" w:rsidRPr="00000000" w14:paraId="0000009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20,2%</w:t>
            </w:r>
          </w:p>
        </w:tc>
        <w:tc>
          <w:tcPr>
            <w:vAlign w:val="bottom"/>
          </w:tcPr>
          <w:p w:rsidR="00000000" w:rsidDel="00000000" w:rsidP="00000000" w:rsidRDefault="00000000" w:rsidRPr="00000000" w14:paraId="0000009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-40,3%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9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Santa Cruz de Tenerife</w:t>
            </w:r>
            <w:r w:rsidDel="00000000" w:rsidR="00000000" w:rsidRPr="00000000">
              <w:rPr>
                <w:rtl w:val="0"/>
              </w:rPr>
            </w:r>
          </w:p>
        </w:tc>
        <w:tc>
          <w:tcPr>
            <w:vAlign w:val="bottom"/>
          </w:tcPr>
          <w:p w:rsidR="00000000" w:rsidDel="00000000" w:rsidP="00000000" w:rsidRDefault="00000000" w:rsidRPr="00000000" w14:paraId="0000009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3.493 €</w:t>
            </w:r>
          </w:p>
        </w:tc>
        <w:tc>
          <w:tcPr>
            <w:vAlign w:val="bottom"/>
          </w:tcPr>
          <w:p w:rsidR="00000000" w:rsidDel="00000000" w:rsidP="00000000" w:rsidRDefault="00000000" w:rsidRPr="00000000" w14:paraId="0000009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10,4%</w:t>
            </w:r>
          </w:p>
        </w:tc>
        <w:tc>
          <w:tcPr>
            <w:vAlign w:val="bottom"/>
          </w:tcPr>
          <w:p w:rsidR="00000000" w:rsidDel="00000000" w:rsidP="00000000" w:rsidRDefault="00000000" w:rsidRPr="00000000" w14:paraId="0000009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18,2%</w:t>
            </w:r>
          </w:p>
        </w:tc>
        <w:tc>
          <w:tcPr>
            <w:vAlign w:val="bottom"/>
          </w:tcPr>
          <w:p w:rsidR="00000000" w:rsidDel="00000000" w:rsidP="00000000" w:rsidRDefault="00000000" w:rsidRPr="00000000" w14:paraId="0000009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32,6%</w:t>
            </w:r>
          </w:p>
        </w:tc>
      </w:tr>
      <w:tr>
        <w:trPr>
          <w:cantSplit w:val="0"/>
          <w:trHeight w:val="280" w:hRule="atLeast"/>
          <w:tblHeader w:val="0"/>
        </w:trPr>
        <w:tc>
          <w:tcPr>
            <w:vAlign w:val="bottom"/>
          </w:tcPr>
          <w:p w:rsidR="00000000" w:rsidDel="00000000" w:rsidP="00000000" w:rsidRDefault="00000000" w:rsidRPr="00000000" w14:paraId="000000A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Madrid</w:t>
            </w:r>
            <w:r w:rsidDel="00000000" w:rsidR="00000000" w:rsidRPr="00000000">
              <w:rPr>
                <w:rtl w:val="0"/>
              </w:rPr>
            </w:r>
          </w:p>
        </w:tc>
        <w:tc>
          <w:tcPr>
            <w:vAlign w:val="bottom"/>
          </w:tcPr>
          <w:p w:rsidR="00000000" w:rsidDel="00000000" w:rsidP="00000000" w:rsidRDefault="00000000" w:rsidRPr="00000000" w14:paraId="000000A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4.817 €</w:t>
            </w:r>
          </w:p>
        </w:tc>
        <w:tc>
          <w:tcPr>
            <w:vAlign w:val="bottom"/>
          </w:tcPr>
          <w:p w:rsidR="00000000" w:rsidDel="00000000" w:rsidP="00000000" w:rsidRDefault="00000000" w:rsidRPr="00000000" w14:paraId="000000A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4,2%</w:t>
            </w:r>
          </w:p>
        </w:tc>
        <w:tc>
          <w:tcPr>
            <w:vAlign w:val="bottom"/>
          </w:tcPr>
          <w:p w:rsidR="00000000" w:rsidDel="00000000" w:rsidP="00000000" w:rsidRDefault="00000000" w:rsidRPr="00000000" w14:paraId="000000A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17,9%</w:t>
            </w:r>
          </w:p>
        </w:tc>
        <w:tc>
          <w:tcPr>
            <w:vAlign w:val="bottom"/>
          </w:tcPr>
          <w:p w:rsidR="00000000" w:rsidDel="00000000" w:rsidP="00000000" w:rsidRDefault="00000000" w:rsidRPr="00000000" w14:paraId="000000A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82,8%</w:t>
            </w:r>
          </w:p>
        </w:tc>
      </w:tr>
      <w:tr>
        <w:trPr>
          <w:cantSplit w:val="0"/>
          <w:trHeight w:val="280" w:hRule="atLeast"/>
          <w:tblHeader w:val="0"/>
        </w:trPr>
        <w:tc>
          <w:tcPr>
            <w:vAlign w:val="bottom"/>
          </w:tcPr>
          <w:p w:rsidR="00000000" w:rsidDel="00000000" w:rsidP="00000000" w:rsidRDefault="00000000" w:rsidRPr="00000000" w14:paraId="000000A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Asturias</w:t>
            </w:r>
            <w:r w:rsidDel="00000000" w:rsidR="00000000" w:rsidRPr="00000000">
              <w:rPr>
                <w:rtl w:val="0"/>
              </w:rPr>
            </w:r>
          </w:p>
        </w:tc>
        <w:tc>
          <w:tcPr>
            <w:vAlign w:val="bottom"/>
          </w:tcPr>
          <w:p w:rsidR="00000000" w:rsidDel="00000000" w:rsidP="00000000" w:rsidRDefault="00000000" w:rsidRPr="00000000" w14:paraId="000000A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1.976 €</w:t>
            </w:r>
          </w:p>
        </w:tc>
        <w:tc>
          <w:tcPr>
            <w:vAlign w:val="bottom"/>
          </w:tcPr>
          <w:p w:rsidR="00000000" w:rsidDel="00000000" w:rsidP="00000000" w:rsidRDefault="00000000" w:rsidRPr="00000000" w14:paraId="000000A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4,3%</w:t>
            </w:r>
          </w:p>
        </w:tc>
        <w:tc>
          <w:tcPr>
            <w:vAlign w:val="bottom"/>
          </w:tcPr>
          <w:p w:rsidR="00000000" w:rsidDel="00000000" w:rsidP="00000000" w:rsidRDefault="00000000" w:rsidRPr="00000000" w14:paraId="000000A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16,6%</w:t>
            </w:r>
          </w:p>
        </w:tc>
        <w:tc>
          <w:tcPr>
            <w:vAlign w:val="bottom"/>
          </w:tcPr>
          <w:p w:rsidR="00000000" w:rsidDel="00000000" w:rsidP="00000000" w:rsidRDefault="00000000" w:rsidRPr="00000000" w14:paraId="000000A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-25,0%</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A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Cantabria</w:t>
            </w:r>
            <w:r w:rsidDel="00000000" w:rsidR="00000000" w:rsidRPr="00000000">
              <w:rPr>
                <w:rtl w:val="0"/>
              </w:rPr>
            </w:r>
          </w:p>
        </w:tc>
        <w:tc>
          <w:tcPr>
            <w:vAlign w:val="bottom"/>
          </w:tcPr>
          <w:p w:rsidR="00000000" w:rsidDel="00000000" w:rsidP="00000000" w:rsidRDefault="00000000" w:rsidRPr="00000000" w14:paraId="000000A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2.286 €</w:t>
            </w:r>
          </w:p>
        </w:tc>
        <w:tc>
          <w:tcPr>
            <w:vAlign w:val="bottom"/>
          </w:tcPr>
          <w:p w:rsidR="00000000" w:rsidDel="00000000" w:rsidP="00000000" w:rsidRDefault="00000000" w:rsidRPr="00000000" w14:paraId="000000A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4,9%</w:t>
            </w:r>
          </w:p>
        </w:tc>
        <w:tc>
          <w:tcPr>
            <w:vAlign w:val="bottom"/>
          </w:tcPr>
          <w:p w:rsidR="00000000" w:rsidDel="00000000" w:rsidP="00000000" w:rsidRDefault="00000000" w:rsidRPr="00000000" w14:paraId="000000A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15,5%</w:t>
            </w:r>
          </w:p>
        </w:tc>
        <w:tc>
          <w:tcPr>
            <w:vAlign w:val="bottom"/>
          </w:tcPr>
          <w:p w:rsidR="00000000" w:rsidDel="00000000" w:rsidP="00000000" w:rsidRDefault="00000000" w:rsidRPr="00000000" w14:paraId="000000A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-13,2%</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A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Málaga</w:t>
            </w:r>
            <w:r w:rsidDel="00000000" w:rsidR="00000000" w:rsidRPr="00000000">
              <w:rPr>
                <w:rtl w:val="0"/>
              </w:rPr>
            </w:r>
          </w:p>
        </w:tc>
        <w:tc>
          <w:tcPr>
            <w:vAlign w:val="bottom"/>
          </w:tcPr>
          <w:p w:rsidR="00000000" w:rsidDel="00000000" w:rsidP="00000000" w:rsidRDefault="00000000" w:rsidRPr="00000000" w14:paraId="000000B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4.149 €</w:t>
            </w:r>
          </w:p>
        </w:tc>
        <w:tc>
          <w:tcPr>
            <w:vAlign w:val="bottom"/>
          </w:tcPr>
          <w:p w:rsidR="00000000" w:rsidDel="00000000" w:rsidP="00000000" w:rsidRDefault="00000000" w:rsidRPr="00000000" w14:paraId="000000B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w:t>
            </w:r>
          </w:p>
        </w:tc>
        <w:tc>
          <w:tcPr>
            <w:vAlign w:val="bottom"/>
          </w:tcPr>
          <w:p w:rsidR="00000000" w:rsidDel="00000000" w:rsidP="00000000" w:rsidRDefault="00000000" w:rsidRPr="00000000" w14:paraId="000000B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15,2%</w:t>
            </w:r>
          </w:p>
        </w:tc>
        <w:tc>
          <w:tcPr>
            <w:vAlign w:val="bottom"/>
          </w:tcPr>
          <w:p w:rsidR="00000000" w:rsidDel="00000000" w:rsidP="00000000" w:rsidRDefault="00000000" w:rsidRPr="00000000" w14:paraId="000000B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57,5%</w:t>
            </w:r>
          </w:p>
        </w:tc>
      </w:tr>
      <w:tr>
        <w:trPr>
          <w:cantSplit w:val="0"/>
          <w:trHeight w:val="280" w:hRule="atLeast"/>
          <w:tblHeader w:val="0"/>
        </w:trPr>
        <w:tc>
          <w:tcPr>
            <w:vAlign w:val="bottom"/>
          </w:tcPr>
          <w:p w:rsidR="00000000" w:rsidDel="00000000" w:rsidP="00000000" w:rsidRDefault="00000000" w:rsidRPr="00000000" w14:paraId="000000B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Granada</w:t>
            </w:r>
            <w:r w:rsidDel="00000000" w:rsidR="00000000" w:rsidRPr="00000000">
              <w:rPr>
                <w:rtl w:val="0"/>
              </w:rPr>
            </w:r>
          </w:p>
        </w:tc>
        <w:tc>
          <w:tcPr>
            <w:vAlign w:val="bottom"/>
          </w:tcPr>
          <w:p w:rsidR="00000000" w:rsidDel="00000000" w:rsidP="00000000" w:rsidRDefault="00000000" w:rsidRPr="00000000" w14:paraId="000000B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2.338 €</w:t>
            </w:r>
          </w:p>
        </w:tc>
        <w:tc>
          <w:tcPr>
            <w:vAlign w:val="bottom"/>
          </w:tcPr>
          <w:p w:rsidR="00000000" w:rsidDel="00000000" w:rsidP="00000000" w:rsidRDefault="00000000" w:rsidRPr="00000000" w14:paraId="000000B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2,5%</w:t>
            </w:r>
          </w:p>
        </w:tc>
        <w:tc>
          <w:tcPr>
            <w:vAlign w:val="bottom"/>
          </w:tcPr>
          <w:p w:rsidR="00000000" w:rsidDel="00000000" w:rsidP="00000000" w:rsidRDefault="00000000" w:rsidRPr="00000000" w14:paraId="000000B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14,4%</w:t>
            </w:r>
          </w:p>
        </w:tc>
        <w:tc>
          <w:tcPr>
            <w:vAlign w:val="bottom"/>
          </w:tcPr>
          <w:p w:rsidR="00000000" w:rsidDel="00000000" w:rsidP="00000000" w:rsidRDefault="00000000" w:rsidRPr="00000000" w14:paraId="000000B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-11,3%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B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Lugo</w:t>
            </w:r>
            <w:r w:rsidDel="00000000" w:rsidR="00000000" w:rsidRPr="00000000">
              <w:rPr>
                <w:rtl w:val="0"/>
              </w:rPr>
            </w:r>
          </w:p>
        </w:tc>
        <w:tc>
          <w:tcPr>
            <w:vAlign w:val="bottom"/>
          </w:tcPr>
          <w:p w:rsidR="00000000" w:rsidDel="00000000" w:rsidP="00000000" w:rsidRDefault="00000000" w:rsidRPr="00000000" w14:paraId="000000B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1.453 €</w:t>
            </w:r>
          </w:p>
        </w:tc>
        <w:tc>
          <w:tcPr>
            <w:vAlign w:val="bottom"/>
          </w:tcPr>
          <w:p w:rsidR="00000000" w:rsidDel="00000000" w:rsidP="00000000" w:rsidRDefault="00000000" w:rsidRPr="00000000" w14:paraId="000000B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-0,7%</w:t>
            </w:r>
            <w:r w:rsidDel="00000000" w:rsidR="00000000" w:rsidRPr="00000000">
              <w:rPr>
                <w:rtl w:val="0"/>
              </w:rPr>
            </w:r>
          </w:p>
        </w:tc>
        <w:tc>
          <w:tcPr>
            <w:vAlign w:val="bottom"/>
          </w:tcPr>
          <w:p w:rsidR="00000000" w:rsidDel="00000000" w:rsidP="00000000" w:rsidRDefault="00000000" w:rsidRPr="00000000" w14:paraId="000000B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14,1%</w:t>
            </w:r>
          </w:p>
        </w:tc>
        <w:tc>
          <w:tcPr>
            <w:vAlign w:val="bottom"/>
          </w:tcPr>
          <w:p w:rsidR="00000000" w:rsidDel="00000000" w:rsidP="00000000" w:rsidRDefault="00000000" w:rsidRPr="00000000" w14:paraId="000000B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-44,8%</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B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Palencia</w:t>
            </w:r>
            <w:r w:rsidDel="00000000" w:rsidR="00000000" w:rsidRPr="00000000">
              <w:rPr>
                <w:rtl w:val="0"/>
              </w:rPr>
            </w:r>
          </w:p>
        </w:tc>
        <w:tc>
          <w:tcPr>
            <w:vAlign w:val="bottom"/>
          </w:tcPr>
          <w:p w:rsidR="00000000" w:rsidDel="00000000" w:rsidP="00000000" w:rsidRDefault="00000000" w:rsidRPr="00000000" w14:paraId="000000B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1.572 €</w:t>
            </w:r>
          </w:p>
        </w:tc>
        <w:tc>
          <w:tcPr>
            <w:vAlign w:val="bottom"/>
          </w:tcPr>
          <w:p w:rsidR="00000000" w:rsidDel="00000000" w:rsidP="00000000" w:rsidRDefault="00000000" w:rsidRPr="00000000" w14:paraId="000000C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w:t>
            </w:r>
          </w:p>
        </w:tc>
        <w:tc>
          <w:tcPr>
            <w:vAlign w:val="bottom"/>
          </w:tcPr>
          <w:p w:rsidR="00000000" w:rsidDel="00000000" w:rsidP="00000000" w:rsidRDefault="00000000" w:rsidRPr="00000000" w14:paraId="000000C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12,9%</w:t>
            </w:r>
          </w:p>
        </w:tc>
        <w:tc>
          <w:tcPr>
            <w:vAlign w:val="bottom"/>
          </w:tcPr>
          <w:p w:rsidR="00000000" w:rsidDel="00000000" w:rsidP="00000000" w:rsidRDefault="00000000" w:rsidRPr="00000000" w14:paraId="000000C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-40,3%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C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Cádiz</w:t>
            </w:r>
            <w:r w:rsidDel="00000000" w:rsidR="00000000" w:rsidRPr="00000000">
              <w:rPr>
                <w:rtl w:val="0"/>
              </w:rPr>
            </w:r>
          </w:p>
        </w:tc>
        <w:tc>
          <w:tcPr>
            <w:vAlign w:val="bottom"/>
          </w:tcPr>
          <w:p w:rsidR="00000000" w:rsidDel="00000000" w:rsidP="00000000" w:rsidRDefault="00000000" w:rsidRPr="00000000" w14:paraId="000000C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2.171 €</w:t>
            </w:r>
          </w:p>
        </w:tc>
        <w:tc>
          <w:tcPr>
            <w:vAlign w:val="bottom"/>
          </w:tcPr>
          <w:p w:rsidR="00000000" w:rsidDel="00000000" w:rsidP="00000000" w:rsidRDefault="00000000" w:rsidRPr="00000000" w14:paraId="000000C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2,6%</w:t>
            </w:r>
          </w:p>
        </w:tc>
        <w:tc>
          <w:tcPr>
            <w:vAlign w:val="bottom"/>
          </w:tcPr>
          <w:p w:rsidR="00000000" w:rsidDel="00000000" w:rsidP="00000000" w:rsidRDefault="00000000" w:rsidRPr="00000000" w14:paraId="000000C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12,6%</w:t>
            </w:r>
          </w:p>
        </w:tc>
        <w:tc>
          <w:tcPr>
            <w:vAlign w:val="bottom"/>
          </w:tcPr>
          <w:p w:rsidR="00000000" w:rsidDel="00000000" w:rsidP="00000000" w:rsidRDefault="00000000" w:rsidRPr="00000000" w14:paraId="000000C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-17,6%</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C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Huesca</w:t>
            </w:r>
            <w:r w:rsidDel="00000000" w:rsidR="00000000" w:rsidRPr="00000000">
              <w:rPr>
                <w:rtl w:val="0"/>
              </w:rPr>
            </w:r>
          </w:p>
        </w:tc>
        <w:tc>
          <w:tcPr>
            <w:vAlign w:val="bottom"/>
          </w:tcPr>
          <w:p w:rsidR="00000000" w:rsidDel="00000000" w:rsidP="00000000" w:rsidRDefault="00000000" w:rsidRPr="00000000" w14:paraId="000000C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1.797 €</w:t>
            </w:r>
          </w:p>
        </w:tc>
        <w:tc>
          <w:tcPr>
            <w:vAlign w:val="bottom"/>
          </w:tcPr>
          <w:p w:rsidR="00000000" w:rsidDel="00000000" w:rsidP="00000000" w:rsidRDefault="00000000" w:rsidRPr="00000000" w14:paraId="000000C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3,2%</w:t>
            </w:r>
          </w:p>
        </w:tc>
        <w:tc>
          <w:tcPr>
            <w:vAlign w:val="bottom"/>
          </w:tcPr>
          <w:p w:rsidR="00000000" w:rsidDel="00000000" w:rsidP="00000000" w:rsidRDefault="00000000" w:rsidRPr="00000000" w14:paraId="000000C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12,6%</w:t>
            </w:r>
          </w:p>
        </w:tc>
        <w:tc>
          <w:tcPr>
            <w:vAlign w:val="bottom"/>
          </w:tcPr>
          <w:p w:rsidR="00000000" w:rsidDel="00000000" w:rsidP="00000000" w:rsidRDefault="00000000" w:rsidRPr="00000000" w14:paraId="000000C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-31,8%</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C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Gipuzkoa</w:t>
            </w:r>
            <w:r w:rsidDel="00000000" w:rsidR="00000000" w:rsidRPr="00000000">
              <w:rPr>
                <w:rtl w:val="0"/>
              </w:rPr>
            </w:r>
          </w:p>
        </w:tc>
        <w:tc>
          <w:tcPr>
            <w:vAlign w:val="bottom"/>
          </w:tcPr>
          <w:p w:rsidR="00000000" w:rsidDel="00000000" w:rsidP="00000000" w:rsidRDefault="00000000" w:rsidRPr="00000000" w14:paraId="000000C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4.008 €</w:t>
            </w:r>
          </w:p>
        </w:tc>
        <w:tc>
          <w:tcPr>
            <w:vAlign w:val="bottom"/>
          </w:tcPr>
          <w:p w:rsidR="00000000" w:rsidDel="00000000" w:rsidP="00000000" w:rsidRDefault="00000000" w:rsidRPr="00000000" w14:paraId="000000C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3,0%</w:t>
            </w:r>
          </w:p>
        </w:tc>
        <w:tc>
          <w:tcPr>
            <w:vAlign w:val="bottom"/>
          </w:tcPr>
          <w:p w:rsidR="00000000" w:rsidDel="00000000" w:rsidP="00000000" w:rsidRDefault="00000000" w:rsidRPr="00000000" w14:paraId="000000D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12,0%</w:t>
            </w:r>
          </w:p>
        </w:tc>
        <w:tc>
          <w:tcPr>
            <w:vAlign w:val="bottom"/>
          </w:tcPr>
          <w:p w:rsidR="00000000" w:rsidDel="00000000" w:rsidP="00000000" w:rsidRDefault="00000000" w:rsidRPr="00000000" w14:paraId="000000D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52,1%</w:t>
            </w:r>
          </w:p>
        </w:tc>
      </w:tr>
      <w:tr>
        <w:trPr>
          <w:cantSplit w:val="0"/>
          <w:trHeight w:val="280" w:hRule="atLeast"/>
          <w:tblHeader w:val="0"/>
        </w:trPr>
        <w:tc>
          <w:tcPr>
            <w:vAlign w:val="bottom"/>
          </w:tcPr>
          <w:p w:rsidR="00000000" w:rsidDel="00000000" w:rsidP="00000000" w:rsidRDefault="00000000" w:rsidRPr="00000000" w14:paraId="000000D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Huelva</w:t>
            </w:r>
            <w:r w:rsidDel="00000000" w:rsidR="00000000" w:rsidRPr="00000000">
              <w:rPr>
                <w:rtl w:val="0"/>
              </w:rPr>
            </w:r>
          </w:p>
        </w:tc>
        <w:tc>
          <w:tcPr>
            <w:vAlign w:val="bottom"/>
          </w:tcPr>
          <w:p w:rsidR="00000000" w:rsidDel="00000000" w:rsidP="00000000" w:rsidRDefault="00000000" w:rsidRPr="00000000" w14:paraId="000000D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1.673 €</w:t>
            </w:r>
          </w:p>
        </w:tc>
        <w:tc>
          <w:tcPr>
            <w:vAlign w:val="bottom"/>
          </w:tcPr>
          <w:p w:rsidR="00000000" w:rsidDel="00000000" w:rsidP="00000000" w:rsidRDefault="00000000" w:rsidRPr="00000000" w14:paraId="000000D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4,8%</w:t>
            </w:r>
          </w:p>
        </w:tc>
        <w:tc>
          <w:tcPr>
            <w:vAlign w:val="bottom"/>
          </w:tcPr>
          <w:p w:rsidR="00000000" w:rsidDel="00000000" w:rsidP="00000000" w:rsidRDefault="00000000" w:rsidRPr="00000000" w14:paraId="000000D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11,7%</w:t>
            </w:r>
          </w:p>
        </w:tc>
        <w:tc>
          <w:tcPr>
            <w:vAlign w:val="bottom"/>
          </w:tcPr>
          <w:p w:rsidR="00000000" w:rsidDel="00000000" w:rsidP="00000000" w:rsidRDefault="00000000" w:rsidRPr="00000000" w14:paraId="000000D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-36,5%</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D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Pontevedra</w:t>
            </w:r>
            <w:r w:rsidDel="00000000" w:rsidR="00000000" w:rsidRPr="00000000">
              <w:rPr>
                <w:rtl w:val="0"/>
              </w:rPr>
            </w:r>
          </w:p>
        </w:tc>
        <w:tc>
          <w:tcPr>
            <w:vAlign w:val="bottom"/>
          </w:tcPr>
          <w:p w:rsidR="00000000" w:rsidDel="00000000" w:rsidP="00000000" w:rsidRDefault="00000000" w:rsidRPr="00000000" w14:paraId="000000D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2.436 €</w:t>
            </w:r>
          </w:p>
        </w:tc>
        <w:tc>
          <w:tcPr>
            <w:vAlign w:val="bottom"/>
          </w:tcPr>
          <w:p w:rsidR="00000000" w:rsidDel="00000000" w:rsidP="00000000" w:rsidRDefault="00000000" w:rsidRPr="00000000" w14:paraId="000000D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w:t>
            </w:r>
          </w:p>
        </w:tc>
        <w:tc>
          <w:tcPr>
            <w:vAlign w:val="bottom"/>
          </w:tcPr>
          <w:p w:rsidR="00000000" w:rsidDel="00000000" w:rsidP="00000000" w:rsidRDefault="00000000" w:rsidRPr="00000000" w14:paraId="000000D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11,4%</w:t>
            </w:r>
          </w:p>
        </w:tc>
        <w:tc>
          <w:tcPr>
            <w:vAlign w:val="bottom"/>
          </w:tcPr>
          <w:p w:rsidR="00000000" w:rsidDel="00000000" w:rsidP="00000000" w:rsidRDefault="00000000" w:rsidRPr="00000000" w14:paraId="000000D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-7,5%</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D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Las Palmas</w:t>
            </w:r>
            <w:r w:rsidDel="00000000" w:rsidR="00000000" w:rsidRPr="00000000">
              <w:rPr>
                <w:rtl w:val="0"/>
              </w:rPr>
            </w:r>
          </w:p>
        </w:tc>
        <w:tc>
          <w:tcPr>
            <w:vAlign w:val="bottom"/>
          </w:tcPr>
          <w:p w:rsidR="00000000" w:rsidDel="00000000" w:rsidP="00000000" w:rsidRDefault="00000000" w:rsidRPr="00000000" w14:paraId="000000D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2.540 €</w:t>
            </w:r>
          </w:p>
        </w:tc>
        <w:tc>
          <w:tcPr>
            <w:vAlign w:val="bottom"/>
          </w:tcPr>
          <w:p w:rsidR="00000000" w:rsidDel="00000000" w:rsidP="00000000" w:rsidRDefault="00000000" w:rsidRPr="00000000" w14:paraId="000000D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3,5%</w:t>
            </w:r>
          </w:p>
        </w:tc>
        <w:tc>
          <w:tcPr>
            <w:vAlign w:val="bottom"/>
          </w:tcPr>
          <w:p w:rsidR="00000000" w:rsidDel="00000000" w:rsidP="00000000" w:rsidRDefault="00000000" w:rsidRPr="00000000" w14:paraId="000000D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11,1%</w:t>
            </w:r>
          </w:p>
        </w:tc>
        <w:tc>
          <w:tcPr>
            <w:vAlign w:val="bottom"/>
          </w:tcPr>
          <w:p w:rsidR="00000000" w:rsidDel="00000000" w:rsidP="00000000" w:rsidRDefault="00000000" w:rsidRPr="00000000" w14:paraId="000000E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-3,6%</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E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 Coruña</w:t>
            </w:r>
            <w:r w:rsidDel="00000000" w:rsidR="00000000" w:rsidRPr="00000000">
              <w:rPr>
                <w:rtl w:val="0"/>
              </w:rPr>
            </w:r>
          </w:p>
        </w:tc>
        <w:tc>
          <w:tcPr>
            <w:vAlign w:val="bottom"/>
          </w:tcPr>
          <w:p w:rsidR="00000000" w:rsidDel="00000000" w:rsidP="00000000" w:rsidRDefault="00000000" w:rsidRPr="00000000" w14:paraId="000000E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1.897 €</w:t>
            </w:r>
          </w:p>
        </w:tc>
        <w:tc>
          <w:tcPr>
            <w:vAlign w:val="bottom"/>
          </w:tcPr>
          <w:p w:rsidR="00000000" w:rsidDel="00000000" w:rsidP="00000000" w:rsidRDefault="00000000" w:rsidRPr="00000000" w14:paraId="000000E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3,8%</w:t>
            </w:r>
          </w:p>
        </w:tc>
        <w:tc>
          <w:tcPr>
            <w:vAlign w:val="bottom"/>
          </w:tcPr>
          <w:p w:rsidR="00000000" w:rsidDel="00000000" w:rsidP="00000000" w:rsidRDefault="00000000" w:rsidRPr="00000000" w14:paraId="000000E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10,4%</w:t>
            </w:r>
          </w:p>
        </w:tc>
        <w:tc>
          <w:tcPr>
            <w:vAlign w:val="bottom"/>
          </w:tcPr>
          <w:p w:rsidR="00000000" w:rsidDel="00000000" w:rsidP="00000000" w:rsidRDefault="00000000" w:rsidRPr="00000000" w14:paraId="000000E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-28,0%</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E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Guadalajara</w:t>
            </w:r>
            <w:r w:rsidDel="00000000" w:rsidR="00000000" w:rsidRPr="00000000">
              <w:rPr>
                <w:rtl w:val="0"/>
              </w:rPr>
            </w:r>
          </w:p>
        </w:tc>
        <w:tc>
          <w:tcPr>
            <w:vAlign w:val="bottom"/>
          </w:tcPr>
          <w:p w:rsidR="00000000" w:rsidDel="00000000" w:rsidP="00000000" w:rsidRDefault="00000000" w:rsidRPr="00000000" w14:paraId="000000E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1.764 €</w:t>
            </w:r>
          </w:p>
        </w:tc>
        <w:tc>
          <w:tcPr>
            <w:vAlign w:val="bottom"/>
          </w:tcPr>
          <w:p w:rsidR="00000000" w:rsidDel="00000000" w:rsidP="00000000" w:rsidRDefault="00000000" w:rsidRPr="00000000" w14:paraId="000000E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7,3%</w:t>
            </w:r>
          </w:p>
        </w:tc>
        <w:tc>
          <w:tcPr>
            <w:vAlign w:val="bottom"/>
          </w:tcPr>
          <w:p w:rsidR="00000000" w:rsidDel="00000000" w:rsidP="00000000" w:rsidRDefault="00000000" w:rsidRPr="00000000" w14:paraId="000000E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10,1%</w:t>
            </w:r>
          </w:p>
        </w:tc>
        <w:tc>
          <w:tcPr>
            <w:vAlign w:val="bottom"/>
          </w:tcPr>
          <w:p w:rsidR="00000000" w:rsidDel="00000000" w:rsidP="00000000" w:rsidRDefault="00000000" w:rsidRPr="00000000" w14:paraId="000000E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-33,1%</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E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Valladolid</w:t>
            </w:r>
            <w:r w:rsidDel="00000000" w:rsidR="00000000" w:rsidRPr="00000000">
              <w:rPr>
                <w:rtl w:val="0"/>
              </w:rPr>
            </w:r>
          </w:p>
        </w:tc>
        <w:tc>
          <w:tcPr>
            <w:vAlign w:val="bottom"/>
          </w:tcPr>
          <w:p w:rsidR="00000000" w:rsidDel="00000000" w:rsidP="00000000" w:rsidRDefault="00000000" w:rsidRPr="00000000" w14:paraId="000000E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1.918 €</w:t>
            </w:r>
          </w:p>
        </w:tc>
        <w:tc>
          <w:tcPr>
            <w:vAlign w:val="bottom"/>
          </w:tcPr>
          <w:p w:rsidR="00000000" w:rsidDel="00000000" w:rsidP="00000000" w:rsidRDefault="00000000" w:rsidRPr="00000000" w14:paraId="000000E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2,3%</w:t>
            </w:r>
          </w:p>
        </w:tc>
        <w:tc>
          <w:tcPr>
            <w:vAlign w:val="bottom"/>
          </w:tcPr>
          <w:p w:rsidR="00000000" w:rsidDel="00000000" w:rsidP="00000000" w:rsidRDefault="00000000" w:rsidRPr="00000000" w14:paraId="000000E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10,0%</w:t>
            </w:r>
          </w:p>
        </w:tc>
        <w:tc>
          <w:tcPr>
            <w:vAlign w:val="bottom"/>
          </w:tcPr>
          <w:p w:rsidR="00000000" w:rsidDel="00000000" w:rsidP="00000000" w:rsidRDefault="00000000" w:rsidRPr="00000000" w14:paraId="000000E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-27,2%</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F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Almería</w:t>
            </w:r>
            <w:r w:rsidDel="00000000" w:rsidR="00000000" w:rsidRPr="00000000">
              <w:rPr>
                <w:rtl w:val="0"/>
              </w:rPr>
            </w:r>
          </w:p>
        </w:tc>
        <w:tc>
          <w:tcPr>
            <w:vAlign w:val="bottom"/>
          </w:tcPr>
          <w:p w:rsidR="00000000" w:rsidDel="00000000" w:rsidP="00000000" w:rsidRDefault="00000000" w:rsidRPr="00000000" w14:paraId="000000F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1.461 €</w:t>
            </w:r>
          </w:p>
        </w:tc>
        <w:tc>
          <w:tcPr>
            <w:vAlign w:val="bottom"/>
          </w:tcPr>
          <w:p w:rsidR="00000000" w:rsidDel="00000000" w:rsidP="00000000" w:rsidRDefault="00000000" w:rsidRPr="00000000" w14:paraId="000000F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w:t>
            </w:r>
          </w:p>
        </w:tc>
        <w:tc>
          <w:tcPr>
            <w:vAlign w:val="bottom"/>
          </w:tcPr>
          <w:p w:rsidR="00000000" w:rsidDel="00000000" w:rsidP="00000000" w:rsidRDefault="00000000" w:rsidRPr="00000000" w14:paraId="000000F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8,9%</w:t>
            </w:r>
          </w:p>
        </w:tc>
        <w:tc>
          <w:tcPr>
            <w:vAlign w:val="bottom"/>
          </w:tcPr>
          <w:p w:rsidR="00000000" w:rsidDel="00000000" w:rsidP="00000000" w:rsidRDefault="00000000" w:rsidRPr="00000000" w14:paraId="000000F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-44,5%</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F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Ourense</w:t>
            </w:r>
            <w:r w:rsidDel="00000000" w:rsidR="00000000" w:rsidRPr="00000000">
              <w:rPr>
                <w:rtl w:val="0"/>
              </w:rPr>
            </w:r>
          </w:p>
        </w:tc>
        <w:tc>
          <w:tcPr>
            <w:vAlign w:val="bottom"/>
          </w:tcPr>
          <w:p w:rsidR="00000000" w:rsidDel="00000000" w:rsidP="00000000" w:rsidRDefault="00000000" w:rsidRPr="00000000" w14:paraId="000000F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1.571 €</w:t>
            </w:r>
          </w:p>
        </w:tc>
        <w:tc>
          <w:tcPr>
            <w:vAlign w:val="bottom"/>
          </w:tcPr>
          <w:p w:rsidR="00000000" w:rsidDel="00000000" w:rsidP="00000000" w:rsidRDefault="00000000" w:rsidRPr="00000000" w14:paraId="000000F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w:t>
            </w:r>
          </w:p>
        </w:tc>
        <w:tc>
          <w:tcPr>
            <w:vAlign w:val="bottom"/>
          </w:tcPr>
          <w:p w:rsidR="00000000" w:rsidDel="00000000" w:rsidP="00000000" w:rsidRDefault="00000000" w:rsidRPr="00000000" w14:paraId="000000F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8,9%</w:t>
            </w:r>
          </w:p>
        </w:tc>
        <w:tc>
          <w:tcPr>
            <w:vAlign w:val="bottom"/>
          </w:tcPr>
          <w:p w:rsidR="00000000" w:rsidDel="00000000" w:rsidP="00000000" w:rsidRDefault="00000000" w:rsidRPr="00000000" w14:paraId="000000F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-40,4%</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0F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0F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3.337 €</w:t>
            </w:r>
          </w:p>
        </w:tc>
        <w:tc>
          <w:tcPr>
            <w:vAlign w:val="bottom"/>
          </w:tcPr>
          <w:p w:rsidR="00000000" w:rsidDel="00000000" w:rsidP="00000000" w:rsidRDefault="00000000" w:rsidRPr="00000000" w14:paraId="000000F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2,6%</w:t>
            </w:r>
          </w:p>
        </w:tc>
        <w:tc>
          <w:tcPr>
            <w:vAlign w:val="bottom"/>
          </w:tcPr>
          <w:p w:rsidR="00000000" w:rsidDel="00000000" w:rsidP="00000000" w:rsidRDefault="00000000" w:rsidRPr="00000000" w14:paraId="000000F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8,4%</w:t>
            </w:r>
          </w:p>
        </w:tc>
        <w:tc>
          <w:tcPr>
            <w:vAlign w:val="bottom"/>
          </w:tcPr>
          <w:p w:rsidR="00000000" w:rsidDel="00000000" w:rsidP="00000000" w:rsidRDefault="00000000" w:rsidRPr="00000000" w14:paraId="000000F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26,7%</w:t>
            </w:r>
          </w:p>
        </w:tc>
      </w:tr>
      <w:tr>
        <w:trPr>
          <w:cantSplit w:val="0"/>
          <w:trHeight w:val="280" w:hRule="atLeast"/>
          <w:tblHeader w:val="0"/>
        </w:trPr>
        <w:tc>
          <w:tcPr>
            <w:vAlign w:val="bottom"/>
          </w:tcPr>
          <w:p w:rsidR="00000000" w:rsidDel="00000000" w:rsidP="00000000" w:rsidRDefault="00000000" w:rsidRPr="00000000" w14:paraId="000000F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Bizkaia</w:t>
            </w:r>
            <w:r w:rsidDel="00000000" w:rsidR="00000000" w:rsidRPr="00000000">
              <w:rPr>
                <w:rtl w:val="0"/>
              </w:rPr>
            </w:r>
          </w:p>
        </w:tc>
        <w:tc>
          <w:tcPr>
            <w:vAlign w:val="bottom"/>
          </w:tcPr>
          <w:p w:rsidR="00000000" w:rsidDel="00000000" w:rsidP="00000000" w:rsidRDefault="00000000" w:rsidRPr="00000000" w14:paraId="0000010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3.320 €</w:t>
            </w:r>
          </w:p>
        </w:tc>
        <w:tc>
          <w:tcPr>
            <w:vAlign w:val="bottom"/>
          </w:tcPr>
          <w:p w:rsidR="00000000" w:rsidDel="00000000" w:rsidP="00000000" w:rsidRDefault="00000000" w:rsidRPr="00000000" w14:paraId="0000010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0,7%</w:t>
            </w:r>
          </w:p>
        </w:tc>
        <w:tc>
          <w:tcPr>
            <w:vAlign w:val="bottom"/>
          </w:tcPr>
          <w:p w:rsidR="00000000" w:rsidDel="00000000" w:rsidP="00000000" w:rsidRDefault="00000000" w:rsidRPr="00000000" w14:paraId="0000010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8,1%</w:t>
            </w:r>
          </w:p>
        </w:tc>
        <w:tc>
          <w:tcPr>
            <w:vAlign w:val="bottom"/>
          </w:tcPr>
          <w:p w:rsidR="00000000" w:rsidDel="00000000" w:rsidP="00000000" w:rsidRDefault="00000000" w:rsidRPr="00000000" w14:paraId="0000010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26,0%</w:t>
            </w:r>
          </w:p>
        </w:tc>
      </w:tr>
      <w:tr>
        <w:trPr>
          <w:cantSplit w:val="0"/>
          <w:trHeight w:val="280" w:hRule="atLeast"/>
          <w:tblHeader w:val="0"/>
        </w:trPr>
        <w:tc>
          <w:tcPr>
            <w:vAlign w:val="bottom"/>
          </w:tcPr>
          <w:p w:rsidR="00000000" w:rsidDel="00000000" w:rsidP="00000000" w:rsidRDefault="00000000" w:rsidRPr="00000000" w14:paraId="0000010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Cuenca</w:t>
            </w:r>
            <w:r w:rsidDel="00000000" w:rsidR="00000000" w:rsidRPr="00000000">
              <w:rPr>
                <w:rtl w:val="0"/>
              </w:rPr>
            </w:r>
          </w:p>
        </w:tc>
        <w:tc>
          <w:tcPr>
            <w:vAlign w:val="bottom"/>
          </w:tcPr>
          <w:p w:rsidR="00000000" w:rsidDel="00000000" w:rsidP="00000000" w:rsidRDefault="00000000" w:rsidRPr="00000000" w14:paraId="0000010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1.277 €</w:t>
            </w:r>
          </w:p>
        </w:tc>
        <w:tc>
          <w:tcPr>
            <w:vAlign w:val="bottom"/>
          </w:tcPr>
          <w:p w:rsidR="00000000" w:rsidDel="00000000" w:rsidP="00000000" w:rsidRDefault="00000000" w:rsidRPr="00000000" w14:paraId="0000010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2,3%</w:t>
            </w:r>
          </w:p>
        </w:tc>
        <w:tc>
          <w:tcPr>
            <w:vAlign w:val="bottom"/>
          </w:tcPr>
          <w:p w:rsidR="00000000" w:rsidDel="00000000" w:rsidP="00000000" w:rsidRDefault="00000000" w:rsidRPr="00000000" w14:paraId="0000010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8,0%</w:t>
            </w:r>
          </w:p>
        </w:tc>
        <w:tc>
          <w:tcPr>
            <w:vAlign w:val="bottom"/>
          </w:tcPr>
          <w:p w:rsidR="00000000" w:rsidDel="00000000" w:rsidP="00000000" w:rsidRDefault="00000000" w:rsidRPr="00000000" w14:paraId="0000010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-51,5%</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0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Salamanca</w:t>
            </w:r>
            <w:r w:rsidDel="00000000" w:rsidR="00000000" w:rsidRPr="00000000">
              <w:rPr>
                <w:rtl w:val="0"/>
              </w:rPr>
            </w:r>
          </w:p>
        </w:tc>
        <w:tc>
          <w:tcPr>
            <w:vAlign w:val="bottom"/>
          </w:tcPr>
          <w:p w:rsidR="00000000" w:rsidDel="00000000" w:rsidP="00000000" w:rsidRDefault="00000000" w:rsidRPr="00000000" w14:paraId="0000010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1.847 €</w:t>
            </w:r>
          </w:p>
        </w:tc>
        <w:tc>
          <w:tcPr>
            <w:vAlign w:val="bottom"/>
          </w:tcPr>
          <w:p w:rsidR="00000000" w:rsidDel="00000000" w:rsidP="00000000" w:rsidRDefault="00000000" w:rsidRPr="00000000" w14:paraId="0000010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w:t>
            </w:r>
          </w:p>
        </w:tc>
        <w:tc>
          <w:tcPr>
            <w:vAlign w:val="bottom"/>
          </w:tcPr>
          <w:p w:rsidR="00000000" w:rsidDel="00000000" w:rsidP="00000000" w:rsidRDefault="00000000" w:rsidRPr="00000000" w14:paraId="0000010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7,4%</w:t>
            </w:r>
          </w:p>
        </w:tc>
        <w:tc>
          <w:tcPr>
            <w:vAlign w:val="bottom"/>
          </w:tcPr>
          <w:p w:rsidR="00000000" w:rsidDel="00000000" w:rsidP="00000000" w:rsidRDefault="00000000" w:rsidRPr="00000000" w14:paraId="0000010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-29,9%</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0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Sevilla</w:t>
            </w:r>
            <w:r w:rsidDel="00000000" w:rsidR="00000000" w:rsidRPr="00000000">
              <w:rPr>
                <w:rtl w:val="0"/>
              </w:rPr>
            </w:r>
          </w:p>
        </w:tc>
        <w:tc>
          <w:tcPr>
            <w:vAlign w:val="bottom"/>
          </w:tcPr>
          <w:p w:rsidR="00000000" w:rsidDel="00000000" w:rsidP="00000000" w:rsidRDefault="00000000" w:rsidRPr="00000000" w14:paraId="0000010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1.975 €</w:t>
            </w:r>
          </w:p>
        </w:tc>
        <w:tc>
          <w:tcPr>
            <w:vAlign w:val="bottom"/>
          </w:tcPr>
          <w:p w:rsidR="00000000" w:rsidDel="00000000" w:rsidP="00000000" w:rsidRDefault="00000000" w:rsidRPr="00000000" w14:paraId="0000011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3,7%</w:t>
            </w:r>
          </w:p>
        </w:tc>
        <w:tc>
          <w:tcPr>
            <w:vAlign w:val="bottom"/>
          </w:tcPr>
          <w:p w:rsidR="00000000" w:rsidDel="00000000" w:rsidP="00000000" w:rsidRDefault="00000000" w:rsidRPr="00000000" w14:paraId="0000011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7,4%</w:t>
            </w:r>
          </w:p>
        </w:tc>
        <w:tc>
          <w:tcPr>
            <w:vAlign w:val="bottom"/>
          </w:tcPr>
          <w:p w:rsidR="00000000" w:rsidDel="00000000" w:rsidP="00000000" w:rsidRDefault="00000000" w:rsidRPr="00000000" w14:paraId="0000011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-25,0%</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1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Tarragona</w:t>
            </w:r>
            <w:r w:rsidDel="00000000" w:rsidR="00000000" w:rsidRPr="00000000">
              <w:rPr>
                <w:rtl w:val="0"/>
              </w:rPr>
            </w:r>
          </w:p>
        </w:tc>
        <w:tc>
          <w:tcPr>
            <w:vAlign w:val="bottom"/>
          </w:tcPr>
          <w:p w:rsidR="00000000" w:rsidDel="00000000" w:rsidP="00000000" w:rsidRDefault="00000000" w:rsidRPr="00000000" w14:paraId="0000011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1.999 €</w:t>
            </w:r>
          </w:p>
        </w:tc>
        <w:tc>
          <w:tcPr>
            <w:vAlign w:val="bottom"/>
          </w:tcPr>
          <w:p w:rsidR="00000000" w:rsidDel="00000000" w:rsidP="00000000" w:rsidRDefault="00000000" w:rsidRPr="00000000" w14:paraId="0000011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w:t>
            </w:r>
          </w:p>
        </w:tc>
        <w:tc>
          <w:tcPr>
            <w:vAlign w:val="bottom"/>
          </w:tcPr>
          <w:p w:rsidR="00000000" w:rsidDel="00000000" w:rsidP="00000000" w:rsidRDefault="00000000" w:rsidRPr="00000000" w14:paraId="0000011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7,0%</w:t>
            </w:r>
          </w:p>
        </w:tc>
        <w:tc>
          <w:tcPr>
            <w:vAlign w:val="bottom"/>
          </w:tcPr>
          <w:p w:rsidR="00000000" w:rsidDel="00000000" w:rsidP="00000000" w:rsidRDefault="00000000" w:rsidRPr="00000000" w14:paraId="0000011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-24,1%</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1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Lleida</w:t>
            </w:r>
            <w:r w:rsidDel="00000000" w:rsidR="00000000" w:rsidRPr="00000000">
              <w:rPr>
                <w:rtl w:val="0"/>
              </w:rPr>
            </w:r>
          </w:p>
        </w:tc>
        <w:tc>
          <w:tcPr>
            <w:vAlign w:val="bottom"/>
          </w:tcPr>
          <w:p w:rsidR="00000000" w:rsidDel="00000000" w:rsidP="00000000" w:rsidRDefault="00000000" w:rsidRPr="00000000" w14:paraId="0000011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1.493 €</w:t>
            </w:r>
          </w:p>
        </w:tc>
        <w:tc>
          <w:tcPr>
            <w:vAlign w:val="bottom"/>
          </w:tcPr>
          <w:p w:rsidR="00000000" w:rsidDel="00000000" w:rsidP="00000000" w:rsidRDefault="00000000" w:rsidRPr="00000000" w14:paraId="0000011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w:t>
            </w:r>
          </w:p>
        </w:tc>
        <w:tc>
          <w:tcPr>
            <w:vAlign w:val="bottom"/>
          </w:tcPr>
          <w:p w:rsidR="00000000" w:rsidDel="00000000" w:rsidP="00000000" w:rsidRDefault="00000000" w:rsidRPr="00000000" w14:paraId="0000011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6,9%</w:t>
            </w:r>
          </w:p>
        </w:tc>
        <w:tc>
          <w:tcPr>
            <w:vAlign w:val="bottom"/>
          </w:tcPr>
          <w:p w:rsidR="00000000" w:rsidDel="00000000" w:rsidP="00000000" w:rsidRDefault="00000000" w:rsidRPr="00000000" w14:paraId="0000011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-43,3%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1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Burgos</w:t>
            </w:r>
            <w:r w:rsidDel="00000000" w:rsidR="00000000" w:rsidRPr="00000000">
              <w:rPr>
                <w:rtl w:val="0"/>
              </w:rPr>
            </w:r>
          </w:p>
        </w:tc>
        <w:tc>
          <w:tcPr>
            <w:vAlign w:val="bottom"/>
          </w:tcPr>
          <w:p w:rsidR="00000000" w:rsidDel="00000000" w:rsidP="00000000" w:rsidRDefault="00000000" w:rsidRPr="00000000" w14:paraId="0000011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1.629 €</w:t>
            </w:r>
          </w:p>
        </w:tc>
        <w:tc>
          <w:tcPr>
            <w:vAlign w:val="bottom"/>
          </w:tcPr>
          <w:p w:rsidR="00000000" w:rsidDel="00000000" w:rsidP="00000000" w:rsidRDefault="00000000" w:rsidRPr="00000000" w14:paraId="0000011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0,4%</w:t>
            </w:r>
          </w:p>
        </w:tc>
        <w:tc>
          <w:tcPr>
            <w:vAlign w:val="bottom"/>
          </w:tcPr>
          <w:p w:rsidR="00000000" w:rsidDel="00000000" w:rsidP="00000000" w:rsidRDefault="00000000" w:rsidRPr="00000000" w14:paraId="0000012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6,9%</w:t>
            </w:r>
          </w:p>
        </w:tc>
        <w:tc>
          <w:tcPr>
            <w:vAlign w:val="bottom"/>
          </w:tcPr>
          <w:p w:rsidR="00000000" w:rsidDel="00000000" w:rsidP="00000000" w:rsidRDefault="00000000" w:rsidRPr="00000000" w14:paraId="0000012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-38,2%</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2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Toledo</w:t>
            </w:r>
            <w:r w:rsidDel="00000000" w:rsidR="00000000" w:rsidRPr="00000000">
              <w:rPr>
                <w:rtl w:val="0"/>
              </w:rPr>
            </w:r>
          </w:p>
        </w:tc>
        <w:tc>
          <w:tcPr>
            <w:vAlign w:val="bottom"/>
          </w:tcPr>
          <w:p w:rsidR="00000000" w:rsidDel="00000000" w:rsidP="00000000" w:rsidRDefault="00000000" w:rsidRPr="00000000" w14:paraId="0000012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1.152 €</w:t>
            </w:r>
          </w:p>
        </w:tc>
        <w:tc>
          <w:tcPr>
            <w:vAlign w:val="bottom"/>
          </w:tcPr>
          <w:p w:rsidR="00000000" w:rsidDel="00000000" w:rsidP="00000000" w:rsidRDefault="00000000" w:rsidRPr="00000000" w14:paraId="0000012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4,6%</w:t>
            </w:r>
          </w:p>
        </w:tc>
        <w:tc>
          <w:tcPr>
            <w:vAlign w:val="bottom"/>
          </w:tcPr>
          <w:p w:rsidR="00000000" w:rsidDel="00000000" w:rsidP="00000000" w:rsidRDefault="00000000" w:rsidRPr="00000000" w14:paraId="0000012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6,8%</w:t>
            </w:r>
          </w:p>
        </w:tc>
        <w:tc>
          <w:tcPr>
            <w:vAlign w:val="bottom"/>
          </w:tcPr>
          <w:p w:rsidR="00000000" w:rsidDel="00000000" w:rsidP="00000000" w:rsidRDefault="00000000" w:rsidRPr="00000000" w14:paraId="0000012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-56,3%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2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León</w:t>
            </w:r>
            <w:r w:rsidDel="00000000" w:rsidR="00000000" w:rsidRPr="00000000">
              <w:rPr>
                <w:rtl w:val="0"/>
              </w:rPr>
            </w:r>
          </w:p>
        </w:tc>
        <w:tc>
          <w:tcPr>
            <w:vAlign w:val="bottom"/>
          </w:tcPr>
          <w:p w:rsidR="00000000" w:rsidDel="00000000" w:rsidP="00000000" w:rsidRDefault="00000000" w:rsidRPr="00000000" w14:paraId="0000012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1.352 €</w:t>
            </w:r>
          </w:p>
        </w:tc>
        <w:tc>
          <w:tcPr>
            <w:vAlign w:val="bottom"/>
          </w:tcPr>
          <w:p w:rsidR="00000000" w:rsidDel="00000000" w:rsidP="00000000" w:rsidRDefault="00000000" w:rsidRPr="00000000" w14:paraId="0000012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0,0%</w:t>
            </w:r>
            <w:r w:rsidDel="00000000" w:rsidR="00000000" w:rsidRPr="00000000">
              <w:rPr>
                <w:rtl w:val="0"/>
              </w:rPr>
            </w:r>
          </w:p>
        </w:tc>
        <w:tc>
          <w:tcPr>
            <w:vAlign w:val="bottom"/>
          </w:tcPr>
          <w:p w:rsidR="00000000" w:rsidDel="00000000" w:rsidP="00000000" w:rsidRDefault="00000000" w:rsidRPr="00000000" w14:paraId="0000012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6,8%</w:t>
            </w:r>
          </w:p>
        </w:tc>
        <w:tc>
          <w:tcPr>
            <w:vAlign w:val="bottom"/>
          </w:tcPr>
          <w:p w:rsidR="00000000" w:rsidDel="00000000" w:rsidP="00000000" w:rsidRDefault="00000000" w:rsidRPr="00000000" w14:paraId="0000012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-48,7%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2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Girona</w:t>
            </w:r>
            <w:r w:rsidDel="00000000" w:rsidR="00000000" w:rsidRPr="00000000">
              <w:rPr>
                <w:rtl w:val="0"/>
              </w:rPr>
            </w:r>
          </w:p>
        </w:tc>
        <w:tc>
          <w:tcPr>
            <w:vAlign w:val="bottom"/>
          </w:tcPr>
          <w:p w:rsidR="00000000" w:rsidDel="00000000" w:rsidP="00000000" w:rsidRDefault="00000000" w:rsidRPr="00000000" w14:paraId="0000012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2.815 €</w:t>
            </w:r>
          </w:p>
        </w:tc>
        <w:tc>
          <w:tcPr>
            <w:vAlign w:val="bottom"/>
          </w:tcPr>
          <w:p w:rsidR="00000000" w:rsidDel="00000000" w:rsidP="00000000" w:rsidRDefault="00000000" w:rsidRPr="00000000" w14:paraId="0000012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2,9%</w:t>
            </w:r>
          </w:p>
        </w:tc>
        <w:tc>
          <w:tcPr>
            <w:vAlign w:val="bottom"/>
          </w:tcPr>
          <w:p w:rsidR="00000000" w:rsidDel="00000000" w:rsidP="00000000" w:rsidRDefault="00000000" w:rsidRPr="00000000" w14:paraId="0000012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6,6%</w:t>
            </w:r>
          </w:p>
        </w:tc>
        <w:tc>
          <w:tcPr>
            <w:vAlign w:val="bottom"/>
          </w:tcPr>
          <w:p w:rsidR="00000000" w:rsidDel="00000000" w:rsidP="00000000" w:rsidRDefault="00000000" w:rsidRPr="00000000" w14:paraId="0000013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6,8%</w:t>
            </w:r>
          </w:p>
        </w:tc>
      </w:tr>
      <w:tr>
        <w:trPr>
          <w:cantSplit w:val="0"/>
          <w:trHeight w:val="280" w:hRule="atLeast"/>
          <w:tblHeader w:val="0"/>
        </w:trPr>
        <w:tc>
          <w:tcPr>
            <w:vAlign w:val="bottom"/>
          </w:tcPr>
          <w:p w:rsidR="00000000" w:rsidDel="00000000" w:rsidP="00000000" w:rsidRDefault="00000000" w:rsidRPr="00000000" w14:paraId="0000013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Teruel</w:t>
            </w:r>
            <w:r w:rsidDel="00000000" w:rsidR="00000000" w:rsidRPr="00000000">
              <w:rPr>
                <w:rtl w:val="0"/>
              </w:rPr>
            </w:r>
          </w:p>
        </w:tc>
        <w:tc>
          <w:tcPr>
            <w:vAlign w:val="bottom"/>
          </w:tcPr>
          <w:p w:rsidR="00000000" w:rsidDel="00000000" w:rsidP="00000000" w:rsidRDefault="00000000" w:rsidRPr="00000000" w14:paraId="0000013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1.272 €</w:t>
            </w:r>
          </w:p>
        </w:tc>
        <w:tc>
          <w:tcPr>
            <w:vAlign w:val="bottom"/>
          </w:tcPr>
          <w:p w:rsidR="00000000" w:rsidDel="00000000" w:rsidP="00000000" w:rsidRDefault="00000000" w:rsidRPr="00000000" w14:paraId="0000013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2,9%</w:t>
            </w:r>
          </w:p>
        </w:tc>
        <w:tc>
          <w:tcPr>
            <w:vAlign w:val="bottom"/>
          </w:tcPr>
          <w:p w:rsidR="00000000" w:rsidDel="00000000" w:rsidP="00000000" w:rsidRDefault="00000000" w:rsidRPr="00000000" w14:paraId="0000013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5,3%</w:t>
            </w:r>
          </w:p>
        </w:tc>
        <w:tc>
          <w:tcPr>
            <w:vAlign w:val="bottom"/>
          </w:tcPr>
          <w:p w:rsidR="00000000" w:rsidDel="00000000" w:rsidP="00000000" w:rsidRDefault="00000000" w:rsidRPr="00000000" w14:paraId="0000013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-51,7%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3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Córdoba</w:t>
            </w:r>
            <w:r w:rsidDel="00000000" w:rsidR="00000000" w:rsidRPr="00000000">
              <w:rPr>
                <w:rtl w:val="0"/>
              </w:rPr>
            </w:r>
          </w:p>
        </w:tc>
        <w:tc>
          <w:tcPr>
            <w:vAlign w:val="bottom"/>
          </w:tcPr>
          <w:p w:rsidR="00000000" w:rsidDel="00000000" w:rsidP="00000000" w:rsidRDefault="00000000" w:rsidRPr="00000000" w14:paraId="0000013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1.537 €</w:t>
            </w:r>
          </w:p>
        </w:tc>
        <w:tc>
          <w:tcPr>
            <w:vAlign w:val="bottom"/>
          </w:tcPr>
          <w:p w:rsidR="00000000" w:rsidDel="00000000" w:rsidP="00000000" w:rsidRDefault="00000000" w:rsidRPr="00000000" w14:paraId="0000013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3,0%</w:t>
            </w:r>
          </w:p>
        </w:tc>
        <w:tc>
          <w:tcPr>
            <w:vAlign w:val="bottom"/>
          </w:tcPr>
          <w:p w:rsidR="00000000" w:rsidDel="00000000" w:rsidP="00000000" w:rsidRDefault="00000000" w:rsidRPr="00000000" w14:paraId="0000013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4,5%</w:t>
            </w:r>
          </w:p>
        </w:tc>
        <w:tc>
          <w:tcPr>
            <w:vAlign w:val="bottom"/>
          </w:tcPr>
          <w:p w:rsidR="00000000" w:rsidDel="00000000" w:rsidP="00000000" w:rsidRDefault="00000000" w:rsidRPr="00000000" w14:paraId="0000013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-41,7%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3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Araba - Álava</w:t>
            </w:r>
            <w:r w:rsidDel="00000000" w:rsidR="00000000" w:rsidRPr="00000000">
              <w:rPr>
                <w:rtl w:val="0"/>
              </w:rPr>
            </w:r>
          </w:p>
        </w:tc>
        <w:tc>
          <w:tcPr>
            <w:vAlign w:val="bottom"/>
          </w:tcPr>
          <w:p w:rsidR="00000000" w:rsidDel="00000000" w:rsidP="00000000" w:rsidRDefault="00000000" w:rsidRPr="00000000" w14:paraId="0000013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2.779 €</w:t>
            </w:r>
          </w:p>
        </w:tc>
        <w:tc>
          <w:tcPr>
            <w:vAlign w:val="bottom"/>
          </w:tcPr>
          <w:p w:rsidR="00000000" w:rsidDel="00000000" w:rsidP="00000000" w:rsidRDefault="00000000" w:rsidRPr="00000000" w14:paraId="0000013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w:t>
            </w:r>
          </w:p>
        </w:tc>
        <w:tc>
          <w:tcPr>
            <w:vAlign w:val="bottom"/>
          </w:tcPr>
          <w:p w:rsidR="00000000" w:rsidDel="00000000" w:rsidP="00000000" w:rsidRDefault="00000000" w:rsidRPr="00000000" w14:paraId="0000013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4,4%</w:t>
            </w:r>
          </w:p>
        </w:tc>
        <w:tc>
          <w:tcPr>
            <w:vAlign w:val="bottom"/>
          </w:tcPr>
          <w:p w:rsidR="00000000" w:rsidDel="00000000" w:rsidP="00000000" w:rsidRDefault="00000000" w:rsidRPr="00000000" w14:paraId="0000013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5,5%</w:t>
            </w:r>
          </w:p>
        </w:tc>
      </w:tr>
      <w:tr>
        <w:trPr>
          <w:cantSplit w:val="0"/>
          <w:trHeight w:val="280" w:hRule="atLeast"/>
          <w:tblHeader w:val="0"/>
        </w:trPr>
        <w:tc>
          <w:tcPr>
            <w:vAlign w:val="bottom"/>
          </w:tcPr>
          <w:p w:rsidR="00000000" w:rsidDel="00000000" w:rsidP="00000000" w:rsidRDefault="00000000" w:rsidRPr="00000000" w14:paraId="0000014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Zaragoza</w:t>
            </w:r>
            <w:r w:rsidDel="00000000" w:rsidR="00000000" w:rsidRPr="00000000">
              <w:rPr>
                <w:rtl w:val="0"/>
              </w:rPr>
            </w:r>
          </w:p>
        </w:tc>
        <w:tc>
          <w:tcPr>
            <w:vAlign w:val="bottom"/>
          </w:tcPr>
          <w:p w:rsidR="00000000" w:rsidDel="00000000" w:rsidP="00000000" w:rsidRDefault="00000000" w:rsidRPr="00000000" w14:paraId="0000014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1.877 €</w:t>
            </w:r>
          </w:p>
        </w:tc>
        <w:tc>
          <w:tcPr>
            <w:vAlign w:val="bottom"/>
          </w:tcPr>
          <w:p w:rsidR="00000000" w:rsidDel="00000000" w:rsidP="00000000" w:rsidRDefault="00000000" w:rsidRPr="00000000" w14:paraId="0000014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2,8%</w:t>
            </w:r>
          </w:p>
        </w:tc>
        <w:tc>
          <w:tcPr>
            <w:vAlign w:val="bottom"/>
          </w:tcPr>
          <w:p w:rsidR="00000000" w:rsidDel="00000000" w:rsidP="00000000" w:rsidRDefault="00000000" w:rsidRPr="00000000" w14:paraId="0000014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4,1%</w:t>
            </w:r>
          </w:p>
        </w:tc>
        <w:tc>
          <w:tcPr>
            <w:vAlign w:val="bottom"/>
          </w:tcPr>
          <w:p w:rsidR="00000000" w:rsidDel="00000000" w:rsidP="00000000" w:rsidRDefault="00000000" w:rsidRPr="00000000" w14:paraId="0000014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-28,7%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4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Soria</w:t>
            </w:r>
            <w:r w:rsidDel="00000000" w:rsidR="00000000" w:rsidRPr="00000000">
              <w:rPr>
                <w:rtl w:val="0"/>
              </w:rPr>
            </w:r>
          </w:p>
        </w:tc>
        <w:tc>
          <w:tcPr>
            <w:vAlign w:val="bottom"/>
          </w:tcPr>
          <w:p w:rsidR="00000000" w:rsidDel="00000000" w:rsidP="00000000" w:rsidRDefault="00000000" w:rsidRPr="00000000" w14:paraId="0000014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1.595 €</w:t>
            </w:r>
          </w:p>
        </w:tc>
        <w:tc>
          <w:tcPr>
            <w:vAlign w:val="bottom"/>
          </w:tcPr>
          <w:p w:rsidR="00000000" w:rsidDel="00000000" w:rsidP="00000000" w:rsidRDefault="00000000" w:rsidRPr="00000000" w14:paraId="0000014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4,9%</w:t>
            </w:r>
          </w:p>
        </w:tc>
        <w:tc>
          <w:tcPr>
            <w:vAlign w:val="bottom"/>
          </w:tcPr>
          <w:p w:rsidR="00000000" w:rsidDel="00000000" w:rsidP="00000000" w:rsidRDefault="00000000" w:rsidRPr="00000000" w14:paraId="0000014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3,9%</w:t>
            </w:r>
          </w:p>
        </w:tc>
        <w:tc>
          <w:tcPr>
            <w:vAlign w:val="bottom"/>
          </w:tcPr>
          <w:p w:rsidR="00000000" w:rsidDel="00000000" w:rsidP="00000000" w:rsidRDefault="00000000" w:rsidRPr="00000000" w14:paraId="0000014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-39,5%</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4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 Rioja</w:t>
            </w:r>
            <w:r w:rsidDel="00000000" w:rsidR="00000000" w:rsidRPr="00000000">
              <w:rPr>
                <w:rtl w:val="0"/>
              </w:rPr>
            </w:r>
          </w:p>
        </w:tc>
        <w:tc>
          <w:tcPr>
            <w:vAlign w:val="bottom"/>
          </w:tcPr>
          <w:p w:rsidR="00000000" w:rsidDel="00000000" w:rsidP="00000000" w:rsidRDefault="00000000" w:rsidRPr="00000000" w14:paraId="0000014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1.720 €</w:t>
            </w:r>
          </w:p>
        </w:tc>
        <w:tc>
          <w:tcPr>
            <w:vAlign w:val="bottom"/>
          </w:tcPr>
          <w:p w:rsidR="00000000" w:rsidDel="00000000" w:rsidP="00000000" w:rsidRDefault="00000000" w:rsidRPr="00000000" w14:paraId="0000014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w:t>
            </w:r>
          </w:p>
        </w:tc>
        <w:tc>
          <w:tcPr>
            <w:vAlign w:val="bottom"/>
          </w:tcPr>
          <w:p w:rsidR="00000000" w:rsidDel="00000000" w:rsidP="00000000" w:rsidRDefault="00000000" w:rsidRPr="00000000" w14:paraId="0000014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3,7%</w:t>
            </w:r>
          </w:p>
        </w:tc>
        <w:tc>
          <w:tcPr>
            <w:vAlign w:val="bottom"/>
          </w:tcPr>
          <w:p w:rsidR="00000000" w:rsidDel="00000000" w:rsidP="00000000" w:rsidRDefault="00000000" w:rsidRPr="00000000" w14:paraId="0000014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-34,7%</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4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Segovia</w:t>
            </w:r>
            <w:r w:rsidDel="00000000" w:rsidR="00000000" w:rsidRPr="00000000">
              <w:rPr>
                <w:rtl w:val="0"/>
              </w:rPr>
            </w:r>
          </w:p>
        </w:tc>
        <w:tc>
          <w:tcPr>
            <w:vAlign w:val="bottom"/>
          </w:tcPr>
          <w:p w:rsidR="00000000" w:rsidDel="00000000" w:rsidP="00000000" w:rsidRDefault="00000000" w:rsidRPr="00000000" w14:paraId="0000015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1.633 €</w:t>
            </w:r>
          </w:p>
        </w:tc>
        <w:tc>
          <w:tcPr>
            <w:vAlign w:val="bottom"/>
          </w:tcPr>
          <w:p w:rsidR="00000000" w:rsidDel="00000000" w:rsidP="00000000" w:rsidRDefault="00000000" w:rsidRPr="00000000" w14:paraId="0000015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0,2%</w:t>
            </w:r>
          </w:p>
        </w:tc>
        <w:tc>
          <w:tcPr>
            <w:vAlign w:val="bottom"/>
          </w:tcPr>
          <w:p w:rsidR="00000000" w:rsidDel="00000000" w:rsidP="00000000" w:rsidRDefault="00000000" w:rsidRPr="00000000" w14:paraId="0000015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3,0%</w:t>
            </w:r>
          </w:p>
        </w:tc>
        <w:tc>
          <w:tcPr>
            <w:vAlign w:val="bottom"/>
          </w:tcPr>
          <w:p w:rsidR="00000000" w:rsidDel="00000000" w:rsidP="00000000" w:rsidRDefault="00000000" w:rsidRPr="00000000" w14:paraId="0000015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-38,0%</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5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Badajoz</w:t>
            </w:r>
            <w:r w:rsidDel="00000000" w:rsidR="00000000" w:rsidRPr="00000000">
              <w:rPr>
                <w:rtl w:val="0"/>
              </w:rPr>
            </w:r>
          </w:p>
        </w:tc>
        <w:tc>
          <w:tcPr>
            <w:vAlign w:val="bottom"/>
          </w:tcPr>
          <w:p w:rsidR="00000000" w:rsidDel="00000000" w:rsidP="00000000" w:rsidRDefault="00000000" w:rsidRPr="00000000" w14:paraId="0000015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1.253 €</w:t>
            </w:r>
          </w:p>
        </w:tc>
        <w:tc>
          <w:tcPr>
            <w:vAlign w:val="bottom"/>
          </w:tcPr>
          <w:p w:rsidR="00000000" w:rsidDel="00000000" w:rsidP="00000000" w:rsidRDefault="00000000" w:rsidRPr="00000000" w14:paraId="0000015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4,2%</w:t>
            </w:r>
          </w:p>
        </w:tc>
        <w:tc>
          <w:tcPr>
            <w:vAlign w:val="bottom"/>
          </w:tcPr>
          <w:p w:rsidR="00000000" w:rsidDel="00000000" w:rsidP="00000000" w:rsidRDefault="00000000" w:rsidRPr="00000000" w14:paraId="0000015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2,9%</w:t>
            </w:r>
          </w:p>
        </w:tc>
        <w:tc>
          <w:tcPr>
            <w:vAlign w:val="bottom"/>
          </w:tcPr>
          <w:p w:rsidR="00000000" w:rsidDel="00000000" w:rsidP="00000000" w:rsidRDefault="00000000" w:rsidRPr="00000000" w14:paraId="0000015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-52,4%</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5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Zamora</w:t>
            </w:r>
            <w:r w:rsidDel="00000000" w:rsidR="00000000" w:rsidRPr="00000000">
              <w:rPr>
                <w:rtl w:val="0"/>
              </w:rPr>
            </w:r>
          </w:p>
        </w:tc>
        <w:tc>
          <w:tcPr>
            <w:vAlign w:val="bottom"/>
          </w:tcPr>
          <w:p w:rsidR="00000000" w:rsidDel="00000000" w:rsidP="00000000" w:rsidRDefault="00000000" w:rsidRPr="00000000" w14:paraId="0000015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1.203 €</w:t>
            </w:r>
          </w:p>
        </w:tc>
        <w:tc>
          <w:tcPr>
            <w:vAlign w:val="bottom"/>
          </w:tcPr>
          <w:p w:rsidR="00000000" w:rsidDel="00000000" w:rsidP="00000000" w:rsidRDefault="00000000" w:rsidRPr="00000000" w14:paraId="0000015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0,8%</w:t>
            </w:r>
          </w:p>
        </w:tc>
        <w:tc>
          <w:tcPr>
            <w:vAlign w:val="bottom"/>
          </w:tcPr>
          <w:p w:rsidR="00000000" w:rsidDel="00000000" w:rsidP="00000000" w:rsidRDefault="00000000" w:rsidRPr="00000000" w14:paraId="0000015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2,8%</w:t>
            </w:r>
          </w:p>
        </w:tc>
        <w:tc>
          <w:tcPr>
            <w:vAlign w:val="bottom"/>
          </w:tcPr>
          <w:p w:rsidR="00000000" w:rsidDel="00000000" w:rsidP="00000000" w:rsidRDefault="00000000" w:rsidRPr="00000000" w14:paraId="0000015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-54,4%</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5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Cáceres</w:t>
            </w:r>
            <w:r w:rsidDel="00000000" w:rsidR="00000000" w:rsidRPr="00000000">
              <w:rPr>
                <w:rtl w:val="0"/>
              </w:rPr>
            </w:r>
          </w:p>
        </w:tc>
        <w:tc>
          <w:tcPr>
            <w:vAlign w:val="bottom"/>
          </w:tcPr>
          <w:p w:rsidR="00000000" w:rsidDel="00000000" w:rsidP="00000000" w:rsidRDefault="00000000" w:rsidRPr="00000000" w14:paraId="0000015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1.264 €</w:t>
            </w:r>
          </w:p>
        </w:tc>
        <w:tc>
          <w:tcPr>
            <w:vAlign w:val="bottom"/>
          </w:tcPr>
          <w:p w:rsidR="00000000" w:rsidDel="00000000" w:rsidP="00000000" w:rsidRDefault="00000000" w:rsidRPr="00000000" w14:paraId="0000016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w:t>
            </w:r>
          </w:p>
        </w:tc>
        <w:tc>
          <w:tcPr>
            <w:vAlign w:val="bottom"/>
          </w:tcPr>
          <w:p w:rsidR="00000000" w:rsidDel="00000000" w:rsidP="00000000" w:rsidRDefault="00000000" w:rsidRPr="00000000" w14:paraId="0000016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2,2%</w:t>
            </w:r>
          </w:p>
        </w:tc>
        <w:tc>
          <w:tcPr>
            <w:vAlign w:val="bottom"/>
          </w:tcPr>
          <w:p w:rsidR="00000000" w:rsidDel="00000000" w:rsidP="00000000" w:rsidRDefault="00000000" w:rsidRPr="00000000" w14:paraId="0000016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-52,0%</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6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Albacete</w:t>
            </w:r>
            <w:r w:rsidDel="00000000" w:rsidR="00000000" w:rsidRPr="00000000">
              <w:rPr>
                <w:rtl w:val="0"/>
              </w:rPr>
            </w:r>
          </w:p>
        </w:tc>
        <w:tc>
          <w:tcPr>
            <w:vAlign w:val="bottom"/>
          </w:tcPr>
          <w:p w:rsidR="00000000" w:rsidDel="00000000" w:rsidP="00000000" w:rsidRDefault="00000000" w:rsidRPr="00000000" w14:paraId="0000016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1.468 €</w:t>
            </w:r>
          </w:p>
        </w:tc>
        <w:tc>
          <w:tcPr>
            <w:vAlign w:val="bottom"/>
          </w:tcPr>
          <w:p w:rsidR="00000000" w:rsidDel="00000000" w:rsidP="00000000" w:rsidRDefault="00000000" w:rsidRPr="00000000" w14:paraId="00000165">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2,9%</w:t>
            </w:r>
            <w:r w:rsidDel="00000000" w:rsidR="00000000" w:rsidRPr="00000000">
              <w:rPr>
                <w:rtl w:val="0"/>
              </w:rPr>
            </w:r>
          </w:p>
        </w:tc>
        <w:tc>
          <w:tcPr>
            <w:vAlign w:val="bottom"/>
          </w:tcPr>
          <w:p w:rsidR="00000000" w:rsidDel="00000000" w:rsidP="00000000" w:rsidRDefault="00000000" w:rsidRPr="00000000" w14:paraId="0000016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2,2%</w:t>
            </w:r>
          </w:p>
        </w:tc>
        <w:tc>
          <w:tcPr>
            <w:vAlign w:val="bottom"/>
          </w:tcPr>
          <w:p w:rsidR="00000000" w:rsidDel="00000000" w:rsidP="00000000" w:rsidRDefault="00000000" w:rsidRPr="00000000" w14:paraId="0000016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-44,3%</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6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Real</w:t>
            </w:r>
            <w:r w:rsidDel="00000000" w:rsidR="00000000" w:rsidRPr="00000000">
              <w:rPr>
                <w:rtl w:val="0"/>
              </w:rPr>
            </w:r>
          </w:p>
        </w:tc>
        <w:tc>
          <w:tcPr>
            <w:vAlign w:val="bottom"/>
          </w:tcPr>
          <w:p w:rsidR="00000000" w:rsidDel="00000000" w:rsidP="00000000" w:rsidRDefault="00000000" w:rsidRPr="00000000" w14:paraId="0000016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963 €</w:t>
            </w:r>
          </w:p>
        </w:tc>
        <w:tc>
          <w:tcPr>
            <w:vAlign w:val="bottom"/>
          </w:tcPr>
          <w:p w:rsidR="00000000" w:rsidDel="00000000" w:rsidP="00000000" w:rsidRDefault="00000000" w:rsidRPr="00000000" w14:paraId="0000016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-0,5%</w:t>
            </w:r>
            <w:r w:rsidDel="00000000" w:rsidR="00000000" w:rsidRPr="00000000">
              <w:rPr>
                <w:rtl w:val="0"/>
              </w:rPr>
            </w:r>
          </w:p>
        </w:tc>
        <w:tc>
          <w:tcPr>
            <w:vAlign w:val="bottom"/>
          </w:tcPr>
          <w:p w:rsidR="00000000" w:rsidDel="00000000" w:rsidP="00000000" w:rsidRDefault="00000000" w:rsidRPr="00000000" w14:paraId="0000016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0,6%</w:t>
            </w:r>
          </w:p>
        </w:tc>
        <w:tc>
          <w:tcPr>
            <w:vAlign w:val="bottom"/>
          </w:tcPr>
          <w:p w:rsidR="00000000" w:rsidDel="00000000" w:rsidP="00000000" w:rsidRDefault="00000000" w:rsidRPr="00000000" w14:paraId="0000016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-63,4%</w:t>
            </w:r>
            <w:r w:rsidDel="00000000" w:rsidR="00000000" w:rsidRPr="00000000">
              <w:rPr>
                <w:rtl w:val="0"/>
              </w:rPr>
            </w:r>
          </w:p>
        </w:tc>
      </w:tr>
      <w:tr>
        <w:trPr>
          <w:cantSplit w:val="0"/>
          <w:trHeight w:val="280" w:hRule="atLeast"/>
          <w:tblHeader w:val="0"/>
        </w:trPr>
        <w:tc>
          <w:tcPr>
            <w:vAlign w:val="bottom"/>
          </w:tcPr>
          <w:p w:rsidR="00000000" w:rsidDel="00000000" w:rsidP="00000000" w:rsidRDefault="00000000" w:rsidRPr="00000000" w14:paraId="0000016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16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996 €</w:t>
            </w:r>
          </w:p>
        </w:tc>
        <w:tc>
          <w:tcPr>
            <w:vAlign w:val="bottom"/>
          </w:tcPr>
          <w:p w:rsidR="00000000" w:rsidDel="00000000" w:rsidP="00000000" w:rsidRDefault="00000000" w:rsidRPr="00000000" w14:paraId="0000016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-0,7%</w:t>
            </w:r>
            <w:r w:rsidDel="00000000" w:rsidR="00000000" w:rsidRPr="00000000">
              <w:rPr>
                <w:rtl w:val="0"/>
              </w:rPr>
            </w:r>
          </w:p>
        </w:tc>
        <w:tc>
          <w:tcPr>
            <w:vAlign w:val="bottom"/>
          </w:tcPr>
          <w:p w:rsidR="00000000" w:rsidDel="00000000" w:rsidP="00000000" w:rsidRDefault="00000000" w:rsidRPr="00000000" w14:paraId="0000017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-0,8%</w:t>
            </w:r>
            <w:r w:rsidDel="00000000" w:rsidR="00000000" w:rsidRPr="00000000">
              <w:rPr>
                <w:rtl w:val="0"/>
              </w:rPr>
            </w:r>
          </w:p>
        </w:tc>
        <w:tc>
          <w:tcPr>
            <w:vAlign w:val="bottom"/>
          </w:tcPr>
          <w:p w:rsidR="00000000" w:rsidDel="00000000" w:rsidP="00000000" w:rsidRDefault="00000000" w:rsidRPr="00000000" w14:paraId="00000171">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-62,2%</w:t>
            </w:r>
          </w:p>
        </w:tc>
      </w:tr>
      <w:tr>
        <w:trPr>
          <w:cantSplit w:val="0"/>
          <w:trHeight w:val="280" w:hRule="atLeast"/>
          <w:tblHeader w:val="0"/>
        </w:trPr>
        <w:tc>
          <w:tcPr>
            <w:vAlign w:val="bottom"/>
          </w:tcPr>
          <w:p w:rsidR="00000000" w:rsidDel="00000000" w:rsidP="00000000" w:rsidRDefault="00000000" w:rsidRPr="00000000" w14:paraId="0000017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Ávila</w:t>
            </w:r>
            <w:r w:rsidDel="00000000" w:rsidR="00000000" w:rsidRPr="00000000">
              <w:rPr>
                <w:rtl w:val="0"/>
              </w:rPr>
            </w:r>
          </w:p>
        </w:tc>
        <w:tc>
          <w:tcPr>
            <w:vAlign w:val="bottom"/>
          </w:tcPr>
          <w:p w:rsidR="00000000" w:rsidDel="00000000" w:rsidP="00000000" w:rsidRDefault="00000000" w:rsidRPr="00000000" w14:paraId="00000173">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1.105 €</w:t>
            </w:r>
            <w:r w:rsidDel="00000000" w:rsidR="00000000" w:rsidRPr="00000000">
              <w:rPr>
                <w:rtl w:val="0"/>
              </w:rPr>
            </w:r>
          </w:p>
        </w:tc>
        <w:tc>
          <w:tcPr>
            <w:vAlign w:val="bottom"/>
          </w:tcPr>
          <w:p w:rsidR="00000000" w:rsidDel="00000000" w:rsidP="00000000" w:rsidRDefault="00000000" w:rsidRPr="00000000" w14:paraId="00000174">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4,5%</w:t>
            </w:r>
            <w:r w:rsidDel="00000000" w:rsidR="00000000" w:rsidRPr="00000000">
              <w:rPr>
                <w:rtl w:val="0"/>
              </w:rPr>
            </w:r>
          </w:p>
        </w:tc>
        <w:tc>
          <w:tcPr>
            <w:vAlign w:val="bottom"/>
          </w:tcPr>
          <w:p w:rsidR="00000000" w:rsidDel="00000000" w:rsidP="00000000" w:rsidRDefault="00000000" w:rsidRPr="00000000" w14:paraId="0000017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-0,9%</w:t>
            </w:r>
            <w:r w:rsidDel="00000000" w:rsidR="00000000" w:rsidRPr="00000000">
              <w:rPr>
                <w:rtl w:val="0"/>
              </w:rPr>
            </w:r>
          </w:p>
        </w:tc>
        <w:tc>
          <w:tcPr>
            <w:vAlign w:val="bottom"/>
          </w:tcPr>
          <w:p w:rsidR="00000000" w:rsidDel="00000000" w:rsidP="00000000" w:rsidRDefault="00000000" w:rsidRPr="00000000" w14:paraId="00000176">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-58,1%</w:t>
            </w:r>
          </w:p>
        </w:tc>
      </w:tr>
      <w:tr>
        <w:trPr>
          <w:cantSplit w:val="0"/>
          <w:trHeight w:val="280" w:hRule="atLeast"/>
          <w:tblHeader w:val="0"/>
        </w:trPr>
        <w:tc>
          <w:tcPr>
            <w:vAlign w:val="bottom"/>
          </w:tcPr>
          <w:p w:rsidR="00000000" w:rsidDel="00000000" w:rsidP="00000000" w:rsidRDefault="00000000" w:rsidRPr="00000000" w14:paraId="0000017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Navarra</w:t>
            </w:r>
            <w:r w:rsidDel="00000000" w:rsidR="00000000" w:rsidRPr="00000000">
              <w:rPr>
                <w:rtl w:val="0"/>
              </w:rPr>
            </w:r>
          </w:p>
        </w:tc>
        <w:tc>
          <w:tcPr>
            <w:vAlign w:val="bottom"/>
          </w:tcPr>
          <w:p w:rsidR="00000000" w:rsidDel="00000000" w:rsidP="00000000" w:rsidRDefault="00000000" w:rsidRPr="00000000" w14:paraId="00000178">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2.064 €</w:t>
            </w:r>
            <w:r w:rsidDel="00000000" w:rsidR="00000000" w:rsidRPr="00000000">
              <w:rPr>
                <w:rtl w:val="0"/>
              </w:rPr>
            </w:r>
          </w:p>
        </w:tc>
        <w:tc>
          <w:tcPr>
            <w:vAlign w:val="bottom"/>
          </w:tcPr>
          <w:p w:rsidR="00000000" w:rsidDel="00000000" w:rsidP="00000000" w:rsidRDefault="00000000" w:rsidRPr="00000000" w14:paraId="00000179">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-0,4%</w:t>
            </w:r>
          </w:p>
        </w:tc>
        <w:tc>
          <w:tcPr>
            <w:vAlign w:val="bottom"/>
          </w:tcPr>
          <w:p w:rsidR="00000000" w:rsidDel="00000000" w:rsidP="00000000" w:rsidRDefault="00000000" w:rsidRPr="00000000" w14:paraId="0000017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-1,4%</w:t>
            </w:r>
            <w:r w:rsidDel="00000000" w:rsidR="00000000" w:rsidRPr="00000000">
              <w:rPr>
                <w:rtl w:val="0"/>
              </w:rPr>
            </w:r>
          </w:p>
        </w:tc>
        <w:tc>
          <w:tcPr>
            <w:vAlign w:val="bottom"/>
          </w:tcPr>
          <w:p w:rsidR="00000000" w:rsidDel="00000000" w:rsidP="00000000" w:rsidRDefault="00000000" w:rsidRPr="00000000" w14:paraId="0000017B">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-21,7%</w:t>
            </w:r>
          </w:p>
        </w:tc>
      </w:tr>
    </w:tbl>
    <w:p w:rsidR="00000000" w:rsidDel="00000000" w:rsidP="00000000" w:rsidRDefault="00000000" w:rsidRPr="00000000" w14:paraId="0000017C">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Capitales de provincias</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49 de las 50 capitales de provincia con variación interanual sube el precio en mayo respecto al año anterior, de los cuales </w:t>
      </w:r>
      <w:r w:rsidDel="00000000" w:rsidR="00000000" w:rsidRPr="00000000">
        <w:rPr>
          <w:rFonts w:ascii="Open Sans" w:cs="Open Sans" w:eastAsia="Open Sans" w:hAnsi="Open Sans"/>
          <w:b w:val="1"/>
          <w:color w:val="000000"/>
          <w:rtl w:val="0"/>
        </w:rPr>
        <w:t xml:space="preserve">30 de las capitales tienen un incremento superior al 10% y son: Castellón de la Plana / Castelló de la Plana (20,8%), León capital (19,9%), Santa Cruz de Tenerife capital (19,9%), Oviedo (18,5%), Albacete capital (17,4%), </w:t>
      </w:r>
      <w:r w:rsidDel="00000000" w:rsidR="00000000" w:rsidRPr="00000000">
        <w:rPr>
          <w:rFonts w:ascii="Open Sans" w:cs="Open Sans" w:eastAsia="Open Sans" w:hAnsi="Open Sans"/>
          <w:color w:val="000000"/>
          <w:rtl w:val="0"/>
        </w:rPr>
        <w:t xml:space="preserve">Cuenca capital (17,2%), Teruel capital (16,7%), Alicante / Alacant (16,5%), Granada capital (15,2%), Madrid capital (15,1%), Valencia capital (15,1%), Valladolid capital (15,0%), Palencia capital (14,9%), Salamanca capital (14,9%), Palma de Mallorca (14,8%), Lleida capital (14,4%), Burgos capital (13,7%), Las Palmas de Gran Canaria (13,6%), A Coruña capital (13,6%), Lugo capital (13,6%), Ourense capital (13,2%), Almería capital (11,9%), Zaragoza capital (11,5%), Badajoz capital (11,4%), Córdoba capital (11,4%), Guadalajara capital (10,7%), Cáceres capital (10,7%), Málaga capital (10,5%), Barcelona capital (10,4%) y Segovia capital (10,0%). Por otro lado, la única capital con descenso interanual es Girona (-0,2%).</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Respecto a los precios, </w:t>
      </w:r>
      <w:r w:rsidDel="00000000" w:rsidR="00000000" w:rsidRPr="00000000">
        <w:rPr>
          <w:rFonts w:ascii="Open Sans" w:cs="Open Sans" w:eastAsia="Open Sans" w:hAnsi="Open Sans"/>
          <w:b w:val="1"/>
          <w:color w:val="000000"/>
          <w:rtl w:val="0"/>
        </w:rPr>
        <w:t xml:space="preserve">la capital de provincia más cara es Donostia - San Sebastián con 6.784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seguida de Madrid capital con 6.011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Barcelona capital con 5.083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Palma de Mallorca con 4.957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w:t>
      </w:r>
      <w:r w:rsidDel="00000000" w:rsidR="00000000" w:rsidRPr="00000000">
        <w:rPr>
          <w:rFonts w:ascii="Open Sans" w:cs="Open Sans" w:eastAsia="Open Sans" w:hAnsi="Open Sans"/>
          <w:color w:val="000000"/>
          <w:rtl w:val="0"/>
        </w:rPr>
        <w:t xml:space="preserve"> Málaga capital con 4.081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Bilbao con 3.816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Valencia capital con 3.289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Cádiz capital con 3.193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A Coruña capital con 3.183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Pamplona / Iruña con 3.124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y Vitoria – Gasteiz con 3.015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toda ellas por encima de los 3.000 euros el metro cuadrado.</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ffffff" w:val="clea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Capitales de provincia de mayor a menor incremento interanual</w:t>
      </w:r>
    </w:p>
    <w:tbl>
      <w:tblPr>
        <w:tblStyle w:val="Table3"/>
        <w:tblW w:w="9063.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560"/>
        <w:gridCol w:w="2268"/>
        <w:gridCol w:w="1984"/>
        <w:gridCol w:w="1559"/>
        <w:gridCol w:w="1692"/>
        <w:tblGridChange w:id="0">
          <w:tblGrid>
            <w:gridCol w:w="1560"/>
            <w:gridCol w:w="2268"/>
            <w:gridCol w:w="1984"/>
            <w:gridCol w:w="1559"/>
            <w:gridCol w:w="1692"/>
          </w:tblGrid>
        </w:tblGridChange>
      </w:tblGrid>
      <w:tr>
        <w:trPr>
          <w:cantSplit w:val="0"/>
          <w:trHeight w:val="618" w:hRule="atLeast"/>
          <w:tblHeader w:val="0"/>
        </w:trPr>
        <w:tc>
          <w:tcPr>
            <w:vAlign w:val="center"/>
          </w:tcPr>
          <w:p w:rsidR="00000000" w:rsidDel="00000000" w:rsidP="00000000" w:rsidRDefault="00000000" w:rsidRPr="00000000" w14:paraId="0000018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18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182">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Mayo 2025</w:t>
            </w:r>
            <w:r w:rsidDel="00000000" w:rsidR="00000000" w:rsidRPr="00000000">
              <w:rPr>
                <w:rtl w:val="0"/>
              </w:rPr>
            </w:r>
          </w:p>
          <w:p w:rsidR="00000000" w:rsidDel="00000000" w:rsidP="00000000" w:rsidRDefault="00000000" w:rsidRPr="00000000" w14:paraId="00000183">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(euros/m²)</w:t>
            </w:r>
            <w:r w:rsidDel="00000000" w:rsidR="00000000" w:rsidRPr="00000000">
              <w:rPr>
                <w:rtl w:val="0"/>
              </w:rPr>
            </w:r>
          </w:p>
        </w:tc>
        <w:tc>
          <w:tcPr>
            <w:vAlign w:val="center"/>
          </w:tcPr>
          <w:p w:rsidR="00000000" w:rsidDel="00000000" w:rsidP="00000000" w:rsidRDefault="00000000" w:rsidRPr="00000000" w14:paraId="00000184">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185">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18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Castellón</w:t>
            </w:r>
            <w:r w:rsidDel="00000000" w:rsidR="00000000" w:rsidRPr="00000000">
              <w:rPr>
                <w:rtl w:val="0"/>
              </w:rPr>
            </w:r>
          </w:p>
        </w:tc>
        <w:tc>
          <w:tcPr>
            <w:vAlign w:val="bottom"/>
          </w:tcPr>
          <w:p w:rsidR="00000000" w:rsidDel="00000000" w:rsidP="00000000" w:rsidRDefault="00000000" w:rsidRPr="00000000" w14:paraId="0000018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Castellón de la Plana / Castelló de la Plana</w:t>
            </w:r>
            <w:r w:rsidDel="00000000" w:rsidR="00000000" w:rsidRPr="00000000">
              <w:rPr>
                <w:rtl w:val="0"/>
              </w:rPr>
            </w:r>
          </w:p>
        </w:tc>
        <w:tc>
          <w:tcPr>
            <w:vAlign w:val="bottom"/>
          </w:tcPr>
          <w:p w:rsidR="00000000" w:rsidDel="00000000" w:rsidP="00000000" w:rsidRDefault="00000000" w:rsidRPr="00000000" w14:paraId="0000018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1.765 €</w:t>
            </w:r>
            <w:r w:rsidDel="00000000" w:rsidR="00000000" w:rsidRPr="00000000">
              <w:rPr>
                <w:rtl w:val="0"/>
              </w:rPr>
            </w:r>
          </w:p>
        </w:tc>
        <w:tc>
          <w:tcPr>
            <w:vAlign w:val="bottom"/>
          </w:tcPr>
          <w:p w:rsidR="00000000" w:rsidDel="00000000" w:rsidP="00000000" w:rsidRDefault="00000000" w:rsidRPr="00000000" w14:paraId="0000018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3,7%</w:t>
            </w:r>
          </w:p>
        </w:tc>
        <w:tc>
          <w:tcPr>
            <w:vAlign w:val="bottom"/>
          </w:tcPr>
          <w:p w:rsidR="00000000" w:rsidDel="00000000" w:rsidP="00000000" w:rsidRDefault="00000000" w:rsidRPr="00000000" w14:paraId="0000018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20,8%</w:t>
            </w:r>
          </w:p>
        </w:tc>
      </w:tr>
      <w:tr>
        <w:trPr>
          <w:cantSplit w:val="0"/>
          <w:trHeight w:val="212" w:hRule="atLeast"/>
          <w:tblHeader w:val="0"/>
        </w:trPr>
        <w:tc>
          <w:tcPr>
            <w:vAlign w:val="bottom"/>
          </w:tcPr>
          <w:p w:rsidR="00000000" w:rsidDel="00000000" w:rsidP="00000000" w:rsidRDefault="00000000" w:rsidRPr="00000000" w14:paraId="0000018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León</w:t>
            </w:r>
            <w:r w:rsidDel="00000000" w:rsidR="00000000" w:rsidRPr="00000000">
              <w:rPr>
                <w:rtl w:val="0"/>
              </w:rPr>
            </w:r>
          </w:p>
        </w:tc>
        <w:tc>
          <w:tcPr>
            <w:vAlign w:val="bottom"/>
          </w:tcPr>
          <w:p w:rsidR="00000000" w:rsidDel="00000000" w:rsidP="00000000" w:rsidRDefault="00000000" w:rsidRPr="00000000" w14:paraId="0000018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León capital</w:t>
            </w:r>
            <w:r w:rsidDel="00000000" w:rsidR="00000000" w:rsidRPr="00000000">
              <w:rPr>
                <w:rtl w:val="0"/>
              </w:rPr>
            </w:r>
          </w:p>
        </w:tc>
        <w:tc>
          <w:tcPr>
            <w:vAlign w:val="bottom"/>
          </w:tcPr>
          <w:p w:rsidR="00000000" w:rsidDel="00000000" w:rsidP="00000000" w:rsidRDefault="00000000" w:rsidRPr="00000000" w14:paraId="0000018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1.888 €</w:t>
            </w:r>
            <w:r w:rsidDel="00000000" w:rsidR="00000000" w:rsidRPr="00000000">
              <w:rPr>
                <w:rtl w:val="0"/>
              </w:rPr>
            </w:r>
          </w:p>
        </w:tc>
        <w:tc>
          <w:tcPr>
            <w:vAlign w:val="bottom"/>
          </w:tcPr>
          <w:p w:rsidR="00000000" w:rsidDel="00000000" w:rsidP="00000000" w:rsidRDefault="00000000" w:rsidRPr="00000000" w14:paraId="0000018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0,6%</w:t>
            </w:r>
          </w:p>
        </w:tc>
        <w:tc>
          <w:tcPr>
            <w:vAlign w:val="bottom"/>
          </w:tcPr>
          <w:p w:rsidR="00000000" w:rsidDel="00000000" w:rsidP="00000000" w:rsidRDefault="00000000" w:rsidRPr="00000000" w14:paraId="0000018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19,9%</w:t>
            </w:r>
          </w:p>
        </w:tc>
      </w:tr>
      <w:tr>
        <w:trPr>
          <w:cantSplit w:val="0"/>
          <w:trHeight w:val="212" w:hRule="atLeast"/>
          <w:tblHeader w:val="0"/>
        </w:trPr>
        <w:tc>
          <w:tcPr>
            <w:vAlign w:val="bottom"/>
          </w:tcPr>
          <w:p w:rsidR="00000000" w:rsidDel="00000000" w:rsidP="00000000" w:rsidRDefault="00000000" w:rsidRPr="00000000" w14:paraId="0000019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Santa Cruz de Tenerife</w:t>
            </w:r>
            <w:r w:rsidDel="00000000" w:rsidR="00000000" w:rsidRPr="00000000">
              <w:rPr>
                <w:rtl w:val="0"/>
              </w:rPr>
            </w:r>
          </w:p>
        </w:tc>
        <w:tc>
          <w:tcPr>
            <w:vAlign w:val="bottom"/>
          </w:tcPr>
          <w:p w:rsidR="00000000" w:rsidDel="00000000" w:rsidP="00000000" w:rsidRDefault="00000000" w:rsidRPr="00000000" w14:paraId="0000019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Santa Cruz de Tenerife capital</w:t>
            </w:r>
            <w:r w:rsidDel="00000000" w:rsidR="00000000" w:rsidRPr="00000000">
              <w:rPr>
                <w:rtl w:val="0"/>
              </w:rPr>
            </w:r>
          </w:p>
        </w:tc>
        <w:tc>
          <w:tcPr>
            <w:vAlign w:val="bottom"/>
          </w:tcPr>
          <w:p w:rsidR="00000000" w:rsidDel="00000000" w:rsidP="00000000" w:rsidRDefault="00000000" w:rsidRPr="00000000" w14:paraId="0000019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2.791 €</w:t>
            </w:r>
            <w:r w:rsidDel="00000000" w:rsidR="00000000" w:rsidRPr="00000000">
              <w:rPr>
                <w:rtl w:val="0"/>
              </w:rPr>
            </w:r>
          </w:p>
        </w:tc>
        <w:tc>
          <w:tcPr>
            <w:vAlign w:val="bottom"/>
          </w:tcPr>
          <w:p w:rsidR="00000000" w:rsidDel="00000000" w:rsidP="00000000" w:rsidRDefault="00000000" w:rsidRPr="00000000" w14:paraId="0000019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14,1%</w:t>
            </w:r>
          </w:p>
        </w:tc>
        <w:tc>
          <w:tcPr>
            <w:vAlign w:val="bottom"/>
          </w:tcPr>
          <w:p w:rsidR="00000000" w:rsidDel="00000000" w:rsidP="00000000" w:rsidRDefault="00000000" w:rsidRPr="00000000" w14:paraId="0000019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19,9%</w:t>
            </w:r>
          </w:p>
        </w:tc>
      </w:tr>
      <w:tr>
        <w:trPr>
          <w:cantSplit w:val="0"/>
          <w:trHeight w:val="212" w:hRule="atLeast"/>
          <w:tblHeader w:val="0"/>
        </w:trPr>
        <w:tc>
          <w:tcPr>
            <w:vAlign w:val="bottom"/>
          </w:tcPr>
          <w:p w:rsidR="00000000" w:rsidDel="00000000" w:rsidP="00000000" w:rsidRDefault="00000000" w:rsidRPr="00000000" w14:paraId="0000019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Asturias</w:t>
            </w:r>
            <w:r w:rsidDel="00000000" w:rsidR="00000000" w:rsidRPr="00000000">
              <w:rPr>
                <w:rtl w:val="0"/>
              </w:rPr>
            </w:r>
          </w:p>
        </w:tc>
        <w:tc>
          <w:tcPr>
            <w:vAlign w:val="bottom"/>
          </w:tcPr>
          <w:p w:rsidR="00000000" w:rsidDel="00000000" w:rsidP="00000000" w:rsidRDefault="00000000" w:rsidRPr="00000000" w14:paraId="0000019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Oviedo</w:t>
            </w:r>
            <w:r w:rsidDel="00000000" w:rsidR="00000000" w:rsidRPr="00000000">
              <w:rPr>
                <w:rtl w:val="0"/>
              </w:rPr>
            </w:r>
          </w:p>
        </w:tc>
        <w:tc>
          <w:tcPr>
            <w:vAlign w:val="bottom"/>
          </w:tcPr>
          <w:p w:rsidR="00000000" w:rsidDel="00000000" w:rsidP="00000000" w:rsidRDefault="00000000" w:rsidRPr="00000000" w14:paraId="0000019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2.284 €</w:t>
            </w:r>
            <w:r w:rsidDel="00000000" w:rsidR="00000000" w:rsidRPr="00000000">
              <w:rPr>
                <w:rtl w:val="0"/>
              </w:rPr>
            </w:r>
          </w:p>
        </w:tc>
        <w:tc>
          <w:tcPr>
            <w:vAlign w:val="bottom"/>
          </w:tcPr>
          <w:p w:rsidR="00000000" w:rsidDel="00000000" w:rsidP="00000000" w:rsidRDefault="00000000" w:rsidRPr="00000000" w14:paraId="0000019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w:t>
            </w:r>
          </w:p>
        </w:tc>
        <w:tc>
          <w:tcPr>
            <w:vAlign w:val="bottom"/>
          </w:tcPr>
          <w:p w:rsidR="00000000" w:rsidDel="00000000" w:rsidP="00000000" w:rsidRDefault="00000000" w:rsidRPr="00000000" w14:paraId="0000019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18,5%</w:t>
            </w:r>
          </w:p>
        </w:tc>
      </w:tr>
      <w:tr>
        <w:trPr>
          <w:cantSplit w:val="0"/>
          <w:trHeight w:val="212" w:hRule="atLeast"/>
          <w:tblHeader w:val="0"/>
        </w:trPr>
        <w:tc>
          <w:tcPr>
            <w:vAlign w:val="bottom"/>
          </w:tcPr>
          <w:p w:rsidR="00000000" w:rsidDel="00000000" w:rsidP="00000000" w:rsidRDefault="00000000" w:rsidRPr="00000000" w14:paraId="0000019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Albacete</w:t>
            </w:r>
            <w:r w:rsidDel="00000000" w:rsidR="00000000" w:rsidRPr="00000000">
              <w:rPr>
                <w:rtl w:val="0"/>
              </w:rPr>
            </w:r>
          </w:p>
        </w:tc>
        <w:tc>
          <w:tcPr>
            <w:vAlign w:val="bottom"/>
          </w:tcPr>
          <w:p w:rsidR="00000000" w:rsidDel="00000000" w:rsidP="00000000" w:rsidRDefault="00000000" w:rsidRPr="00000000" w14:paraId="0000019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Albacete capital</w:t>
            </w:r>
            <w:r w:rsidDel="00000000" w:rsidR="00000000" w:rsidRPr="00000000">
              <w:rPr>
                <w:rtl w:val="0"/>
              </w:rPr>
            </w:r>
          </w:p>
        </w:tc>
        <w:tc>
          <w:tcPr>
            <w:vAlign w:val="bottom"/>
          </w:tcPr>
          <w:p w:rsidR="00000000" w:rsidDel="00000000" w:rsidP="00000000" w:rsidRDefault="00000000" w:rsidRPr="00000000" w14:paraId="0000019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1.984 €</w:t>
            </w:r>
            <w:r w:rsidDel="00000000" w:rsidR="00000000" w:rsidRPr="00000000">
              <w:rPr>
                <w:rtl w:val="0"/>
              </w:rPr>
            </w:r>
          </w:p>
        </w:tc>
        <w:tc>
          <w:tcPr>
            <w:vAlign w:val="bottom"/>
          </w:tcPr>
          <w:p w:rsidR="00000000" w:rsidDel="00000000" w:rsidP="00000000" w:rsidRDefault="00000000" w:rsidRPr="00000000" w14:paraId="0000019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w:t>
            </w:r>
          </w:p>
        </w:tc>
        <w:tc>
          <w:tcPr>
            <w:vAlign w:val="bottom"/>
          </w:tcPr>
          <w:p w:rsidR="00000000" w:rsidDel="00000000" w:rsidP="00000000" w:rsidRDefault="00000000" w:rsidRPr="00000000" w14:paraId="0000019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17,4%</w:t>
            </w:r>
          </w:p>
        </w:tc>
      </w:tr>
      <w:tr>
        <w:trPr>
          <w:cantSplit w:val="0"/>
          <w:trHeight w:val="212" w:hRule="atLeast"/>
          <w:tblHeader w:val="0"/>
        </w:trPr>
        <w:tc>
          <w:tcPr>
            <w:vAlign w:val="bottom"/>
          </w:tcPr>
          <w:p w:rsidR="00000000" w:rsidDel="00000000" w:rsidP="00000000" w:rsidRDefault="00000000" w:rsidRPr="00000000" w14:paraId="0000019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Cuenca</w:t>
            </w:r>
            <w:r w:rsidDel="00000000" w:rsidR="00000000" w:rsidRPr="00000000">
              <w:rPr>
                <w:rtl w:val="0"/>
              </w:rPr>
            </w:r>
          </w:p>
        </w:tc>
        <w:tc>
          <w:tcPr>
            <w:vAlign w:val="bottom"/>
          </w:tcPr>
          <w:p w:rsidR="00000000" w:rsidDel="00000000" w:rsidP="00000000" w:rsidRDefault="00000000" w:rsidRPr="00000000" w14:paraId="000001A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Cuenca capital</w:t>
            </w:r>
            <w:r w:rsidDel="00000000" w:rsidR="00000000" w:rsidRPr="00000000">
              <w:rPr>
                <w:rtl w:val="0"/>
              </w:rPr>
            </w:r>
          </w:p>
        </w:tc>
        <w:tc>
          <w:tcPr>
            <w:vAlign w:val="bottom"/>
          </w:tcPr>
          <w:p w:rsidR="00000000" w:rsidDel="00000000" w:rsidP="00000000" w:rsidRDefault="00000000" w:rsidRPr="00000000" w14:paraId="000001A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1.774 €</w:t>
            </w:r>
            <w:r w:rsidDel="00000000" w:rsidR="00000000" w:rsidRPr="00000000">
              <w:rPr>
                <w:rtl w:val="0"/>
              </w:rPr>
            </w:r>
          </w:p>
        </w:tc>
        <w:tc>
          <w:tcPr>
            <w:vAlign w:val="bottom"/>
          </w:tcPr>
          <w:p w:rsidR="00000000" w:rsidDel="00000000" w:rsidP="00000000" w:rsidRDefault="00000000" w:rsidRPr="00000000" w14:paraId="000001A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4,2%</w:t>
            </w:r>
          </w:p>
        </w:tc>
        <w:tc>
          <w:tcPr>
            <w:vAlign w:val="bottom"/>
          </w:tcPr>
          <w:p w:rsidR="00000000" w:rsidDel="00000000" w:rsidP="00000000" w:rsidRDefault="00000000" w:rsidRPr="00000000" w14:paraId="000001A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17,2%</w:t>
            </w:r>
          </w:p>
        </w:tc>
      </w:tr>
      <w:tr>
        <w:trPr>
          <w:cantSplit w:val="0"/>
          <w:trHeight w:val="212" w:hRule="atLeast"/>
          <w:tblHeader w:val="0"/>
        </w:trPr>
        <w:tc>
          <w:tcPr>
            <w:vAlign w:val="bottom"/>
          </w:tcPr>
          <w:p w:rsidR="00000000" w:rsidDel="00000000" w:rsidP="00000000" w:rsidRDefault="00000000" w:rsidRPr="00000000" w14:paraId="000001A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Teruel</w:t>
            </w:r>
            <w:r w:rsidDel="00000000" w:rsidR="00000000" w:rsidRPr="00000000">
              <w:rPr>
                <w:rtl w:val="0"/>
              </w:rPr>
            </w:r>
          </w:p>
        </w:tc>
        <w:tc>
          <w:tcPr>
            <w:vAlign w:val="bottom"/>
          </w:tcPr>
          <w:p w:rsidR="00000000" w:rsidDel="00000000" w:rsidP="00000000" w:rsidRDefault="00000000" w:rsidRPr="00000000" w14:paraId="000001A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Teruel capital</w:t>
            </w:r>
            <w:r w:rsidDel="00000000" w:rsidR="00000000" w:rsidRPr="00000000">
              <w:rPr>
                <w:rtl w:val="0"/>
              </w:rPr>
            </w:r>
          </w:p>
        </w:tc>
        <w:tc>
          <w:tcPr>
            <w:vAlign w:val="bottom"/>
          </w:tcPr>
          <w:p w:rsidR="00000000" w:rsidDel="00000000" w:rsidP="00000000" w:rsidRDefault="00000000" w:rsidRPr="00000000" w14:paraId="000001A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1.862 €</w:t>
            </w:r>
            <w:r w:rsidDel="00000000" w:rsidR="00000000" w:rsidRPr="00000000">
              <w:rPr>
                <w:rtl w:val="0"/>
              </w:rPr>
            </w:r>
          </w:p>
        </w:tc>
        <w:tc>
          <w:tcPr>
            <w:vAlign w:val="bottom"/>
          </w:tcPr>
          <w:p w:rsidR="00000000" w:rsidDel="00000000" w:rsidP="00000000" w:rsidRDefault="00000000" w:rsidRPr="00000000" w14:paraId="000001A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0,0%</w:t>
            </w:r>
          </w:p>
        </w:tc>
        <w:tc>
          <w:tcPr>
            <w:vAlign w:val="bottom"/>
          </w:tcPr>
          <w:p w:rsidR="00000000" w:rsidDel="00000000" w:rsidP="00000000" w:rsidRDefault="00000000" w:rsidRPr="00000000" w14:paraId="000001A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16,7%</w:t>
            </w:r>
          </w:p>
        </w:tc>
      </w:tr>
      <w:tr>
        <w:trPr>
          <w:cantSplit w:val="0"/>
          <w:trHeight w:val="212" w:hRule="atLeast"/>
          <w:tblHeader w:val="0"/>
        </w:trPr>
        <w:tc>
          <w:tcPr>
            <w:vAlign w:val="bottom"/>
          </w:tcPr>
          <w:p w:rsidR="00000000" w:rsidDel="00000000" w:rsidP="00000000" w:rsidRDefault="00000000" w:rsidRPr="00000000" w14:paraId="000001A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1A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Alicante / Alacant</w:t>
            </w:r>
            <w:r w:rsidDel="00000000" w:rsidR="00000000" w:rsidRPr="00000000">
              <w:rPr>
                <w:rtl w:val="0"/>
              </w:rPr>
            </w:r>
          </w:p>
        </w:tc>
        <w:tc>
          <w:tcPr>
            <w:vAlign w:val="bottom"/>
          </w:tcPr>
          <w:p w:rsidR="00000000" w:rsidDel="00000000" w:rsidP="00000000" w:rsidRDefault="00000000" w:rsidRPr="00000000" w14:paraId="000001A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2.823 €</w:t>
            </w:r>
            <w:r w:rsidDel="00000000" w:rsidR="00000000" w:rsidRPr="00000000">
              <w:rPr>
                <w:rtl w:val="0"/>
              </w:rPr>
            </w:r>
          </w:p>
        </w:tc>
        <w:tc>
          <w:tcPr>
            <w:vAlign w:val="bottom"/>
          </w:tcPr>
          <w:p w:rsidR="00000000" w:rsidDel="00000000" w:rsidP="00000000" w:rsidRDefault="00000000" w:rsidRPr="00000000" w14:paraId="000001A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w:t>
            </w:r>
          </w:p>
        </w:tc>
        <w:tc>
          <w:tcPr>
            <w:vAlign w:val="bottom"/>
          </w:tcPr>
          <w:p w:rsidR="00000000" w:rsidDel="00000000" w:rsidP="00000000" w:rsidRDefault="00000000" w:rsidRPr="00000000" w14:paraId="000001A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16,5%</w:t>
            </w:r>
          </w:p>
        </w:tc>
      </w:tr>
      <w:tr>
        <w:trPr>
          <w:cantSplit w:val="0"/>
          <w:trHeight w:val="212" w:hRule="atLeast"/>
          <w:tblHeader w:val="0"/>
        </w:trPr>
        <w:tc>
          <w:tcPr>
            <w:vAlign w:val="bottom"/>
          </w:tcPr>
          <w:p w:rsidR="00000000" w:rsidDel="00000000" w:rsidP="00000000" w:rsidRDefault="00000000" w:rsidRPr="00000000" w14:paraId="000001A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Granada</w:t>
            </w:r>
            <w:r w:rsidDel="00000000" w:rsidR="00000000" w:rsidRPr="00000000">
              <w:rPr>
                <w:rtl w:val="0"/>
              </w:rPr>
            </w:r>
          </w:p>
        </w:tc>
        <w:tc>
          <w:tcPr>
            <w:vAlign w:val="bottom"/>
          </w:tcPr>
          <w:p w:rsidR="00000000" w:rsidDel="00000000" w:rsidP="00000000" w:rsidRDefault="00000000" w:rsidRPr="00000000" w14:paraId="000001A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Granada capital</w:t>
            </w:r>
            <w:r w:rsidDel="00000000" w:rsidR="00000000" w:rsidRPr="00000000">
              <w:rPr>
                <w:rtl w:val="0"/>
              </w:rPr>
            </w:r>
          </w:p>
        </w:tc>
        <w:tc>
          <w:tcPr>
            <w:vAlign w:val="bottom"/>
          </w:tcPr>
          <w:p w:rsidR="00000000" w:rsidDel="00000000" w:rsidP="00000000" w:rsidRDefault="00000000" w:rsidRPr="00000000" w14:paraId="000001B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2.856 €</w:t>
            </w:r>
            <w:r w:rsidDel="00000000" w:rsidR="00000000" w:rsidRPr="00000000">
              <w:rPr>
                <w:rtl w:val="0"/>
              </w:rPr>
            </w:r>
          </w:p>
        </w:tc>
        <w:tc>
          <w:tcPr>
            <w:vAlign w:val="bottom"/>
          </w:tcPr>
          <w:p w:rsidR="00000000" w:rsidDel="00000000" w:rsidP="00000000" w:rsidRDefault="00000000" w:rsidRPr="00000000" w14:paraId="000001B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0,8%</w:t>
            </w:r>
          </w:p>
        </w:tc>
        <w:tc>
          <w:tcPr>
            <w:vAlign w:val="bottom"/>
          </w:tcPr>
          <w:p w:rsidR="00000000" w:rsidDel="00000000" w:rsidP="00000000" w:rsidRDefault="00000000" w:rsidRPr="00000000" w14:paraId="000001B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15,2%</w:t>
            </w:r>
          </w:p>
        </w:tc>
      </w:tr>
      <w:tr>
        <w:trPr>
          <w:cantSplit w:val="0"/>
          <w:trHeight w:val="212" w:hRule="atLeast"/>
          <w:tblHeader w:val="0"/>
        </w:trPr>
        <w:tc>
          <w:tcPr>
            <w:vAlign w:val="bottom"/>
          </w:tcPr>
          <w:p w:rsidR="00000000" w:rsidDel="00000000" w:rsidP="00000000" w:rsidRDefault="00000000" w:rsidRPr="00000000" w14:paraId="000001B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Madrid</w:t>
            </w:r>
            <w:r w:rsidDel="00000000" w:rsidR="00000000" w:rsidRPr="00000000">
              <w:rPr>
                <w:rtl w:val="0"/>
              </w:rPr>
            </w:r>
          </w:p>
        </w:tc>
        <w:tc>
          <w:tcPr>
            <w:vAlign w:val="bottom"/>
          </w:tcPr>
          <w:p w:rsidR="00000000" w:rsidDel="00000000" w:rsidP="00000000" w:rsidRDefault="00000000" w:rsidRPr="00000000" w14:paraId="000001B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Madrid capital</w:t>
            </w:r>
            <w:r w:rsidDel="00000000" w:rsidR="00000000" w:rsidRPr="00000000">
              <w:rPr>
                <w:rtl w:val="0"/>
              </w:rPr>
            </w:r>
          </w:p>
        </w:tc>
        <w:tc>
          <w:tcPr>
            <w:vAlign w:val="bottom"/>
          </w:tcPr>
          <w:p w:rsidR="00000000" w:rsidDel="00000000" w:rsidP="00000000" w:rsidRDefault="00000000" w:rsidRPr="00000000" w14:paraId="000001B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6.011 €</w:t>
            </w:r>
            <w:r w:rsidDel="00000000" w:rsidR="00000000" w:rsidRPr="00000000">
              <w:rPr>
                <w:rtl w:val="0"/>
              </w:rPr>
            </w:r>
          </w:p>
        </w:tc>
        <w:tc>
          <w:tcPr>
            <w:vAlign w:val="bottom"/>
          </w:tcPr>
          <w:p w:rsidR="00000000" w:rsidDel="00000000" w:rsidP="00000000" w:rsidRDefault="00000000" w:rsidRPr="00000000" w14:paraId="000001B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1,3%</w:t>
            </w:r>
          </w:p>
        </w:tc>
        <w:tc>
          <w:tcPr>
            <w:vAlign w:val="bottom"/>
          </w:tcPr>
          <w:p w:rsidR="00000000" w:rsidDel="00000000" w:rsidP="00000000" w:rsidRDefault="00000000" w:rsidRPr="00000000" w14:paraId="000001B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15,1%</w:t>
            </w:r>
          </w:p>
        </w:tc>
      </w:tr>
      <w:tr>
        <w:trPr>
          <w:cantSplit w:val="0"/>
          <w:trHeight w:val="212" w:hRule="atLeast"/>
          <w:tblHeader w:val="0"/>
        </w:trPr>
        <w:tc>
          <w:tcPr>
            <w:vAlign w:val="bottom"/>
          </w:tcPr>
          <w:p w:rsidR="00000000" w:rsidDel="00000000" w:rsidP="00000000" w:rsidRDefault="00000000" w:rsidRPr="00000000" w14:paraId="000001B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Valencia</w:t>
            </w:r>
            <w:r w:rsidDel="00000000" w:rsidR="00000000" w:rsidRPr="00000000">
              <w:rPr>
                <w:rtl w:val="0"/>
              </w:rPr>
            </w:r>
          </w:p>
        </w:tc>
        <w:tc>
          <w:tcPr>
            <w:vAlign w:val="bottom"/>
          </w:tcPr>
          <w:p w:rsidR="00000000" w:rsidDel="00000000" w:rsidP="00000000" w:rsidRDefault="00000000" w:rsidRPr="00000000" w14:paraId="000001B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Valencia capital</w:t>
            </w:r>
            <w:r w:rsidDel="00000000" w:rsidR="00000000" w:rsidRPr="00000000">
              <w:rPr>
                <w:rtl w:val="0"/>
              </w:rPr>
            </w:r>
          </w:p>
        </w:tc>
        <w:tc>
          <w:tcPr>
            <w:vAlign w:val="bottom"/>
          </w:tcPr>
          <w:p w:rsidR="00000000" w:rsidDel="00000000" w:rsidP="00000000" w:rsidRDefault="00000000" w:rsidRPr="00000000" w14:paraId="000001B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3.289 €</w:t>
            </w:r>
            <w:r w:rsidDel="00000000" w:rsidR="00000000" w:rsidRPr="00000000">
              <w:rPr>
                <w:rtl w:val="0"/>
              </w:rPr>
            </w:r>
          </w:p>
        </w:tc>
        <w:tc>
          <w:tcPr>
            <w:vAlign w:val="bottom"/>
          </w:tcPr>
          <w:p w:rsidR="00000000" w:rsidDel="00000000" w:rsidP="00000000" w:rsidRDefault="00000000" w:rsidRPr="00000000" w14:paraId="000001B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w:t>
            </w:r>
          </w:p>
        </w:tc>
        <w:tc>
          <w:tcPr>
            <w:vAlign w:val="bottom"/>
          </w:tcPr>
          <w:p w:rsidR="00000000" w:rsidDel="00000000" w:rsidP="00000000" w:rsidRDefault="00000000" w:rsidRPr="00000000" w14:paraId="000001B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15,1%</w:t>
            </w:r>
          </w:p>
        </w:tc>
      </w:tr>
      <w:tr>
        <w:trPr>
          <w:cantSplit w:val="0"/>
          <w:trHeight w:val="212" w:hRule="atLeast"/>
          <w:tblHeader w:val="0"/>
        </w:trPr>
        <w:tc>
          <w:tcPr>
            <w:vAlign w:val="bottom"/>
          </w:tcPr>
          <w:p w:rsidR="00000000" w:rsidDel="00000000" w:rsidP="00000000" w:rsidRDefault="00000000" w:rsidRPr="00000000" w14:paraId="000001B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Valladolid</w:t>
            </w:r>
            <w:r w:rsidDel="00000000" w:rsidR="00000000" w:rsidRPr="00000000">
              <w:rPr>
                <w:rtl w:val="0"/>
              </w:rPr>
            </w:r>
          </w:p>
        </w:tc>
        <w:tc>
          <w:tcPr>
            <w:vAlign w:val="bottom"/>
          </w:tcPr>
          <w:p w:rsidR="00000000" w:rsidDel="00000000" w:rsidP="00000000" w:rsidRDefault="00000000" w:rsidRPr="00000000" w14:paraId="000001B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Valladolid capital</w:t>
            </w:r>
            <w:r w:rsidDel="00000000" w:rsidR="00000000" w:rsidRPr="00000000">
              <w:rPr>
                <w:rtl w:val="0"/>
              </w:rPr>
            </w:r>
          </w:p>
        </w:tc>
        <w:tc>
          <w:tcPr>
            <w:vAlign w:val="bottom"/>
          </w:tcPr>
          <w:p w:rsidR="00000000" w:rsidDel="00000000" w:rsidP="00000000" w:rsidRDefault="00000000" w:rsidRPr="00000000" w14:paraId="000001B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2.232 €</w:t>
            </w:r>
            <w:r w:rsidDel="00000000" w:rsidR="00000000" w:rsidRPr="00000000">
              <w:rPr>
                <w:rtl w:val="0"/>
              </w:rPr>
            </w:r>
          </w:p>
        </w:tc>
        <w:tc>
          <w:tcPr>
            <w:vAlign w:val="bottom"/>
          </w:tcPr>
          <w:p w:rsidR="00000000" w:rsidDel="00000000" w:rsidP="00000000" w:rsidRDefault="00000000" w:rsidRPr="00000000" w14:paraId="000001C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w:t>
            </w:r>
          </w:p>
        </w:tc>
        <w:tc>
          <w:tcPr>
            <w:vAlign w:val="bottom"/>
          </w:tcPr>
          <w:p w:rsidR="00000000" w:rsidDel="00000000" w:rsidP="00000000" w:rsidRDefault="00000000" w:rsidRPr="00000000" w14:paraId="000001C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15,0%</w:t>
            </w:r>
          </w:p>
        </w:tc>
      </w:tr>
      <w:tr>
        <w:trPr>
          <w:cantSplit w:val="0"/>
          <w:trHeight w:val="212" w:hRule="atLeast"/>
          <w:tblHeader w:val="0"/>
        </w:trPr>
        <w:tc>
          <w:tcPr>
            <w:vAlign w:val="bottom"/>
          </w:tcPr>
          <w:p w:rsidR="00000000" w:rsidDel="00000000" w:rsidP="00000000" w:rsidRDefault="00000000" w:rsidRPr="00000000" w14:paraId="000001C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Palencia</w:t>
            </w:r>
            <w:r w:rsidDel="00000000" w:rsidR="00000000" w:rsidRPr="00000000">
              <w:rPr>
                <w:rtl w:val="0"/>
              </w:rPr>
            </w:r>
          </w:p>
        </w:tc>
        <w:tc>
          <w:tcPr>
            <w:vAlign w:val="bottom"/>
          </w:tcPr>
          <w:p w:rsidR="00000000" w:rsidDel="00000000" w:rsidP="00000000" w:rsidRDefault="00000000" w:rsidRPr="00000000" w14:paraId="000001C3">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Palencia capital</w:t>
            </w:r>
            <w:r w:rsidDel="00000000" w:rsidR="00000000" w:rsidRPr="00000000">
              <w:rPr>
                <w:rtl w:val="0"/>
              </w:rPr>
            </w:r>
          </w:p>
        </w:tc>
        <w:tc>
          <w:tcPr>
            <w:vAlign w:val="bottom"/>
          </w:tcPr>
          <w:p w:rsidR="00000000" w:rsidDel="00000000" w:rsidP="00000000" w:rsidRDefault="00000000" w:rsidRPr="00000000" w14:paraId="000001C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1.723 €</w:t>
            </w:r>
            <w:r w:rsidDel="00000000" w:rsidR="00000000" w:rsidRPr="00000000">
              <w:rPr>
                <w:rtl w:val="0"/>
              </w:rPr>
            </w:r>
          </w:p>
        </w:tc>
        <w:tc>
          <w:tcPr>
            <w:vAlign w:val="bottom"/>
          </w:tcPr>
          <w:p w:rsidR="00000000" w:rsidDel="00000000" w:rsidP="00000000" w:rsidRDefault="00000000" w:rsidRPr="00000000" w14:paraId="000001C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w:t>
            </w:r>
          </w:p>
        </w:tc>
        <w:tc>
          <w:tcPr>
            <w:vAlign w:val="bottom"/>
          </w:tcPr>
          <w:p w:rsidR="00000000" w:rsidDel="00000000" w:rsidP="00000000" w:rsidRDefault="00000000" w:rsidRPr="00000000" w14:paraId="000001C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14,9%</w:t>
            </w:r>
          </w:p>
        </w:tc>
      </w:tr>
      <w:tr>
        <w:trPr>
          <w:cantSplit w:val="0"/>
          <w:trHeight w:val="212" w:hRule="atLeast"/>
          <w:tblHeader w:val="0"/>
        </w:trPr>
        <w:tc>
          <w:tcPr>
            <w:vAlign w:val="bottom"/>
          </w:tcPr>
          <w:p w:rsidR="00000000" w:rsidDel="00000000" w:rsidP="00000000" w:rsidRDefault="00000000" w:rsidRPr="00000000" w14:paraId="000001C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Salamanca</w:t>
            </w:r>
            <w:r w:rsidDel="00000000" w:rsidR="00000000" w:rsidRPr="00000000">
              <w:rPr>
                <w:rtl w:val="0"/>
              </w:rPr>
            </w:r>
          </w:p>
        </w:tc>
        <w:tc>
          <w:tcPr>
            <w:vAlign w:val="bottom"/>
          </w:tcPr>
          <w:p w:rsidR="00000000" w:rsidDel="00000000" w:rsidP="00000000" w:rsidRDefault="00000000" w:rsidRPr="00000000" w14:paraId="000001C8">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Salamanca capital</w:t>
            </w:r>
            <w:r w:rsidDel="00000000" w:rsidR="00000000" w:rsidRPr="00000000">
              <w:rPr>
                <w:rtl w:val="0"/>
              </w:rPr>
            </w:r>
          </w:p>
        </w:tc>
        <w:tc>
          <w:tcPr>
            <w:vAlign w:val="bottom"/>
          </w:tcPr>
          <w:p w:rsidR="00000000" w:rsidDel="00000000" w:rsidP="00000000" w:rsidRDefault="00000000" w:rsidRPr="00000000" w14:paraId="000001C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2.322 €</w:t>
            </w:r>
            <w:r w:rsidDel="00000000" w:rsidR="00000000" w:rsidRPr="00000000">
              <w:rPr>
                <w:rtl w:val="0"/>
              </w:rPr>
            </w:r>
          </w:p>
        </w:tc>
        <w:tc>
          <w:tcPr>
            <w:vAlign w:val="bottom"/>
          </w:tcPr>
          <w:p w:rsidR="00000000" w:rsidDel="00000000" w:rsidP="00000000" w:rsidRDefault="00000000" w:rsidRPr="00000000" w14:paraId="000001C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w:t>
            </w:r>
          </w:p>
        </w:tc>
        <w:tc>
          <w:tcPr>
            <w:vAlign w:val="bottom"/>
          </w:tcPr>
          <w:p w:rsidR="00000000" w:rsidDel="00000000" w:rsidP="00000000" w:rsidRDefault="00000000" w:rsidRPr="00000000" w14:paraId="000001C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14,9%</w:t>
            </w:r>
          </w:p>
        </w:tc>
      </w:tr>
      <w:tr>
        <w:trPr>
          <w:cantSplit w:val="0"/>
          <w:trHeight w:val="212" w:hRule="atLeast"/>
          <w:tblHeader w:val="0"/>
        </w:trPr>
        <w:tc>
          <w:tcPr>
            <w:vAlign w:val="bottom"/>
          </w:tcPr>
          <w:p w:rsidR="00000000" w:rsidDel="00000000" w:rsidP="00000000" w:rsidRDefault="00000000" w:rsidRPr="00000000" w14:paraId="000001C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1CD">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Palma de Mallorca</w:t>
            </w:r>
            <w:r w:rsidDel="00000000" w:rsidR="00000000" w:rsidRPr="00000000">
              <w:rPr>
                <w:rtl w:val="0"/>
              </w:rPr>
            </w:r>
          </w:p>
        </w:tc>
        <w:tc>
          <w:tcPr>
            <w:vAlign w:val="bottom"/>
          </w:tcPr>
          <w:p w:rsidR="00000000" w:rsidDel="00000000" w:rsidP="00000000" w:rsidRDefault="00000000" w:rsidRPr="00000000" w14:paraId="000001C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4.957 €</w:t>
            </w:r>
            <w:r w:rsidDel="00000000" w:rsidR="00000000" w:rsidRPr="00000000">
              <w:rPr>
                <w:rtl w:val="0"/>
              </w:rPr>
            </w:r>
          </w:p>
        </w:tc>
        <w:tc>
          <w:tcPr>
            <w:vAlign w:val="bottom"/>
          </w:tcPr>
          <w:p w:rsidR="00000000" w:rsidDel="00000000" w:rsidP="00000000" w:rsidRDefault="00000000" w:rsidRPr="00000000" w14:paraId="000001C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2,8%</w:t>
            </w:r>
          </w:p>
        </w:tc>
        <w:tc>
          <w:tcPr>
            <w:vAlign w:val="bottom"/>
          </w:tcPr>
          <w:p w:rsidR="00000000" w:rsidDel="00000000" w:rsidP="00000000" w:rsidRDefault="00000000" w:rsidRPr="00000000" w14:paraId="000001D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14,8%</w:t>
            </w:r>
          </w:p>
        </w:tc>
      </w:tr>
      <w:tr>
        <w:trPr>
          <w:cantSplit w:val="0"/>
          <w:trHeight w:val="212" w:hRule="atLeast"/>
          <w:tblHeader w:val="0"/>
        </w:trPr>
        <w:tc>
          <w:tcPr>
            <w:vAlign w:val="bottom"/>
          </w:tcPr>
          <w:p w:rsidR="00000000" w:rsidDel="00000000" w:rsidP="00000000" w:rsidRDefault="00000000" w:rsidRPr="00000000" w14:paraId="000001D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Lleida</w:t>
            </w:r>
            <w:r w:rsidDel="00000000" w:rsidR="00000000" w:rsidRPr="00000000">
              <w:rPr>
                <w:rtl w:val="0"/>
              </w:rPr>
            </w:r>
          </w:p>
        </w:tc>
        <w:tc>
          <w:tcPr>
            <w:vAlign w:val="bottom"/>
          </w:tcPr>
          <w:p w:rsidR="00000000" w:rsidDel="00000000" w:rsidP="00000000" w:rsidRDefault="00000000" w:rsidRPr="00000000" w14:paraId="000001D2">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Lleida capital</w:t>
            </w:r>
            <w:r w:rsidDel="00000000" w:rsidR="00000000" w:rsidRPr="00000000">
              <w:rPr>
                <w:rtl w:val="0"/>
              </w:rPr>
            </w:r>
          </w:p>
        </w:tc>
        <w:tc>
          <w:tcPr>
            <w:vAlign w:val="bottom"/>
          </w:tcPr>
          <w:p w:rsidR="00000000" w:rsidDel="00000000" w:rsidP="00000000" w:rsidRDefault="00000000" w:rsidRPr="00000000" w14:paraId="000001D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1.607 €</w:t>
            </w:r>
            <w:r w:rsidDel="00000000" w:rsidR="00000000" w:rsidRPr="00000000">
              <w:rPr>
                <w:rtl w:val="0"/>
              </w:rPr>
            </w:r>
          </w:p>
        </w:tc>
        <w:tc>
          <w:tcPr>
            <w:vAlign w:val="bottom"/>
          </w:tcPr>
          <w:p w:rsidR="00000000" w:rsidDel="00000000" w:rsidP="00000000" w:rsidRDefault="00000000" w:rsidRPr="00000000" w14:paraId="000001D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w:t>
            </w:r>
          </w:p>
        </w:tc>
        <w:tc>
          <w:tcPr>
            <w:vAlign w:val="bottom"/>
          </w:tcPr>
          <w:p w:rsidR="00000000" w:rsidDel="00000000" w:rsidP="00000000" w:rsidRDefault="00000000" w:rsidRPr="00000000" w14:paraId="000001D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14,4%</w:t>
            </w:r>
          </w:p>
        </w:tc>
      </w:tr>
      <w:tr>
        <w:trPr>
          <w:cantSplit w:val="0"/>
          <w:trHeight w:val="212" w:hRule="atLeast"/>
          <w:tblHeader w:val="0"/>
        </w:trPr>
        <w:tc>
          <w:tcPr>
            <w:vAlign w:val="bottom"/>
          </w:tcPr>
          <w:p w:rsidR="00000000" w:rsidDel="00000000" w:rsidP="00000000" w:rsidRDefault="00000000" w:rsidRPr="00000000" w14:paraId="000001D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Burgos</w:t>
            </w:r>
            <w:r w:rsidDel="00000000" w:rsidR="00000000" w:rsidRPr="00000000">
              <w:rPr>
                <w:rtl w:val="0"/>
              </w:rPr>
            </w:r>
          </w:p>
        </w:tc>
        <w:tc>
          <w:tcPr>
            <w:vAlign w:val="bottom"/>
          </w:tcPr>
          <w:p w:rsidR="00000000" w:rsidDel="00000000" w:rsidP="00000000" w:rsidRDefault="00000000" w:rsidRPr="00000000" w14:paraId="000001D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Burgos capital</w:t>
            </w:r>
            <w:r w:rsidDel="00000000" w:rsidR="00000000" w:rsidRPr="00000000">
              <w:rPr>
                <w:rtl w:val="0"/>
              </w:rPr>
            </w:r>
          </w:p>
        </w:tc>
        <w:tc>
          <w:tcPr>
            <w:vAlign w:val="bottom"/>
          </w:tcPr>
          <w:p w:rsidR="00000000" w:rsidDel="00000000" w:rsidP="00000000" w:rsidRDefault="00000000" w:rsidRPr="00000000" w14:paraId="000001D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2.192 €</w:t>
            </w:r>
            <w:r w:rsidDel="00000000" w:rsidR="00000000" w:rsidRPr="00000000">
              <w:rPr>
                <w:rtl w:val="0"/>
              </w:rPr>
            </w:r>
          </w:p>
        </w:tc>
        <w:tc>
          <w:tcPr>
            <w:vAlign w:val="bottom"/>
          </w:tcPr>
          <w:p w:rsidR="00000000" w:rsidDel="00000000" w:rsidP="00000000" w:rsidRDefault="00000000" w:rsidRPr="00000000" w14:paraId="000001D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-0,6%</w:t>
            </w:r>
            <w:r w:rsidDel="00000000" w:rsidR="00000000" w:rsidRPr="00000000">
              <w:rPr>
                <w:rtl w:val="0"/>
              </w:rPr>
            </w:r>
          </w:p>
        </w:tc>
        <w:tc>
          <w:tcPr>
            <w:vAlign w:val="bottom"/>
          </w:tcPr>
          <w:p w:rsidR="00000000" w:rsidDel="00000000" w:rsidP="00000000" w:rsidRDefault="00000000" w:rsidRPr="00000000" w14:paraId="000001D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13,7%</w:t>
            </w:r>
          </w:p>
        </w:tc>
      </w:tr>
      <w:tr>
        <w:trPr>
          <w:cantSplit w:val="0"/>
          <w:trHeight w:val="212" w:hRule="atLeast"/>
          <w:tblHeader w:val="0"/>
        </w:trPr>
        <w:tc>
          <w:tcPr>
            <w:vAlign w:val="bottom"/>
          </w:tcPr>
          <w:p w:rsidR="00000000" w:rsidDel="00000000" w:rsidP="00000000" w:rsidRDefault="00000000" w:rsidRPr="00000000" w14:paraId="000001D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Las Palmas</w:t>
            </w:r>
            <w:r w:rsidDel="00000000" w:rsidR="00000000" w:rsidRPr="00000000">
              <w:rPr>
                <w:rtl w:val="0"/>
              </w:rPr>
            </w:r>
          </w:p>
        </w:tc>
        <w:tc>
          <w:tcPr>
            <w:vAlign w:val="bottom"/>
          </w:tcPr>
          <w:p w:rsidR="00000000" w:rsidDel="00000000" w:rsidP="00000000" w:rsidRDefault="00000000" w:rsidRPr="00000000" w14:paraId="000001D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Las Palmas de Gran Canaria</w:t>
            </w:r>
            <w:r w:rsidDel="00000000" w:rsidR="00000000" w:rsidRPr="00000000">
              <w:rPr>
                <w:rtl w:val="0"/>
              </w:rPr>
            </w:r>
          </w:p>
        </w:tc>
        <w:tc>
          <w:tcPr>
            <w:vAlign w:val="bottom"/>
          </w:tcPr>
          <w:p w:rsidR="00000000" w:rsidDel="00000000" w:rsidP="00000000" w:rsidRDefault="00000000" w:rsidRPr="00000000" w14:paraId="000001D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2.880 €</w:t>
            </w:r>
            <w:r w:rsidDel="00000000" w:rsidR="00000000" w:rsidRPr="00000000">
              <w:rPr>
                <w:rtl w:val="0"/>
              </w:rPr>
            </w:r>
          </w:p>
        </w:tc>
        <w:tc>
          <w:tcPr>
            <w:vAlign w:val="bottom"/>
          </w:tcPr>
          <w:p w:rsidR="00000000" w:rsidDel="00000000" w:rsidP="00000000" w:rsidRDefault="00000000" w:rsidRPr="00000000" w14:paraId="000001D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3,0%</w:t>
            </w:r>
          </w:p>
        </w:tc>
        <w:tc>
          <w:tcPr>
            <w:vAlign w:val="bottom"/>
          </w:tcPr>
          <w:p w:rsidR="00000000" w:rsidDel="00000000" w:rsidP="00000000" w:rsidRDefault="00000000" w:rsidRPr="00000000" w14:paraId="000001D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13,6%</w:t>
            </w:r>
          </w:p>
        </w:tc>
      </w:tr>
      <w:tr>
        <w:trPr>
          <w:cantSplit w:val="0"/>
          <w:trHeight w:val="212" w:hRule="atLeast"/>
          <w:tblHeader w:val="0"/>
        </w:trPr>
        <w:tc>
          <w:tcPr>
            <w:vAlign w:val="bottom"/>
          </w:tcPr>
          <w:p w:rsidR="00000000" w:rsidDel="00000000" w:rsidP="00000000" w:rsidRDefault="00000000" w:rsidRPr="00000000" w14:paraId="000001E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 Coruña</w:t>
            </w:r>
            <w:r w:rsidDel="00000000" w:rsidR="00000000" w:rsidRPr="00000000">
              <w:rPr>
                <w:rtl w:val="0"/>
              </w:rPr>
            </w:r>
          </w:p>
        </w:tc>
        <w:tc>
          <w:tcPr>
            <w:vAlign w:val="bottom"/>
          </w:tcPr>
          <w:p w:rsidR="00000000" w:rsidDel="00000000" w:rsidP="00000000" w:rsidRDefault="00000000" w:rsidRPr="00000000" w14:paraId="000001E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 Coruña capital</w:t>
            </w:r>
            <w:r w:rsidDel="00000000" w:rsidR="00000000" w:rsidRPr="00000000">
              <w:rPr>
                <w:rtl w:val="0"/>
              </w:rPr>
            </w:r>
          </w:p>
        </w:tc>
        <w:tc>
          <w:tcPr>
            <w:vAlign w:val="bottom"/>
          </w:tcPr>
          <w:p w:rsidR="00000000" w:rsidDel="00000000" w:rsidP="00000000" w:rsidRDefault="00000000" w:rsidRPr="00000000" w14:paraId="000001E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3.183 €</w:t>
            </w:r>
            <w:r w:rsidDel="00000000" w:rsidR="00000000" w:rsidRPr="00000000">
              <w:rPr>
                <w:rtl w:val="0"/>
              </w:rPr>
            </w:r>
          </w:p>
        </w:tc>
        <w:tc>
          <w:tcPr>
            <w:vAlign w:val="bottom"/>
          </w:tcPr>
          <w:p w:rsidR="00000000" w:rsidDel="00000000" w:rsidP="00000000" w:rsidRDefault="00000000" w:rsidRPr="00000000" w14:paraId="000001E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4,9%</w:t>
            </w:r>
          </w:p>
        </w:tc>
        <w:tc>
          <w:tcPr>
            <w:vAlign w:val="bottom"/>
          </w:tcPr>
          <w:p w:rsidR="00000000" w:rsidDel="00000000" w:rsidP="00000000" w:rsidRDefault="00000000" w:rsidRPr="00000000" w14:paraId="000001E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13,6%</w:t>
            </w:r>
          </w:p>
        </w:tc>
      </w:tr>
      <w:tr>
        <w:trPr>
          <w:cantSplit w:val="0"/>
          <w:trHeight w:val="212" w:hRule="atLeast"/>
          <w:tblHeader w:val="0"/>
        </w:trPr>
        <w:tc>
          <w:tcPr>
            <w:vAlign w:val="bottom"/>
          </w:tcPr>
          <w:p w:rsidR="00000000" w:rsidDel="00000000" w:rsidP="00000000" w:rsidRDefault="00000000" w:rsidRPr="00000000" w14:paraId="000001E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Lugo</w:t>
            </w:r>
            <w:r w:rsidDel="00000000" w:rsidR="00000000" w:rsidRPr="00000000">
              <w:rPr>
                <w:rtl w:val="0"/>
              </w:rPr>
            </w:r>
          </w:p>
        </w:tc>
        <w:tc>
          <w:tcPr>
            <w:vAlign w:val="bottom"/>
          </w:tcPr>
          <w:p w:rsidR="00000000" w:rsidDel="00000000" w:rsidP="00000000" w:rsidRDefault="00000000" w:rsidRPr="00000000" w14:paraId="000001E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Lugo capital</w:t>
            </w:r>
            <w:r w:rsidDel="00000000" w:rsidR="00000000" w:rsidRPr="00000000">
              <w:rPr>
                <w:rtl w:val="0"/>
              </w:rPr>
            </w:r>
          </w:p>
        </w:tc>
        <w:tc>
          <w:tcPr>
            <w:vAlign w:val="bottom"/>
          </w:tcPr>
          <w:p w:rsidR="00000000" w:rsidDel="00000000" w:rsidP="00000000" w:rsidRDefault="00000000" w:rsidRPr="00000000" w14:paraId="000001E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1.617 €</w:t>
            </w:r>
            <w:r w:rsidDel="00000000" w:rsidR="00000000" w:rsidRPr="00000000">
              <w:rPr>
                <w:rtl w:val="0"/>
              </w:rPr>
            </w:r>
          </w:p>
        </w:tc>
        <w:tc>
          <w:tcPr>
            <w:vAlign w:val="bottom"/>
          </w:tcPr>
          <w:p w:rsidR="00000000" w:rsidDel="00000000" w:rsidP="00000000" w:rsidRDefault="00000000" w:rsidRPr="00000000" w14:paraId="000001E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-1,4%</w:t>
            </w:r>
            <w:r w:rsidDel="00000000" w:rsidR="00000000" w:rsidRPr="00000000">
              <w:rPr>
                <w:rtl w:val="0"/>
              </w:rPr>
            </w:r>
          </w:p>
        </w:tc>
        <w:tc>
          <w:tcPr>
            <w:vAlign w:val="bottom"/>
          </w:tcPr>
          <w:p w:rsidR="00000000" w:rsidDel="00000000" w:rsidP="00000000" w:rsidRDefault="00000000" w:rsidRPr="00000000" w14:paraId="000001E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13,6%</w:t>
            </w:r>
          </w:p>
        </w:tc>
      </w:tr>
      <w:tr>
        <w:trPr>
          <w:cantSplit w:val="0"/>
          <w:trHeight w:val="212" w:hRule="atLeast"/>
          <w:tblHeader w:val="0"/>
        </w:trPr>
        <w:tc>
          <w:tcPr>
            <w:vAlign w:val="bottom"/>
          </w:tcPr>
          <w:p w:rsidR="00000000" w:rsidDel="00000000" w:rsidP="00000000" w:rsidRDefault="00000000" w:rsidRPr="00000000" w14:paraId="000001E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Ourense</w:t>
            </w:r>
            <w:r w:rsidDel="00000000" w:rsidR="00000000" w:rsidRPr="00000000">
              <w:rPr>
                <w:rtl w:val="0"/>
              </w:rPr>
            </w:r>
          </w:p>
        </w:tc>
        <w:tc>
          <w:tcPr>
            <w:vAlign w:val="bottom"/>
          </w:tcPr>
          <w:p w:rsidR="00000000" w:rsidDel="00000000" w:rsidP="00000000" w:rsidRDefault="00000000" w:rsidRPr="00000000" w14:paraId="000001E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Ourense capital</w:t>
            </w:r>
            <w:r w:rsidDel="00000000" w:rsidR="00000000" w:rsidRPr="00000000">
              <w:rPr>
                <w:rtl w:val="0"/>
              </w:rPr>
            </w:r>
          </w:p>
        </w:tc>
        <w:tc>
          <w:tcPr>
            <w:vAlign w:val="bottom"/>
          </w:tcPr>
          <w:p w:rsidR="00000000" w:rsidDel="00000000" w:rsidP="00000000" w:rsidRDefault="00000000" w:rsidRPr="00000000" w14:paraId="000001E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1.803 €</w:t>
            </w:r>
            <w:r w:rsidDel="00000000" w:rsidR="00000000" w:rsidRPr="00000000">
              <w:rPr>
                <w:rtl w:val="0"/>
              </w:rPr>
            </w:r>
          </w:p>
        </w:tc>
        <w:tc>
          <w:tcPr>
            <w:vAlign w:val="bottom"/>
          </w:tcPr>
          <w:p w:rsidR="00000000" w:rsidDel="00000000" w:rsidP="00000000" w:rsidRDefault="00000000" w:rsidRPr="00000000" w14:paraId="000001E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w:t>
            </w:r>
          </w:p>
        </w:tc>
        <w:tc>
          <w:tcPr>
            <w:vAlign w:val="bottom"/>
          </w:tcPr>
          <w:p w:rsidR="00000000" w:rsidDel="00000000" w:rsidP="00000000" w:rsidRDefault="00000000" w:rsidRPr="00000000" w14:paraId="000001E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13,2%</w:t>
            </w:r>
          </w:p>
        </w:tc>
      </w:tr>
      <w:tr>
        <w:trPr>
          <w:cantSplit w:val="0"/>
          <w:trHeight w:val="212" w:hRule="atLeast"/>
          <w:tblHeader w:val="0"/>
        </w:trPr>
        <w:tc>
          <w:tcPr>
            <w:vAlign w:val="bottom"/>
          </w:tcPr>
          <w:p w:rsidR="00000000" w:rsidDel="00000000" w:rsidP="00000000" w:rsidRDefault="00000000" w:rsidRPr="00000000" w14:paraId="000001E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Almería</w:t>
            </w:r>
            <w:r w:rsidDel="00000000" w:rsidR="00000000" w:rsidRPr="00000000">
              <w:rPr>
                <w:rtl w:val="0"/>
              </w:rPr>
            </w:r>
          </w:p>
        </w:tc>
        <w:tc>
          <w:tcPr>
            <w:vAlign w:val="bottom"/>
          </w:tcPr>
          <w:p w:rsidR="00000000" w:rsidDel="00000000" w:rsidP="00000000" w:rsidRDefault="00000000" w:rsidRPr="00000000" w14:paraId="000001F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Almería capital</w:t>
            </w:r>
            <w:r w:rsidDel="00000000" w:rsidR="00000000" w:rsidRPr="00000000">
              <w:rPr>
                <w:rtl w:val="0"/>
              </w:rPr>
            </w:r>
          </w:p>
        </w:tc>
        <w:tc>
          <w:tcPr>
            <w:vAlign w:val="bottom"/>
          </w:tcPr>
          <w:p w:rsidR="00000000" w:rsidDel="00000000" w:rsidP="00000000" w:rsidRDefault="00000000" w:rsidRPr="00000000" w14:paraId="000001F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1.740 €</w:t>
            </w:r>
            <w:r w:rsidDel="00000000" w:rsidR="00000000" w:rsidRPr="00000000">
              <w:rPr>
                <w:rtl w:val="0"/>
              </w:rPr>
            </w:r>
          </w:p>
        </w:tc>
        <w:tc>
          <w:tcPr>
            <w:vAlign w:val="bottom"/>
          </w:tcPr>
          <w:p w:rsidR="00000000" w:rsidDel="00000000" w:rsidP="00000000" w:rsidRDefault="00000000" w:rsidRPr="00000000" w14:paraId="000001F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w:t>
            </w:r>
          </w:p>
        </w:tc>
        <w:tc>
          <w:tcPr>
            <w:vAlign w:val="bottom"/>
          </w:tcPr>
          <w:p w:rsidR="00000000" w:rsidDel="00000000" w:rsidP="00000000" w:rsidRDefault="00000000" w:rsidRPr="00000000" w14:paraId="000001F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11,9%</w:t>
            </w:r>
          </w:p>
        </w:tc>
      </w:tr>
      <w:tr>
        <w:trPr>
          <w:cantSplit w:val="0"/>
          <w:trHeight w:val="212" w:hRule="atLeast"/>
          <w:tblHeader w:val="0"/>
        </w:trPr>
        <w:tc>
          <w:tcPr>
            <w:vAlign w:val="bottom"/>
          </w:tcPr>
          <w:p w:rsidR="00000000" w:rsidDel="00000000" w:rsidP="00000000" w:rsidRDefault="00000000" w:rsidRPr="00000000" w14:paraId="000001F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Zaragoza</w:t>
            </w:r>
            <w:r w:rsidDel="00000000" w:rsidR="00000000" w:rsidRPr="00000000">
              <w:rPr>
                <w:rtl w:val="0"/>
              </w:rPr>
            </w:r>
          </w:p>
        </w:tc>
        <w:tc>
          <w:tcPr>
            <w:vAlign w:val="bottom"/>
          </w:tcPr>
          <w:p w:rsidR="00000000" w:rsidDel="00000000" w:rsidP="00000000" w:rsidRDefault="00000000" w:rsidRPr="00000000" w14:paraId="000001F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Zaragoza capital</w:t>
            </w:r>
            <w:r w:rsidDel="00000000" w:rsidR="00000000" w:rsidRPr="00000000">
              <w:rPr>
                <w:rtl w:val="0"/>
              </w:rPr>
            </w:r>
          </w:p>
        </w:tc>
        <w:tc>
          <w:tcPr>
            <w:vAlign w:val="bottom"/>
          </w:tcPr>
          <w:p w:rsidR="00000000" w:rsidDel="00000000" w:rsidP="00000000" w:rsidRDefault="00000000" w:rsidRPr="00000000" w14:paraId="000001F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2.327 €</w:t>
            </w:r>
            <w:r w:rsidDel="00000000" w:rsidR="00000000" w:rsidRPr="00000000">
              <w:rPr>
                <w:rtl w:val="0"/>
              </w:rPr>
            </w:r>
          </w:p>
        </w:tc>
        <w:tc>
          <w:tcPr>
            <w:vAlign w:val="bottom"/>
          </w:tcPr>
          <w:p w:rsidR="00000000" w:rsidDel="00000000" w:rsidP="00000000" w:rsidRDefault="00000000" w:rsidRPr="00000000" w14:paraId="000001F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3,0%</w:t>
            </w:r>
          </w:p>
        </w:tc>
        <w:tc>
          <w:tcPr>
            <w:vAlign w:val="bottom"/>
          </w:tcPr>
          <w:p w:rsidR="00000000" w:rsidDel="00000000" w:rsidP="00000000" w:rsidRDefault="00000000" w:rsidRPr="00000000" w14:paraId="000001F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11,5%</w:t>
            </w:r>
          </w:p>
        </w:tc>
      </w:tr>
      <w:tr>
        <w:trPr>
          <w:cantSplit w:val="0"/>
          <w:trHeight w:val="212" w:hRule="atLeast"/>
          <w:tblHeader w:val="0"/>
        </w:trPr>
        <w:tc>
          <w:tcPr>
            <w:vAlign w:val="bottom"/>
          </w:tcPr>
          <w:p w:rsidR="00000000" w:rsidDel="00000000" w:rsidP="00000000" w:rsidRDefault="00000000" w:rsidRPr="00000000" w14:paraId="000001F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Badajoz</w:t>
            </w:r>
            <w:r w:rsidDel="00000000" w:rsidR="00000000" w:rsidRPr="00000000">
              <w:rPr>
                <w:rtl w:val="0"/>
              </w:rPr>
            </w:r>
          </w:p>
        </w:tc>
        <w:tc>
          <w:tcPr>
            <w:vAlign w:val="bottom"/>
          </w:tcPr>
          <w:p w:rsidR="00000000" w:rsidDel="00000000" w:rsidP="00000000" w:rsidRDefault="00000000" w:rsidRPr="00000000" w14:paraId="000001F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Badajoz capital</w:t>
            </w:r>
            <w:r w:rsidDel="00000000" w:rsidR="00000000" w:rsidRPr="00000000">
              <w:rPr>
                <w:rtl w:val="0"/>
              </w:rPr>
            </w:r>
          </w:p>
        </w:tc>
        <w:tc>
          <w:tcPr>
            <w:vAlign w:val="bottom"/>
          </w:tcPr>
          <w:p w:rsidR="00000000" w:rsidDel="00000000" w:rsidP="00000000" w:rsidRDefault="00000000" w:rsidRPr="00000000" w14:paraId="000001F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1.785 €</w:t>
            </w:r>
            <w:r w:rsidDel="00000000" w:rsidR="00000000" w:rsidRPr="00000000">
              <w:rPr>
                <w:rtl w:val="0"/>
              </w:rPr>
            </w:r>
          </w:p>
        </w:tc>
        <w:tc>
          <w:tcPr>
            <w:vAlign w:val="bottom"/>
          </w:tcPr>
          <w:p w:rsidR="00000000" w:rsidDel="00000000" w:rsidP="00000000" w:rsidRDefault="00000000" w:rsidRPr="00000000" w14:paraId="000001F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4,6%</w:t>
            </w:r>
          </w:p>
        </w:tc>
        <w:tc>
          <w:tcPr>
            <w:vAlign w:val="bottom"/>
          </w:tcPr>
          <w:p w:rsidR="00000000" w:rsidDel="00000000" w:rsidP="00000000" w:rsidRDefault="00000000" w:rsidRPr="00000000" w14:paraId="000001F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11,4%</w:t>
            </w:r>
          </w:p>
        </w:tc>
      </w:tr>
      <w:tr>
        <w:trPr>
          <w:cantSplit w:val="0"/>
          <w:trHeight w:val="212" w:hRule="atLeast"/>
          <w:tblHeader w:val="0"/>
        </w:trPr>
        <w:tc>
          <w:tcPr>
            <w:vAlign w:val="bottom"/>
          </w:tcPr>
          <w:p w:rsidR="00000000" w:rsidDel="00000000" w:rsidP="00000000" w:rsidRDefault="00000000" w:rsidRPr="00000000" w14:paraId="000001F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Córdoba</w:t>
            </w:r>
            <w:r w:rsidDel="00000000" w:rsidR="00000000" w:rsidRPr="00000000">
              <w:rPr>
                <w:rtl w:val="0"/>
              </w:rPr>
            </w:r>
          </w:p>
        </w:tc>
        <w:tc>
          <w:tcPr>
            <w:vAlign w:val="bottom"/>
          </w:tcPr>
          <w:p w:rsidR="00000000" w:rsidDel="00000000" w:rsidP="00000000" w:rsidRDefault="00000000" w:rsidRPr="00000000" w14:paraId="000001F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Córdoba capital</w:t>
            </w:r>
            <w:r w:rsidDel="00000000" w:rsidR="00000000" w:rsidRPr="00000000">
              <w:rPr>
                <w:rtl w:val="0"/>
              </w:rPr>
            </w:r>
          </w:p>
        </w:tc>
        <w:tc>
          <w:tcPr>
            <w:vAlign w:val="bottom"/>
          </w:tcPr>
          <w:p w:rsidR="00000000" w:rsidDel="00000000" w:rsidP="00000000" w:rsidRDefault="00000000" w:rsidRPr="00000000" w14:paraId="0000020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1.874 €</w:t>
            </w:r>
            <w:r w:rsidDel="00000000" w:rsidR="00000000" w:rsidRPr="00000000">
              <w:rPr>
                <w:rtl w:val="0"/>
              </w:rPr>
            </w:r>
          </w:p>
        </w:tc>
        <w:tc>
          <w:tcPr>
            <w:vAlign w:val="bottom"/>
          </w:tcPr>
          <w:p w:rsidR="00000000" w:rsidDel="00000000" w:rsidP="00000000" w:rsidRDefault="00000000" w:rsidRPr="00000000" w14:paraId="0000020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1,3%</w:t>
            </w:r>
          </w:p>
        </w:tc>
        <w:tc>
          <w:tcPr>
            <w:vAlign w:val="bottom"/>
          </w:tcPr>
          <w:p w:rsidR="00000000" w:rsidDel="00000000" w:rsidP="00000000" w:rsidRDefault="00000000" w:rsidRPr="00000000" w14:paraId="0000020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11,4%</w:t>
            </w:r>
          </w:p>
        </w:tc>
      </w:tr>
      <w:tr>
        <w:trPr>
          <w:cantSplit w:val="0"/>
          <w:trHeight w:val="212" w:hRule="atLeast"/>
          <w:tblHeader w:val="0"/>
        </w:trPr>
        <w:tc>
          <w:tcPr>
            <w:vAlign w:val="bottom"/>
          </w:tcPr>
          <w:p w:rsidR="00000000" w:rsidDel="00000000" w:rsidP="00000000" w:rsidRDefault="00000000" w:rsidRPr="00000000" w14:paraId="0000020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Guadalajara</w:t>
            </w:r>
            <w:r w:rsidDel="00000000" w:rsidR="00000000" w:rsidRPr="00000000">
              <w:rPr>
                <w:rtl w:val="0"/>
              </w:rPr>
            </w:r>
          </w:p>
        </w:tc>
        <w:tc>
          <w:tcPr>
            <w:vAlign w:val="bottom"/>
          </w:tcPr>
          <w:p w:rsidR="00000000" w:rsidDel="00000000" w:rsidP="00000000" w:rsidRDefault="00000000" w:rsidRPr="00000000" w14:paraId="0000020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Guadalajara capital</w:t>
            </w:r>
            <w:r w:rsidDel="00000000" w:rsidR="00000000" w:rsidRPr="00000000">
              <w:rPr>
                <w:rtl w:val="0"/>
              </w:rPr>
            </w:r>
          </w:p>
        </w:tc>
        <w:tc>
          <w:tcPr>
            <w:vAlign w:val="bottom"/>
          </w:tcPr>
          <w:p w:rsidR="00000000" w:rsidDel="00000000" w:rsidP="00000000" w:rsidRDefault="00000000" w:rsidRPr="00000000" w14:paraId="0000020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2.125 €</w:t>
            </w:r>
            <w:r w:rsidDel="00000000" w:rsidR="00000000" w:rsidRPr="00000000">
              <w:rPr>
                <w:rtl w:val="0"/>
              </w:rPr>
            </w:r>
          </w:p>
        </w:tc>
        <w:tc>
          <w:tcPr>
            <w:vAlign w:val="bottom"/>
          </w:tcPr>
          <w:p w:rsidR="00000000" w:rsidDel="00000000" w:rsidP="00000000" w:rsidRDefault="00000000" w:rsidRPr="00000000" w14:paraId="0000020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2,9%</w:t>
            </w:r>
          </w:p>
        </w:tc>
        <w:tc>
          <w:tcPr>
            <w:vAlign w:val="bottom"/>
          </w:tcPr>
          <w:p w:rsidR="00000000" w:rsidDel="00000000" w:rsidP="00000000" w:rsidRDefault="00000000" w:rsidRPr="00000000" w14:paraId="0000020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10,7%</w:t>
            </w:r>
          </w:p>
        </w:tc>
      </w:tr>
      <w:tr>
        <w:trPr>
          <w:cantSplit w:val="0"/>
          <w:trHeight w:val="212" w:hRule="atLeast"/>
          <w:tblHeader w:val="0"/>
        </w:trPr>
        <w:tc>
          <w:tcPr>
            <w:vAlign w:val="bottom"/>
          </w:tcPr>
          <w:p w:rsidR="00000000" w:rsidDel="00000000" w:rsidP="00000000" w:rsidRDefault="00000000" w:rsidRPr="00000000" w14:paraId="0000020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Cáceres</w:t>
            </w:r>
            <w:r w:rsidDel="00000000" w:rsidR="00000000" w:rsidRPr="00000000">
              <w:rPr>
                <w:rtl w:val="0"/>
              </w:rPr>
            </w:r>
          </w:p>
        </w:tc>
        <w:tc>
          <w:tcPr>
            <w:vAlign w:val="bottom"/>
          </w:tcPr>
          <w:p w:rsidR="00000000" w:rsidDel="00000000" w:rsidP="00000000" w:rsidRDefault="00000000" w:rsidRPr="00000000" w14:paraId="0000020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Cáceres capital</w:t>
            </w:r>
            <w:r w:rsidDel="00000000" w:rsidR="00000000" w:rsidRPr="00000000">
              <w:rPr>
                <w:rtl w:val="0"/>
              </w:rPr>
            </w:r>
          </w:p>
        </w:tc>
        <w:tc>
          <w:tcPr>
            <w:vAlign w:val="bottom"/>
          </w:tcPr>
          <w:p w:rsidR="00000000" w:rsidDel="00000000" w:rsidP="00000000" w:rsidRDefault="00000000" w:rsidRPr="00000000" w14:paraId="0000020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1.589 €</w:t>
            </w:r>
            <w:r w:rsidDel="00000000" w:rsidR="00000000" w:rsidRPr="00000000">
              <w:rPr>
                <w:rtl w:val="0"/>
              </w:rPr>
            </w:r>
          </w:p>
        </w:tc>
        <w:tc>
          <w:tcPr>
            <w:vAlign w:val="bottom"/>
          </w:tcPr>
          <w:p w:rsidR="00000000" w:rsidDel="00000000" w:rsidP="00000000" w:rsidRDefault="00000000" w:rsidRPr="00000000" w14:paraId="0000020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2,4%</w:t>
            </w:r>
          </w:p>
        </w:tc>
        <w:tc>
          <w:tcPr>
            <w:vAlign w:val="bottom"/>
          </w:tcPr>
          <w:p w:rsidR="00000000" w:rsidDel="00000000" w:rsidP="00000000" w:rsidRDefault="00000000" w:rsidRPr="00000000" w14:paraId="0000020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10,7%</w:t>
            </w:r>
          </w:p>
        </w:tc>
      </w:tr>
      <w:tr>
        <w:trPr>
          <w:cantSplit w:val="0"/>
          <w:trHeight w:val="212" w:hRule="atLeast"/>
          <w:tblHeader w:val="0"/>
        </w:trPr>
        <w:tc>
          <w:tcPr>
            <w:vAlign w:val="bottom"/>
          </w:tcPr>
          <w:p w:rsidR="00000000" w:rsidDel="00000000" w:rsidP="00000000" w:rsidRDefault="00000000" w:rsidRPr="00000000" w14:paraId="0000020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Málaga</w:t>
            </w:r>
            <w:r w:rsidDel="00000000" w:rsidR="00000000" w:rsidRPr="00000000">
              <w:rPr>
                <w:rtl w:val="0"/>
              </w:rPr>
            </w:r>
          </w:p>
        </w:tc>
        <w:tc>
          <w:tcPr>
            <w:vAlign w:val="bottom"/>
          </w:tcPr>
          <w:p w:rsidR="00000000" w:rsidDel="00000000" w:rsidP="00000000" w:rsidRDefault="00000000" w:rsidRPr="00000000" w14:paraId="0000020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Málaga capital</w:t>
            </w:r>
            <w:r w:rsidDel="00000000" w:rsidR="00000000" w:rsidRPr="00000000">
              <w:rPr>
                <w:rtl w:val="0"/>
              </w:rPr>
            </w:r>
          </w:p>
        </w:tc>
        <w:tc>
          <w:tcPr>
            <w:vAlign w:val="bottom"/>
          </w:tcPr>
          <w:p w:rsidR="00000000" w:rsidDel="00000000" w:rsidP="00000000" w:rsidRDefault="00000000" w:rsidRPr="00000000" w14:paraId="0000020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4.081 €</w:t>
            </w:r>
            <w:r w:rsidDel="00000000" w:rsidR="00000000" w:rsidRPr="00000000">
              <w:rPr>
                <w:rtl w:val="0"/>
              </w:rPr>
            </w:r>
          </w:p>
        </w:tc>
        <w:tc>
          <w:tcPr>
            <w:vAlign w:val="bottom"/>
          </w:tcPr>
          <w:p w:rsidR="00000000" w:rsidDel="00000000" w:rsidP="00000000" w:rsidRDefault="00000000" w:rsidRPr="00000000" w14:paraId="0000021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0,1%</w:t>
            </w:r>
          </w:p>
        </w:tc>
        <w:tc>
          <w:tcPr>
            <w:vAlign w:val="bottom"/>
          </w:tcPr>
          <w:p w:rsidR="00000000" w:rsidDel="00000000" w:rsidP="00000000" w:rsidRDefault="00000000" w:rsidRPr="00000000" w14:paraId="0000021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10,5%</w:t>
            </w:r>
          </w:p>
        </w:tc>
      </w:tr>
      <w:tr>
        <w:trPr>
          <w:cantSplit w:val="0"/>
          <w:trHeight w:val="212" w:hRule="atLeast"/>
          <w:tblHeader w:val="0"/>
        </w:trPr>
        <w:tc>
          <w:tcPr>
            <w:vAlign w:val="bottom"/>
          </w:tcPr>
          <w:p w:rsidR="00000000" w:rsidDel="00000000" w:rsidP="00000000" w:rsidRDefault="00000000" w:rsidRPr="00000000" w14:paraId="0000021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213">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Barcelona capital</w:t>
            </w:r>
            <w:r w:rsidDel="00000000" w:rsidR="00000000" w:rsidRPr="00000000">
              <w:rPr>
                <w:rtl w:val="0"/>
              </w:rPr>
            </w:r>
          </w:p>
        </w:tc>
        <w:tc>
          <w:tcPr>
            <w:vAlign w:val="bottom"/>
          </w:tcPr>
          <w:p w:rsidR="00000000" w:rsidDel="00000000" w:rsidP="00000000" w:rsidRDefault="00000000" w:rsidRPr="00000000" w14:paraId="0000021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5.083 €</w:t>
            </w:r>
            <w:r w:rsidDel="00000000" w:rsidR="00000000" w:rsidRPr="00000000">
              <w:rPr>
                <w:rtl w:val="0"/>
              </w:rPr>
            </w:r>
          </w:p>
        </w:tc>
        <w:tc>
          <w:tcPr>
            <w:vAlign w:val="bottom"/>
          </w:tcPr>
          <w:p w:rsidR="00000000" w:rsidDel="00000000" w:rsidP="00000000" w:rsidRDefault="00000000" w:rsidRPr="00000000" w14:paraId="0000021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w:t>
            </w:r>
          </w:p>
        </w:tc>
        <w:tc>
          <w:tcPr>
            <w:vAlign w:val="bottom"/>
          </w:tcPr>
          <w:p w:rsidR="00000000" w:rsidDel="00000000" w:rsidP="00000000" w:rsidRDefault="00000000" w:rsidRPr="00000000" w14:paraId="0000021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10,4%</w:t>
            </w:r>
          </w:p>
        </w:tc>
      </w:tr>
      <w:tr>
        <w:trPr>
          <w:cantSplit w:val="0"/>
          <w:trHeight w:val="212" w:hRule="atLeast"/>
          <w:tblHeader w:val="0"/>
        </w:trPr>
        <w:tc>
          <w:tcPr>
            <w:vAlign w:val="bottom"/>
          </w:tcPr>
          <w:p w:rsidR="00000000" w:rsidDel="00000000" w:rsidP="00000000" w:rsidRDefault="00000000" w:rsidRPr="00000000" w14:paraId="0000021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Segovia</w:t>
            </w:r>
            <w:r w:rsidDel="00000000" w:rsidR="00000000" w:rsidRPr="00000000">
              <w:rPr>
                <w:rtl w:val="0"/>
              </w:rPr>
            </w:r>
          </w:p>
        </w:tc>
        <w:tc>
          <w:tcPr>
            <w:vAlign w:val="bottom"/>
          </w:tcPr>
          <w:p w:rsidR="00000000" w:rsidDel="00000000" w:rsidP="00000000" w:rsidRDefault="00000000" w:rsidRPr="00000000" w14:paraId="00000218">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Segovia capital</w:t>
            </w:r>
            <w:r w:rsidDel="00000000" w:rsidR="00000000" w:rsidRPr="00000000">
              <w:rPr>
                <w:rtl w:val="0"/>
              </w:rPr>
            </w:r>
          </w:p>
        </w:tc>
        <w:tc>
          <w:tcPr>
            <w:vAlign w:val="bottom"/>
          </w:tcPr>
          <w:p w:rsidR="00000000" w:rsidDel="00000000" w:rsidP="00000000" w:rsidRDefault="00000000" w:rsidRPr="00000000" w14:paraId="0000021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2.130 €</w:t>
            </w:r>
            <w:r w:rsidDel="00000000" w:rsidR="00000000" w:rsidRPr="00000000">
              <w:rPr>
                <w:rtl w:val="0"/>
              </w:rPr>
            </w:r>
          </w:p>
        </w:tc>
        <w:tc>
          <w:tcPr>
            <w:vAlign w:val="bottom"/>
          </w:tcPr>
          <w:p w:rsidR="00000000" w:rsidDel="00000000" w:rsidP="00000000" w:rsidRDefault="00000000" w:rsidRPr="00000000" w14:paraId="0000021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0,1%</w:t>
            </w:r>
          </w:p>
        </w:tc>
        <w:tc>
          <w:tcPr>
            <w:vAlign w:val="bottom"/>
          </w:tcPr>
          <w:p w:rsidR="00000000" w:rsidDel="00000000" w:rsidP="00000000" w:rsidRDefault="00000000" w:rsidRPr="00000000" w14:paraId="0000021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10,0%</w:t>
            </w:r>
          </w:p>
        </w:tc>
      </w:tr>
      <w:tr>
        <w:trPr>
          <w:cantSplit w:val="0"/>
          <w:trHeight w:val="212" w:hRule="atLeast"/>
          <w:tblHeader w:val="0"/>
        </w:trPr>
        <w:tc>
          <w:tcPr>
            <w:vAlign w:val="bottom"/>
          </w:tcPr>
          <w:p w:rsidR="00000000" w:rsidDel="00000000" w:rsidP="00000000" w:rsidRDefault="00000000" w:rsidRPr="00000000" w14:paraId="0000021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Pontevedra</w:t>
            </w:r>
            <w:r w:rsidDel="00000000" w:rsidR="00000000" w:rsidRPr="00000000">
              <w:rPr>
                <w:rtl w:val="0"/>
              </w:rPr>
            </w:r>
          </w:p>
        </w:tc>
        <w:tc>
          <w:tcPr>
            <w:vAlign w:val="bottom"/>
          </w:tcPr>
          <w:p w:rsidR="00000000" w:rsidDel="00000000" w:rsidP="00000000" w:rsidRDefault="00000000" w:rsidRPr="00000000" w14:paraId="0000021D">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Pontevedra capital</w:t>
            </w:r>
            <w:r w:rsidDel="00000000" w:rsidR="00000000" w:rsidRPr="00000000">
              <w:rPr>
                <w:rtl w:val="0"/>
              </w:rPr>
            </w:r>
          </w:p>
        </w:tc>
        <w:tc>
          <w:tcPr>
            <w:vAlign w:val="bottom"/>
          </w:tcPr>
          <w:p w:rsidR="00000000" w:rsidDel="00000000" w:rsidP="00000000" w:rsidRDefault="00000000" w:rsidRPr="00000000" w14:paraId="0000021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2.460 €</w:t>
            </w:r>
            <w:r w:rsidDel="00000000" w:rsidR="00000000" w:rsidRPr="00000000">
              <w:rPr>
                <w:rtl w:val="0"/>
              </w:rPr>
            </w:r>
          </w:p>
        </w:tc>
        <w:tc>
          <w:tcPr>
            <w:vAlign w:val="bottom"/>
          </w:tcPr>
          <w:p w:rsidR="00000000" w:rsidDel="00000000" w:rsidP="00000000" w:rsidRDefault="00000000" w:rsidRPr="00000000" w14:paraId="0000021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w:t>
            </w:r>
          </w:p>
        </w:tc>
        <w:tc>
          <w:tcPr>
            <w:vAlign w:val="bottom"/>
          </w:tcPr>
          <w:p w:rsidR="00000000" w:rsidDel="00000000" w:rsidP="00000000" w:rsidRDefault="00000000" w:rsidRPr="00000000" w14:paraId="0000022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9,9%</w:t>
            </w:r>
          </w:p>
        </w:tc>
      </w:tr>
      <w:tr>
        <w:trPr>
          <w:cantSplit w:val="0"/>
          <w:trHeight w:val="212" w:hRule="atLeast"/>
          <w:tblHeader w:val="0"/>
        </w:trPr>
        <w:tc>
          <w:tcPr>
            <w:vAlign w:val="bottom"/>
          </w:tcPr>
          <w:p w:rsidR="00000000" w:rsidDel="00000000" w:rsidP="00000000" w:rsidRDefault="00000000" w:rsidRPr="00000000" w14:paraId="0000022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Huelva</w:t>
            </w:r>
            <w:r w:rsidDel="00000000" w:rsidR="00000000" w:rsidRPr="00000000">
              <w:rPr>
                <w:rtl w:val="0"/>
              </w:rPr>
            </w:r>
          </w:p>
        </w:tc>
        <w:tc>
          <w:tcPr>
            <w:vAlign w:val="bottom"/>
          </w:tcPr>
          <w:p w:rsidR="00000000" w:rsidDel="00000000" w:rsidP="00000000" w:rsidRDefault="00000000" w:rsidRPr="00000000" w14:paraId="00000222">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Huelva capital</w:t>
            </w:r>
            <w:r w:rsidDel="00000000" w:rsidR="00000000" w:rsidRPr="00000000">
              <w:rPr>
                <w:rtl w:val="0"/>
              </w:rPr>
            </w:r>
          </w:p>
        </w:tc>
        <w:tc>
          <w:tcPr>
            <w:vAlign w:val="bottom"/>
          </w:tcPr>
          <w:p w:rsidR="00000000" w:rsidDel="00000000" w:rsidP="00000000" w:rsidRDefault="00000000" w:rsidRPr="00000000" w14:paraId="0000022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1.576 €</w:t>
            </w:r>
            <w:r w:rsidDel="00000000" w:rsidR="00000000" w:rsidRPr="00000000">
              <w:rPr>
                <w:rtl w:val="0"/>
              </w:rPr>
            </w:r>
          </w:p>
        </w:tc>
        <w:tc>
          <w:tcPr>
            <w:vAlign w:val="bottom"/>
          </w:tcPr>
          <w:p w:rsidR="00000000" w:rsidDel="00000000" w:rsidP="00000000" w:rsidRDefault="00000000" w:rsidRPr="00000000" w14:paraId="0000022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0,0%</w:t>
            </w:r>
          </w:p>
        </w:tc>
        <w:tc>
          <w:tcPr>
            <w:vAlign w:val="bottom"/>
          </w:tcPr>
          <w:p w:rsidR="00000000" w:rsidDel="00000000" w:rsidP="00000000" w:rsidRDefault="00000000" w:rsidRPr="00000000" w14:paraId="0000022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9,7%</w:t>
            </w:r>
          </w:p>
        </w:tc>
      </w:tr>
      <w:tr>
        <w:trPr>
          <w:cantSplit w:val="0"/>
          <w:trHeight w:val="212" w:hRule="atLeast"/>
          <w:tblHeader w:val="0"/>
        </w:trPr>
        <w:tc>
          <w:tcPr>
            <w:vAlign w:val="bottom"/>
          </w:tcPr>
          <w:p w:rsidR="00000000" w:rsidDel="00000000" w:rsidP="00000000" w:rsidRDefault="00000000" w:rsidRPr="00000000" w14:paraId="0000022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Real</w:t>
            </w:r>
            <w:r w:rsidDel="00000000" w:rsidR="00000000" w:rsidRPr="00000000">
              <w:rPr>
                <w:rtl w:val="0"/>
              </w:rPr>
            </w:r>
          </w:p>
        </w:tc>
        <w:tc>
          <w:tcPr>
            <w:vAlign w:val="bottom"/>
          </w:tcPr>
          <w:p w:rsidR="00000000" w:rsidDel="00000000" w:rsidP="00000000" w:rsidRDefault="00000000" w:rsidRPr="00000000" w14:paraId="0000022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Ciudad Real capital</w:t>
            </w:r>
            <w:r w:rsidDel="00000000" w:rsidR="00000000" w:rsidRPr="00000000">
              <w:rPr>
                <w:rtl w:val="0"/>
              </w:rPr>
            </w:r>
          </w:p>
        </w:tc>
        <w:tc>
          <w:tcPr>
            <w:vAlign w:val="bottom"/>
          </w:tcPr>
          <w:p w:rsidR="00000000" w:rsidDel="00000000" w:rsidP="00000000" w:rsidRDefault="00000000" w:rsidRPr="00000000" w14:paraId="0000022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1.509 €</w:t>
            </w:r>
            <w:r w:rsidDel="00000000" w:rsidR="00000000" w:rsidRPr="00000000">
              <w:rPr>
                <w:rtl w:val="0"/>
              </w:rPr>
            </w:r>
          </w:p>
        </w:tc>
        <w:tc>
          <w:tcPr>
            <w:vAlign w:val="bottom"/>
          </w:tcPr>
          <w:p w:rsidR="00000000" w:rsidDel="00000000" w:rsidP="00000000" w:rsidRDefault="00000000" w:rsidRPr="00000000" w14:paraId="0000022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2,1%</w:t>
            </w:r>
          </w:p>
        </w:tc>
        <w:tc>
          <w:tcPr>
            <w:vAlign w:val="bottom"/>
          </w:tcPr>
          <w:p w:rsidR="00000000" w:rsidDel="00000000" w:rsidP="00000000" w:rsidRDefault="00000000" w:rsidRPr="00000000" w14:paraId="0000022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9,6%</w:t>
            </w:r>
          </w:p>
        </w:tc>
      </w:tr>
      <w:tr>
        <w:trPr>
          <w:cantSplit w:val="0"/>
          <w:trHeight w:val="212" w:hRule="atLeast"/>
          <w:tblHeader w:val="0"/>
        </w:trPr>
        <w:tc>
          <w:tcPr>
            <w:vAlign w:val="bottom"/>
          </w:tcPr>
          <w:p w:rsidR="00000000" w:rsidDel="00000000" w:rsidP="00000000" w:rsidRDefault="00000000" w:rsidRPr="00000000" w14:paraId="0000022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Murcia</w:t>
            </w:r>
            <w:r w:rsidDel="00000000" w:rsidR="00000000" w:rsidRPr="00000000">
              <w:rPr>
                <w:rtl w:val="0"/>
              </w:rPr>
            </w:r>
          </w:p>
        </w:tc>
        <w:tc>
          <w:tcPr>
            <w:vAlign w:val="bottom"/>
          </w:tcPr>
          <w:p w:rsidR="00000000" w:rsidDel="00000000" w:rsidP="00000000" w:rsidRDefault="00000000" w:rsidRPr="00000000" w14:paraId="0000022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Murcia capital</w:t>
            </w:r>
            <w:r w:rsidDel="00000000" w:rsidR="00000000" w:rsidRPr="00000000">
              <w:rPr>
                <w:rtl w:val="0"/>
              </w:rPr>
            </w:r>
          </w:p>
        </w:tc>
        <w:tc>
          <w:tcPr>
            <w:vAlign w:val="bottom"/>
          </w:tcPr>
          <w:p w:rsidR="00000000" w:rsidDel="00000000" w:rsidP="00000000" w:rsidRDefault="00000000" w:rsidRPr="00000000" w14:paraId="0000022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1.800 €</w:t>
            </w:r>
            <w:r w:rsidDel="00000000" w:rsidR="00000000" w:rsidRPr="00000000">
              <w:rPr>
                <w:rtl w:val="0"/>
              </w:rPr>
            </w:r>
          </w:p>
        </w:tc>
        <w:tc>
          <w:tcPr>
            <w:vAlign w:val="bottom"/>
          </w:tcPr>
          <w:p w:rsidR="00000000" w:rsidDel="00000000" w:rsidP="00000000" w:rsidRDefault="00000000" w:rsidRPr="00000000" w14:paraId="0000022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4,3%</w:t>
            </w:r>
          </w:p>
        </w:tc>
        <w:tc>
          <w:tcPr>
            <w:vAlign w:val="bottom"/>
          </w:tcPr>
          <w:p w:rsidR="00000000" w:rsidDel="00000000" w:rsidP="00000000" w:rsidRDefault="00000000" w:rsidRPr="00000000" w14:paraId="0000022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9,1%</w:t>
            </w:r>
          </w:p>
        </w:tc>
      </w:tr>
      <w:tr>
        <w:trPr>
          <w:cantSplit w:val="0"/>
          <w:trHeight w:val="212" w:hRule="atLeast"/>
          <w:tblHeader w:val="0"/>
        </w:trPr>
        <w:tc>
          <w:tcPr>
            <w:vAlign w:val="bottom"/>
          </w:tcPr>
          <w:p w:rsidR="00000000" w:rsidDel="00000000" w:rsidP="00000000" w:rsidRDefault="00000000" w:rsidRPr="00000000" w14:paraId="0000023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23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Jaén capital</w:t>
            </w:r>
            <w:r w:rsidDel="00000000" w:rsidR="00000000" w:rsidRPr="00000000">
              <w:rPr>
                <w:rtl w:val="0"/>
              </w:rPr>
            </w:r>
          </w:p>
        </w:tc>
        <w:tc>
          <w:tcPr>
            <w:vAlign w:val="bottom"/>
          </w:tcPr>
          <w:p w:rsidR="00000000" w:rsidDel="00000000" w:rsidP="00000000" w:rsidRDefault="00000000" w:rsidRPr="00000000" w14:paraId="0000023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1.488 €</w:t>
            </w:r>
            <w:r w:rsidDel="00000000" w:rsidR="00000000" w:rsidRPr="00000000">
              <w:rPr>
                <w:rtl w:val="0"/>
              </w:rPr>
            </w:r>
          </w:p>
        </w:tc>
        <w:tc>
          <w:tcPr>
            <w:vAlign w:val="bottom"/>
          </w:tcPr>
          <w:p w:rsidR="00000000" w:rsidDel="00000000" w:rsidP="00000000" w:rsidRDefault="00000000" w:rsidRPr="00000000" w14:paraId="0000023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w:t>
            </w:r>
          </w:p>
        </w:tc>
        <w:tc>
          <w:tcPr>
            <w:vAlign w:val="bottom"/>
          </w:tcPr>
          <w:p w:rsidR="00000000" w:rsidDel="00000000" w:rsidP="00000000" w:rsidRDefault="00000000" w:rsidRPr="00000000" w14:paraId="0000023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9,1%</w:t>
            </w:r>
          </w:p>
        </w:tc>
      </w:tr>
      <w:tr>
        <w:trPr>
          <w:cantSplit w:val="0"/>
          <w:trHeight w:val="212" w:hRule="atLeast"/>
          <w:tblHeader w:val="0"/>
        </w:trPr>
        <w:tc>
          <w:tcPr>
            <w:vAlign w:val="bottom"/>
          </w:tcPr>
          <w:p w:rsidR="00000000" w:rsidDel="00000000" w:rsidP="00000000" w:rsidRDefault="00000000" w:rsidRPr="00000000" w14:paraId="0000023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Cádiz</w:t>
            </w:r>
            <w:r w:rsidDel="00000000" w:rsidR="00000000" w:rsidRPr="00000000">
              <w:rPr>
                <w:rtl w:val="0"/>
              </w:rPr>
            </w:r>
          </w:p>
        </w:tc>
        <w:tc>
          <w:tcPr>
            <w:vAlign w:val="bottom"/>
          </w:tcPr>
          <w:p w:rsidR="00000000" w:rsidDel="00000000" w:rsidP="00000000" w:rsidRDefault="00000000" w:rsidRPr="00000000" w14:paraId="0000023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Cádiz capital</w:t>
            </w:r>
            <w:r w:rsidDel="00000000" w:rsidR="00000000" w:rsidRPr="00000000">
              <w:rPr>
                <w:rtl w:val="0"/>
              </w:rPr>
            </w:r>
          </w:p>
        </w:tc>
        <w:tc>
          <w:tcPr>
            <w:vAlign w:val="bottom"/>
          </w:tcPr>
          <w:p w:rsidR="00000000" w:rsidDel="00000000" w:rsidP="00000000" w:rsidRDefault="00000000" w:rsidRPr="00000000" w14:paraId="0000023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3.193 €</w:t>
            </w:r>
            <w:r w:rsidDel="00000000" w:rsidR="00000000" w:rsidRPr="00000000">
              <w:rPr>
                <w:rtl w:val="0"/>
              </w:rPr>
            </w:r>
          </w:p>
        </w:tc>
        <w:tc>
          <w:tcPr>
            <w:vAlign w:val="bottom"/>
          </w:tcPr>
          <w:p w:rsidR="00000000" w:rsidDel="00000000" w:rsidP="00000000" w:rsidRDefault="00000000" w:rsidRPr="00000000" w14:paraId="0000023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0,4%</w:t>
            </w:r>
          </w:p>
        </w:tc>
        <w:tc>
          <w:tcPr>
            <w:vAlign w:val="bottom"/>
          </w:tcPr>
          <w:p w:rsidR="00000000" w:rsidDel="00000000" w:rsidP="00000000" w:rsidRDefault="00000000" w:rsidRPr="00000000" w14:paraId="0000023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8,7%</w:t>
            </w:r>
          </w:p>
        </w:tc>
      </w:tr>
      <w:tr>
        <w:trPr>
          <w:cantSplit w:val="0"/>
          <w:trHeight w:val="212" w:hRule="atLeast"/>
          <w:tblHeader w:val="0"/>
        </w:trPr>
        <w:tc>
          <w:tcPr>
            <w:vAlign w:val="bottom"/>
          </w:tcPr>
          <w:p w:rsidR="00000000" w:rsidDel="00000000" w:rsidP="00000000" w:rsidRDefault="00000000" w:rsidRPr="00000000" w14:paraId="0000023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Gipuzkoa</w:t>
            </w:r>
            <w:r w:rsidDel="00000000" w:rsidR="00000000" w:rsidRPr="00000000">
              <w:rPr>
                <w:rtl w:val="0"/>
              </w:rPr>
            </w:r>
          </w:p>
        </w:tc>
        <w:tc>
          <w:tcPr>
            <w:vAlign w:val="bottom"/>
          </w:tcPr>
          <w:p w:rsidR="00000000" w:rsidDel="00000000" w:rsidP="00000000" w:rsidRDefault="00000000" w:rsidRPr="00000000" w14:paraId="0000023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Donostia - San Sebastián</w:t>
            </w:r>
            <w:r w:rsidDel="00000000" w:rsidR="00000000" w:rsidRPr="00000000">
              <w:rPr>
                <w:rtl w:val="0"/>
              </w:rPr>
            </w:r>
          </w:p>
        </w:tc>
        <w:tc>
          <w:tcPr>
            <w:vAlign w:val="bottom"/>
          </w:tcPr>
          <w:p w:rsidR="00000000" w:rsidDel="00000000" w:rsidP="00000000" w:rsidRDefault="00000000" w:rsidRPr="00000000" w14:paraId="0000023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6.784 €</w:t>
            </w:r>
            <w:r w:rsidDel="00000000" w:rsidR="00000000" w:rsidRPr="00000000">
              <w:rPr>
                <w:rtl w:val="0"/>
              </w:rPr>
            </w:r>
          </w:p>
        </w:tc>
        <w:tc>
          <w:tcPr>
            <w:vAlign w:val="bottom"/>
          </w:tcPr>
          <w:p w:rsidR="00000000" w:rsidDel="00000000" w:rsidP="00000000" w:rsidRDefault="00000000" w:rsidRPr="00000000" w14:paraId="0000023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-0,1%</w:t>
            </w:r>
            <w:r w:rsidDel="00000000" w:rsidR="00000000" w:rsidRPr="00000000">
              <w:rPr>
                <w:rtl w:val="0"/>
              </w:rPr>
            </w:r>
          </w:p>
        </w:tc>
        <w:tc>
          <w:tcPr>
            <w:vAlign w:val="bottom"/>
          </w:tcPr>
          <w:p w:rsidR="00000000" w:rsidDel="00000000" w:rsidP="00000000" w:rsidRDefault="00000000" w:rsidRPr="00000000" w14:paraId="0000023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8,1%</w:t>
            </w:r>
          </w:p>
        </w:tc>
      </w:tr>
      <w:tr>
        <w:trPr>
          <w:cantSplit w:val="0"/>
          <w:trHeight w:val="212" w:hRule="atLeast"/>
          <w:tblHeader w:val="0"/>
        </w:trPr>
        <w:tc>
          <w:tcPr>
            <w:vAlign w:val="bottom"/>
          </w:tcPr>
          <w:p w:rsidR="00000000" w:rsidDel="00000000" w:rsidP="00000000" w:rsidRDefault="00000000" w:rsidRPr="00000000" w14:paraId="0000023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 Rioja</w:t>
            </w:r>
            <w:r w:rsidDel="00000000" w:rsidR="00000000" w:rsidRPr="00000000">
              <w:rPr>
                <w:rtl w:val="0"/>
              </w:rPr>
            </w:r>
          </w:p>
        </w:tc>
        <w:tc>
          <w:tcPr>
            <w:vAlign w:val="bottom"/>
          </w:tcPr>
          <w:p w:rsidR="00000000" w:rsidDel="00000000" w:rsidP="00000000" w:rsidRDefault="00000000" w:rsidRPr="00000000" w14:paraId="0000024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Logroño</w:t>
            </w:r>
            <w:r w:rsidDel="00000000" w:rsidR="00000000" w:rsidRPr="00000000">
              <w:rPr>
                <w:rtl w:val="0"/>
              </w:rPr>
            </w:r>
          </w:p>
        </w:tc>
        <w:tc>
          <w:tcPr>
            <w:vAlign w:val="bottom"/>
          </w:tcPr>
          <w:p w:rsidR="00000000" w:rsidDel="00000000" w:rsidP="00000000" w:rsidRDefault="00000000" w:rsidRPr="00000000" w14:paraId="0000024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2.121 €</w:t>
            </w:r>
            <w:r w:rsidDel="00000000" w:rsidR="00000000" w:rsidRPr="00000000">
              <w:rPr>
                <w:rtl w:val="0"/>
              </w:rPr>
            </w:r>
          </w:p>
        </w:tc>
        <w:tc>
          <w:tcPr>
            <w:vAlign w:val="bottom"/>
          </w:tcPr>
          <w:p w:rsidR="00000000" w:rsidDel="00000000" w:rsidP="00000000" w:rsidRDefault="00000000" w:rsidRPr="00000000" w14:paraId="0000024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w:t>
            </w:r>
          </w:p>
        </w:tc>
        <w:tc>
          <w:tcPr>
            <w:vAlign w:val="bottom"/>
          </w:tcPr>
          <w:p w:rsidR="00000000" w:rsidDel="00000000" w:rsidP="00000000" w:rsidRDefault="00000000" w:rsidRPr="00000000" w14:paraId="0000024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6,8%</w:t>
            </w:r>
          </w:p>
        </w:tc>
      </w:tr>
      <w:tr>
        <w:trPr>
          <w:cantSplit w:val="0"/>
          <w:trHeight w:val="212" w:hRule="atLeast"/>
          <w:tblHeader w:val="0"/>
        </w:trPr>
        <w:tc>
          <w:tcPr>
            <w:vAlign w:val="bottom"/>
          </w:tcPr>
          <w:p w:rsidR="00000000" w:rsidDel="00000000" w:rsidP="00000000" w:rsidRDefault="00000000" w:rsidRPr="00000000" w14:paraId="0000024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Soria</w:t>
            </w:r>
            <w:r w:rsidDel="00000000" w:rsidR="00000000" w:rsidRPr="00000000">
              <w:rPr>
                <w:rtl w:val="0"/>
              </w:rPr>
            </w:r>
          </w:p>
        </w:tc>
        <w:tc>
          <w:tcPr>
            <w:vAlign w:val="bottom"/>
          </w:tcPr>
          <w:p w:rsidR="00000000" w:rsidDel="00000000" w:rsidP="00000000" w:rsidRDefault="00000000" w:rsidRPr="00000000" w14:paraId="0000024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Soria capital</w:t>
            </w:r>
            <w:r w:rsidDel="00000000" w:rsidR="00000000" w:rsidRPr="00000000">
              <w:rPr>
                <w:rtl w:val="0"/>
              </w:rPr>
            </w:r>
          </w:p>
        </w:tc>
        <w:tc>
          <w:tcPr>
            <w:vAlign w:val="bottom"/>
          </w:tcPr>
          <w:p w:rsidR="00000000" w:rsidDel="00000000" w:rsidP="00000000" w:rsidRDefault="00000000" w:rsidRPr="00000000" w14:paraId="0000024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2.041 €</w:t>
            </w:r>
            <w:r w:rsidDel="00000000" w:rsidR="00000000" w:rsidRPr="00000000">
              <w:rPr>
                <w:rtl w:val="0"/>
              </w:rPr>
            </w:r>
          </w:p>
        </w:tc>
        <w:tc>
          <w:tcPr>
            <w:vAlign w:val="bottom"/>
          </w:tcPr>
          <w:p w:rsidR="00000000" w:rsidDel="00000000" w:rsidP="00000000" w:rsidRDefault="00000000" w:rsidRPr="00000000" w14:paraId="0000024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3,7%</w:t>
            </w:r>
          </w:p>
        </w:tc>
        <w:tc>
          <w:tcPr>
            <w:vAlign w:val="bottom"/>
          </w:tcPr>
          <w:p w:rsidR="00000000" w:rsidDel="00000000" w:rsidP="00000000" w:rsidRDefault="00000000" w:rsidRPr="00000000" w14:paraId="0000024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6,6%</w:t>
            </w:r>
          </w:p>
        </w:tc>
      </w:tr>
      <w:tr>
        <w:trPr>
          <w:cantSplit w:val="0"/>
          <w:trHeight w:val="212" w:hRule="atLeast"/>
          <w:tblHeader w:val="0"/>
        </w:trPr>
        <w:tc>
          <w:tcPr>
            <w:vAlign w:val="bottom"/>
          </w:tcPr>
          <w:p w:rsidR="00000000" w:rsidDel="00000000" w:rsidP="00000000" w:rsidRDefault="00000000" w:rsidRPr="00000000" w14:paraId="0000024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Sevilla</w:t>
            </w:r>
            <w:r w:rsidDel="00000000" w:rsidR="00000000" w:rsidRPr="00000000">
              <w:rPr>
                <w:rtl w:val="0"/>
              </w:rPr>
            </w:r>
          </w:p>
        </w:tc>
        <w:tc>
          <w:tcPr>
            <w:vAlign w:val="bottom"/>
          </w:tcPr>
          <w:p w:rsidR="00000000" w:rsidDel="00000000" w:rsidP="00000000" w:rsidRDefault="00000000" w:rsidRPr="00000000" w14:paraId="0000024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Sevilla capital</w:t>
            </w:r>
            <w:r w:rsidDel="00000000" w:rsidR="00000000" w:rsidRPr="00000000">
              <w:rPr>
                <w:rtl w:val="0"/>
              </w:rPr>
            </w:r>
          </w:p>
        </w:tc>
        <w:tc>
          <w:tcPr>
            <w:vAlign w:val="bottom"/>
          </w:tcPr>
          <w:p w:rsidR="00000000" w:rsidDel="00000000" w:rsidP="00000000" w:rsidRDefault="00000000" w:rsidRPr="00000000" w14:paraId="0000024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2.699 €</w:t>
            </w:r>
            <w:r w:rsidDel="00000000" w:rsidR="00000000" w:rsidRPr="00000000">
              <w:rPr>
                <w:rtl w:val="0"/>
              </w:rPr>
            </w:r>
          </w:p>
        </w:tc>
        <w:tc>
          <w:tcPr>
            <w:vAlign w:val="bottom"/>
          </w:tcPr>
          <w:p w:rsidR="00000000" w:rsidDel="00000000" w:rsidP="00000000" w:rsidRDefault="00000000" w:rsidRPr="00000000" w14:paraId="0000024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w:t>
            </w:r>
          </w:p>
        </w:tc>
        <w:tc>
          <w:tcPr>
            <w:vAlign w:val="bottom"/>
          </w:tcPr>
          <w:p w:rsidR="00000000" w:rsidDel="00000000" w:rsidP="00000000" w:rsidRDefault="00000000" w:rsidRPr="00000000" w14:paraId="0000024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6,5%</w:t>
            </w:r>
          </w:p>
        </w:tc>
      </w:tr>
      <w:tr>
        <w:trPr>
          <w:cantSplit w:val="0"/>
          <w:trHeight w:val="212" w:hRule="atLeast"/>
          <w:tblHeader w:val="0"/>
        </w:trPr>
        <w:tc>
          <w:tcPr>
            <w:vAlign w:val="bottom"/>
          </w:tcPr>
          <w:p w:rsidR="00000000" w:rsidDel="00000000" w:rsidP="00000000" w:rsidRDefault="00000000" w:rsidRPr="00000000" w14:paraId="0000024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Zamora</w:t>
            </w:r>
            <w:r w:rsidDel="00000000" w:rsidR="00000000" w:rsidRPr="00000000">
              <w:rPr>
                <w:rtl w:val="0"/>
              </w:rPr>
            </w:r>
          </w:p>
        </w:tc>
        <w:tc>
          <w:tcPr>
            <w:vAlign w:val="bottom"/>
          </w:tcPr>
          <w:p w:rsidR="00000000" w:rsidDel="00000000" w:rsidP="00000000" w:rsidRDefault="00000000" w:rsidRPr="00000000" w14:paraId="0000024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Zamora capital</w:t>
            </w:r>
            <w:r w:rsidDel="00000000" w:rsidR="00000000" w:rsidRPr="00000000">
              <w:rPr>
                <w:rtl w:val="0"/>
              </w:rPr>
            </w:r>
          </w:p>
        </w:tc>
        <w:tc>
          <w:tcPr>
            <w:vAlign w:val="bottom"/>
          </w:tcPr>
          <w:p w:rsidR="00000000" w:rsidDel="00000000" w:rsidP="00000000" w:rsidRDefault="00000000" w:rsidRPr="00000000" w14:paraId="0000025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1.377 €</w:t>
            </w:r>
            <w:r w:rsidDel="00000000" w:rsidR="00000000" w:rsidRPr="00000000">
              <w:rPr>
                <w:rtl w:val="0"/>
              </w:rPr>
            </w:r>
          </w:p>
        </w:tc>
        <w:tc>
          <w:tcPr>
            <w:vAlign w:val="bottom"/>
          </w:tcPr>
          <w:p w:rsidR="00000000" w:rsidDel="00000000" w:rsidP="00000000" w:rsidRDefault="00000000" w:rsidRPr="00000000" w14:paraId="0000025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0,6%</w:t>
            </w:r>
          </w:p>
        </w:tc>
        <w:tc>
          <w:tcPr>
            <w:vAlign w:val="bottom"/>
          </w:tcPr>
          <w:p w:rsidR="00000000" w:rsidDel="00000000" w:rsidP="00000000" w:rsidRDefault="00000000" w:rsidRPr="00000000" w14:paraId="0000025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5,9%</w:t>
            </w:r>
          </w:p>
        </w:tc>
      </w:tr>
      <w:tr>
        <w:trPr>
          <w:cantSplit w:val="0"/>
          <w:trHeight w:val="212" w:hRule="atLeast"/>
          <w:tblHeader w:val="0"/>
        </w:trPr>
        <w:tc>
          <w:tcPr>
            <w:vAlign w:val="bottom"/>
          </w:tcPr>
          <w:p w:rsidR="00000000" w:rsidDel="00000000" w:rsidP="00000000" w:rsidRDefault="00000000" w:rsidRPr="00000000" w14:paraId="0000025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Araba - Álava</w:t>
            </w:r>
            <w:r w:rsidDel="00000000" w:rsidR="00000000" w:rsidRPr="00000000">
              <w:rPr>
                <w:rtl w:val="0"/>
              </w:rPr>
            </w:r>
          </w:p>
        </w:tc>
        <w:tc>
          <w:tcPr>
            <w:vAlign w:val="bottom"/>
          </w:tcPr>
          <w:p w:rsidR="00000000" w:rsidDel="00000000" w:rsidP="00000000" w:rsidRDefault="00000000" w:rsidRPr="00000000" w14:paraId="0000025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Vitoria - Gasteiz</w:t>
            </w:r>
            <w:r w:rsidDel="00000000" w:rsidR="00000000" w:rsidRPr="00000000">
              <w:rPr>
                <w:rtl w:val="0"/>
              </w:rPr>
            </w:r>
          </w:p>
        </w:tc>
        <w:tc>
          <w:tcPr>
            <w:vAlign w:val="bottom"/>
          </w:tcPr>
          <w:p w:rsidR="00000000" w:rsidDel="00000000" w:rsidP="00000000" w:rsidRDefault="00000000" w:rsidRPr="00000000" w14:paraId="0000025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3.015 €</w:t>
            </w:r>
            <w:r w:rsidDel="00000000" w:rsidR="00000000" w:rsidRPr="00000000">
              <w:rPr>
                <w:rtl w:val="0"/>
              </w:rPr>
            </w:r>
          </w:p>
        </w:tc>
        <w:tc>
          <w:tcPr>
            <w:vAlign w:val="bottom"/>
          </w:tcPr>
          <w:p w:rsidR="00000000" w:rsidDel="00000000" w:rsidP="00000000" w:rsidRDefault="00000000" w:rsidRPr="00000000" w14:paraId="0000025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0,8%</w:t>
            </w:r>
          </w:p>
        </w:tc>
        <w:tc>
          <w:tcPr>
            <w:vAlign w:val="bottom"/>
          </w:tcPr>
          <w:p w:rsidR="00000000" w:rsidDel="00000000" w:rsidP="00000000" w:rsidRDefault="00000000" w:rsidRPr="00000000" w14:paraId="0000025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5,8%</w:t>
            </w:r>
          </w:p>
        </w:tc>
      </w:tr>
      <w:tr>
        <w:trPr>
          <w:cantSplit w:val="0"/>
          <w:trHeight w:val="212" w:hRule="atLeast"/>
          <w:tblHeader w:val="0"/>
        </w:trPr>
        <w:tc>
          <w:tcPr>
            <w:vAlign w:val="bottom"/>
          </w:tcPr>
          <w:p w:rsidR="00000000" w:rsidDel="00000000" w:rsidP="00000000" w:rsidRDefault="00000000" w:rsidRPr="00000000" w14:paraId="0000025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Ávila</w:t>
            </w:r>
            <w:r w:rsidDel="00000000" w:rsidR="00000000" w:rsidRPr="00000000">
              <w:rPr>
                <w:rtl w:val="0"/>
              </w:rPr>
            </w:r>
          </w:p>
        </w:tc>
        <w:tc>
          <w:tcPr>
            <w:vAlign w:val="bottom"/>
          </w:tcPr>
          <w:p w:rsidR="00000000" w:rsidDel="00000000" w:rsidP="00000000" w:rsidRDefault="00000000" w:rsidRPr="00000000" w14:paraId="0000025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Ávila capital</w:t>
            </w:r>
            <w:r w:rsidDel="00000000" w:rsidR="00000000" w:rsidRPr="00000000">
              <w:rPr>
                <w:rtl w:val="0"/>
              </w:rPr>
            </w:r>
          </w:p>
        </w:tc>
        <w:tc>
          <w:tcPr>
            <w:vAlign w:val="bottom"/>
          </w:tcPr>
          <w:p w:rsidR="00000000" w:rsidDel="00000000" w:rsidP="00000000" w:rsidRDefault="00000000" w:rsidRPr="00000000" w14:paraId="0000025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1.417 €</w:t>
            </w:r>
            <w:r w:rsidDel="00000000" w:rsidR="00000000" w:rsidRPr="00000000">
              <w:rPr>
                <w:rtl w:val="0"/>
              </w:rPr>
            </w:r>
          </w:p>
        </w:tc>
        <w:tc>
          <w:tcPr>
            <w:vAlign w:val="bottom"/>
          </w:tcPr>
          <w:p w:rsidR="00000000" w:rsidDel="00000000" w:rsidP="00000000" w:rsidRDefault="00000000" w:rsidRPr="00000000" w14:paraId="0000025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7,4%</w:t>
            </w:r>
          </w:p>
        </w:tc>
        <w:tc>
          <w:tcPr>
            <w:vAlign w:val="bottom"/>
          </w:tcPr>
          <w:p w:rsidR="00000000" w:rsidDel="00000000" w:rsidP="00000000" w:rsidRDefault="00000000" w:rsidRPr="00000000" w14:paraId="0000025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5,5%</w:t>
            </w:r>
          </w:p>
        </w:tc>
      </w:tr>
      <w:tr>
        <w:trPr>
          <w:cantSplit w:val="0"/>
          <w:trHeight w:val="212" w:hRule="atLeast"/>
          <w:tblHeader w:val="0"/>
        </w:trPr>
        <w:tc>
          <w:tcPr>
            <w:vAlign w:val="bottom"/>
          </w:tcPr>
          <w:p w:rsidR="00000000" w:rsidDel="00000000" w:rsidP="00000000" w:rsidRDefault="00000000" w:rsidRPr="00000000" w14:paraId="0000025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Bizkaia</w:t>
            </w:r>
            <w:r w:rsidDel="00000000" w:rsidR="00000000" w:rsidRPr="00000000">
              <w:rPr>
                <w:rtl w:val="0"/>
              </w:rPr>
            </w:r>
          </w:p>
        </w:tc>
        <w:tc>
          <w:tcPr>
            <w:vAlign w:val="bottom"/>
          </w:tcPr>
          <w:p w:rsidR="00000000" w:rsidDel="00000000" w:rsidP="00000000" w:rsidRDefault="00000000" w:rsidRPr="00000000" w14:paraId="0000025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Bilbao</w:t>
            </w:r>
            <w:r w:rsidDel="00000000" w:rsidR="00000000" w:rsidRPr="00000000">
              <w:rPr>
                <w:rtl w:val="0"/>
              </w:rPr>
            </w:r>
          </w:p>
        </w:tc>
        <w:tc>
          <w:tcPr>
            <w:vAlign w:val="bottom"/>
          </w:tcPr>
          <w:p w:rsidR="00000000" w:rsidDel="00000000" w:rsidP="00000000" w:rsidRDefault="00000000" w:rsidRPr="00000000" w14:paraId="0000025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3.816 €</w:t>
            </w:r>
            <w:r w:rsidDel="00000000" w:rsidR="00000000" w:rsidRPr="00000000">
              <w:rPr>
                <w:rtl w:val="0"/>
              </w:rPr>
            </w:r>
          </w:p>
        </w:tc>
        <w:tc>
          <w:tcPr>
            <w:vAlign w:val="bottom"/>
          </w:tcPr>
          <w:p w:rsidR="00000000" w:rsidDel="00000000" w:rsidP="00000000" w:rsidRDefault="00000000" w:rsidRPr="00000000" w14:paraId="0000026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0,1%</w:t>
            </w:r>
          </w:p>
        </w:tc>
        <w:tc>
          <w:tcPr>
            <w:vAlign w:val="bottom"/>
          </w:tcPr>
          <w:p w:rsidR="00000000" w:rsidDel="00000000" w:rsidP="00000000" w:rsidRDefault="00000000" w:rsidRPr="00000000" w14:paraId="0000026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5,3%</w:t>
            </w:r>
          </w:p>
        </w:tc>
      </w:tr>
      <w:tr>
        <w:trPr>
          <w:cantSplit w:val="0"/>
          <w:trHeight w:val="212" w:hRule="atLeast"/>
          <w:tblHeader w:val="0"/>
        </w:trPr>
        <w:tc>
          <w:tcPr>
            <w:vAlign w:val="bottom"/>
          </w:tcPr>
          <w:p w:rsidR="00000000" w:rsidDel="00000000" w:rsidP="00000000" w:rsidRDefault="00000000" w:rsidRPr="00000000" w14:paraId="0000026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Cantabria</w:t>
            </w:r>
            <w:r w:rsidDel="00000000" w:rsidR="00000000" w:rsidRPr="00000000">
              <w:rPr>
                <w:rtl w:val="0"/>
              </w:rPr>
            </w:r>
          </w:p>
        </w:tc>
        <w:tc>
          <w:tcPr>
            <w:vAlign w:val="bottom"/>
          </w:tcPr>
          <w:p w:rsidR="00000000" w:rsidDel="00000000" w:rsidP="00000000" w:rsidRDefault="00000000" w:rsidRPr="00000000" w14:paraId="00000263">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Santander</w:t>
            </w:r>
            <w:r w:rsidDel="00000000" w:rsidR="00000000" w:rsidRPr="00000000">
              <w:rPr>
                <w:rtl w:val="0"/>
              </w:rPr>
            </w:r>
          </w:p>
        </w:tc>
        <w:tc>
          <w:tcPr>
            <w:vAlign w:val="bottom"/>
          </w:tcPr>
          <w:p w:rsidR="00000000" w:rsidDel="00000000" w:rsidP="00000000" w:rsidRDefault="00000000" w:rsidRPr="00000000" w14:paraId="0000026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2.827 €</w:t>
            </w:r>
            <w:r w:rsidDel="00000000" w:rsidR="00000000" w:rsidRPr="00000000">
              <w:rPr>
                <w:rtl w:val="0"/>
              </w:rPr>
            </w:r>
          </w:p>
        </w:tc>
        <w:tc>
          <w:tcPr>
            <w:vAlign w:val="bottom"/>
          </w:tcPr>
          <w:p w:rsidR="00000000" w:rsidDel="00000000" w:rsidP="00000000" w:rsidRDefault="00000000" w:rsidRPr="00000000" w14:paraId="0000026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3,5%</w:t>
            </w:r>
          </w:p>
        </w:tc>
        <w:tc>
          <w:tcPr>
            <w:vAlign w:val="bottom"/>
          </w:tcPr>
          <w:p w:rsidR="00000000" w:rsidDel="00000000" w:rsidP="00000000" w:rsidRDefault="00000000" w:rsidRPr="00000000" w14:paraId="0000026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4,0%</w:t>
            </w:r>
          </w:p>
        </w:tc>
      </w:tr>
      <w:tr>
        <w:trPr>
          <w:cantSplit w:val="0"/>
          <w:trHeight w:val="212" w:hRule="atLeast"/>
          <w:tblHeader w:val="0"/>
        </w:trPr>
        <w:tc>
          <w:tcPr>
            <w:vAlign w:val="bottom"/>
          </w:tcPr>
          <w:p w:rsidR="00000000" w:rsidDel="00000000" w:rsidP="00000000" w:rsidRDefault="00000000" w:rsidRPr="00000000" w14:paraId="0000026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Tarragona</w:t>
            </w:r>
            <w:r w:rsidDel="00000000" w:rsidR="00000000" w:rsidRPr="00000000">
              <w:rPr>
                <w:rtl w:val="0"/>
              </w:rPr>
            </w:r>
          </w:p>
        </w:tc>
        <w:tc>
          <w:tcPr>
            <w:vAlign w:val="bottom"/>
          </w:tcPr>
          <w:p w:rsidR="00000000" w:rsidDel="00000000" w:rsidP="00000000" w:rsidRDefault="00000000" w:rsidRPr="00000000" w14:paraId="00000268">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Tarragona capital</w:t>
            </w:r>
            <w:r w:rsidDel="00000000" w:rsidR="00000000" w:rsidRPr="00000000">
              <w:rPr>
                <w:rtl w:val="0"/>
              </w:rPr>
            </w:r>
          </w:p>
        </w:tc>
        <w:tc>
          <w:tcPr>
            <w:vAlign w:val="bottom"/>
          </w:tcPr>
          <w:p w:rsidR="00000000" w:rsidDel="00000000" w:rsidP="00000000" w:rsidRDefault="00000000" w:rsidRPr="00000000" w14:paraId="0000026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1.763 €</w:t>
            </w:r>
            <w:r w:rsidDel="00000000" w:rsidR="00000000" w:rsidRPr="00000000">
              <w:rPr>
                <w:rtl w:val="0"/>
              </w:rPr>
            </w:r>
          </w:p>
        </w:tc>
        <w:tc>
          <w:tcPr>
            <w:vAlign w:val="bottom"/>
          </w:tcPr>
          <w:p w:rsidR="00000000" w:rsidDel="00000000" w:rsidP="00000000" w:rsidRDefault="00000000" w:rsidRPr="00000000" w14:paraId="0000026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w:t>
            </w:r>
          </w:p>
        </w:tc>
        <w:tc>
          <w:tcPr>
            <w:vAlign w:val="bottom"/>
          </w:tcPr>
          <w:p w:rsidR="00000000" w:rsidDel="00000000" w:rsidP="00000000" w:rsidRDefault="00000000" w:rsidRPr="00000000" w14:paraId="0000026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2,1%</w:t>
            </w:r>
          </w:p>
        </w:tc>
      </w:tr>
      <w:tr>
        <w:trPr>
          <w:cantSplit w:val="0"/>
          <w:trHeight w:val="212" w:hRule="atLeast"/>
          <w:tblHeader w:val="0"/>
        </w:trPr>
        <w:tc>
          <w:tcPr>
            <w:vAlign w:val="bottom"/>
          </w:tcPr>
          <w:p w:rsidR="00000000" w:rsidDel="00000000" w:rsidP="00000000" w:rsidRDefault="00000000" w:rsidRPr="00000000" w14:paraId="0000026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Navarra</w:t>
            </w:r>
            <w:r w:rsidDel="00000000" w:rsidR="00000000" w:rsidRPr="00000000">
              <w:rPr>
                <w:rtl w:val="0"/>
              </w:rPr>
            </w:r>
          </w:p>
        </w:tc>
        <w:tc>
          <w:tcPr>
            <w:vAlign w:val="bottom"/>
          </w:tcPr>
          <w:p w:rsidR="00000000" w:rsidDel="00000000" w:rsidP="00000000" w:rsidRDefault="00000000" w:rsidRPr="00000000" w14:paraId="0000026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Pamplona / Iruña</w:t>
            </w:r>
          </w:p>
        </w:tc>
        <w:tc>
          <w:tcPr>
            <w:vAlign w:val="bottom"/>
          </w:tcPr>
          <w:p w:rsidR="00000000" w:rsidDel="00000000" w:rsidP="00000000" w:rsidRDefault="00000000" w:rsidRPr="00000000" w14:paraId="0000026E">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3.124 €</w:t>
            </w:r>
            <w:r w:rsidDel="00000000" w:rsidR="00000000" w:rsidRPr="00000000">
              <w:rPr>
                <w:rtl w:val="0"/>
              </w:rPr>
            </w:r>
          </w:p>
        </w:tc>
        <w:tc>
          <w:tcPr>
            <w:vAlign w:val="bottom"/>
          </w:tcPr>
          <w:p w:rsidR="00000000" w:rsidDel="00000000" w:rsidP="00000000" w:rsidRDefault="00000000" w:rsidRPr="00000000" w14:paraId="0000026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-1,2%</w:t>
            </w:r>
          </w:p>
        </w:tc>
        <w:tc>
          <w:tcPr>
            <w:vAlign w:val="bottom"/>
          </w:tcPr>
          <w:p w:rsidR="00000000" w:rsidDel="00000000" w:rsidP="00000000" w:rsidRDefault="00000000" w:rsidRPr="00000000" w14:paraId="00000270">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1,6%</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7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Huesca</w:t>
            </w:r>
            <w:r w:rsidDel="00000000" w:rsidR="00000000" w:rsidRPr="00000000">
              <w:rPr>
                <w:rtl w:val="0"/>
              </w:rPr>
            </w:r>
          </w:p>
        </w:tc>
        <w:tc>
          <w:tcPr>
            <w:vAlign w:val="bottom"/>
          </w:tcPr>
          <w:p w:rsidR="00000000" w:rsidDel="00000000" w:rsidP="00000000" w:rsidRDefault="00000000" w:rsidRPr="00000000" w14:paraId="00000272">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Huesca capital</w:t>
            </w:r>
          </w:p>
        </w:tc>
        <w:tc>
          <w:tcPr>
            <w:vAlign w:val="bottom"/>
          </w:tcPr>
          <w:p w:rsidR="00000000" w:rsidDel="00000000" w:rsidP="00000000" w:rsidRDefault="00000000" w:rsidRPr="00000000" w14:paraId="00000273">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1.617 €</w:t>
            </w:r>
            <w:r w:rsidDel="00000000" w:rsidR="00000000" w:rsidRPr="00000000">
              <w:rPr>
                <w:rtl w:val="0"/>
              </w:rPr>
            </w:r>
          </w:p>
        </w:tc>
        <w:tc>
          <w:tcPr>
            <w:vAlign w:val="bottom"/>
          </w:tcPr>
          <w:p w:rsidR="00000000" w:rsidDel="00000000" w:rsidP="00000000" w:rsidRDefault="00000000" w:rsidRPr="00000000" w14:paraId="00000274">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-0,8%</w:t>
            </w:r>
          </w:p>
        </w:tc>
        <w:tc>
          <w:tcPr>
            <w:vAlign w:val="bottom"/>
          </w:tcPr>
          <w:p w:rsidR="00000000" w:rsidDel="00000000" w:rsidP="00000000" w:rsidRDefault="00000000" w:rsidRPr="00000000" w14:paraId="00000275">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1,2%</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7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Toledo</w:t>
            </w:r>
            <w:r w:rsidDel="00000000" w:rsidR="00000000" w:rsidRPr="00000000">
              <w:rPr>
                <w:rtl w:val="0"/>
              </w:rPr>
            </w:r>
          </w:p>
        </w:tc>
        <w:tc>
          <w:tcPr>
            <w:vAlign w:val="bottom"/>
          </w:tcPr>
          <w:p w:rsidR="00000000" w:rsidDel="00000000" w:rsidP="00000000" w:rsidRDefault="00000000" w:rsidRPr="00000000" w14:paraId="0000027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Toledo capital</w:t>
            </w:r>
          </w:p>
        </w:tc>
        <w:tc>
          <w:tcPr>
            <w:vAlign w:val="bottom"/>
          </w:tcPr>
          <w:p w:rsidR="00000000" w:rsidDel="00000000" w:rsidP="00000000" w:rsidRDefault="00000000" w:rsidRPr="00000000" w14:paraId="00000278">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1.790 €</w:t>
            </w:r>
            <w:r w:rsidDel="00000000" w:rsidR="00000000" w:rsidRPr="00000000">
              <w:rPr>
                <w:rtl w:val="0"/>
              </w:rPr>
            </w:r>
          </w:p>
        </w:tc>
        <w:tc>
          <w:tcPr>
            <w:vAlign w:val="bottom"/>
          </w:tcPr>
          <w:p w:rsidR="00000000" w:rsidDel="00000000" w:rsidP="00000000" w:rsidRDefault="00000000" w:rsidRPr="00000000" w14:paraId="00000279">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1,6%</w:t>
            </w:r>
            <w:r w:rsidDel="00000000" w:rsidR="00000000" w:rsidRPr="00000000">
              <w:rPr>
                <w:rtl w:val="0"/>
              </w:rPr>
            </w:r>
          </w:p>
        </w:tc>
        <w:tc>
          <w:tcPr>
            <w:vAlign w:val="bottom"/>
          </w:tcPr>
          <w:p w:rsidR="00000000" w:rsidDel="00000000" w:rsidP="00000000" w:rsidRDefault="00000000" w:rsidRPr="00000000" w14:paraId="0000027A">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0,9%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7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Girona</w:t>
            </w:r>
            <w:r w:rsidDel="00000000" w:rsidR="00000000" w:rsidRPr="00000000">
              <w:rPr>
                <w:rtl w:val="0"/>
              </w:rPr>
            </w:r>
          </w:p>
        </w:tc>
        <w:tc>
          <w:tcPr>
            <w:vAlign w:val="bottom"/>
          </w:tcPr>
          <w:p w:rsidR="00000000" w:rsidDel="00000000" w:rsidP="00000000" w:rsidRDefault="00000000" w:rsidRPr="00000000" w14:paraId="0000027C">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Girona capital</w:t>
            </w:r>
          </w:p>
        </w:tc>
        <w:tc>
          <w:tcPr>
            <w:vAlign w:val="bottom"/>
          </w:tcPr>
          <w:p w:rsidR="00000000" w:rsidDel="00000000" w:rsidP="00000000" w:rsidRDefault="00000000" w:rsidRPr="00000000" w14:paraId="0000027D">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2.742 €</w:t>
            </w:r>
          </w:p>
        </w:tc>
        <w:tc>
          <w:tcPr>
            <w:vAlign w:val="bottom"/>
          </w:tcPr>
          <w:p w:rsidR="00000000" w:rsidDel="00000000" w:rsidP="00000000" w:rsidRDefault="00000000" w:rsidRPr="00000000" w14:paraId="0000027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3,4%</w:t>
            </w:r>
          </w:p>
        </w:tc>
        <w:tc>
          <w:tcPr>
            <w:vAlign w:val="bottom"/>
          </w:tcPr>
          <w:p w:rsidR="00000000" w:rsidDel="00000000" w:rsidP="00000000" w:rsidRDefault="00000000" w:rsidRPr="00000000" w14:paraId="0000027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-0,2%</w:t>
            </w:r>
            <w:r w:rsidDel="00000000" w:rsidR="00000000" w:rsidRPr="00000000">
              <w:rPr>
                <w:rtl w:val="0"/>
              </w:rPr>
            </w:r>
          </w:p>
        </w:tc>
      </w:tr>
    </w:tbl>
    <w:p w:rsidR="00000000" w:rsidDel="00000000" w:rsidP="00000000" w:rsidRDefault="00000000" w:rsidRPr="00000000" w14:paraId="00000280">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Municipios</w:t>
      </w:r>
    </w:p>
    <w:p w:rsidR="00000000" w:rsidDel="00000000" w:rsidP="00000000" w:rsidRDefault="00000000" w:rsidRPr="00000000" w14:paraId="00000281">
      <w:pPr>
        <w:spacing w:line="276" w:lineRule="auto"/>
        <w:jc w:val="both"/>
        <w:rPr>
          <w:rFonts w:ascii="Open Sans" w:cs="Open Sans" w:eastAsia="Open Sans" w:hAnsi="Open Sans"/>
        </w:rPr>
      </w:pPr>
      <w:r w:rsidDel="00000000" w:rsidR="00000000" w:rsidRPr="00000000">
        <w:rPr>
          <w:rFonts w:ascii="Open Sans" w:cs="Open Sans" w:eastAsia="Open Sans" w:hAnsi="Open Sans"/>
          <w:color w:val="000000"/>
          <w:rtl w:val="0"/>
        </w:rPr>
        <w:t xml:space="preserve">El precio medio de la vivienda de segunda mano sube en el 86% de los 644 municipios con variación interanual analizados </w:t>
      </w:r>
      <w:r w:rsidDel="00000000" w:rsidR="00000000" w:rsidRPr="00000000">
        <w:rPr>
          <w:rFonts w:ascii="Open Sans" w:cs="Open Sans" w:eastAsia="Open Sans" w:hAnsi="Open Sans"/>
          <w:rtl w:val="0"/>
        </w:rPr>
        <w:t xml:space="preserve">por </w:t>
      </w:r>
      <w:hyperlink r:id="rId14">
        <w:r w:rsidDel="00000000" w:rsidR="00000000" w:rsidRPr="00000000">
          <w:rPr>
            <w:rFonts w:ascii="Open Sans" w:cs="Open Sans" w:eastAsia="Open Sans" w:hAnsi="Open Sans"/>
            <w:color w:val="0000ff"/>
            <w:u w:val="single"/>
            <w:rtl w:val="0"/>
          </w:rPr>
          <w:t xml:space="preserve">Fotocasa</w:t>
        </w:r>
      </w:hyperlink>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1"/>
          <w:rtl w:val="0"/>
        </w:rPr>
        <w:t xml:space="preserve">En 13 (2%) </w:t>
      </w:r>
      <w:r w:rsidDel="00000000" w:rsidR="00000000" w:rsidRPr="00000000">
        <w:rPr>
          <w:rFonts w:ascii="Open Sans" w:cs="Open Sans" w:eastAsia="Open Sans" w:hAnsi="Open Sans"/>
          <w:b w:val="1"/>
          <w:color w:val="000000"/>
          <w:rtl w:val="0"/>
        </w:rPr>
        <w:t xml:space="preserve">de los municipios sube el valor interanual de la vivienda por encima del 40% y son:</w:t>
      </w:r>
      <w:r w:rsidDel="00000000" w:rsidR="00000000" w:rsidRPr="00000000">
        <w:rPr>
          <w:b w:val="1"/>
          <w:rtl w:val="0"/>
        </w:rPr>
        <w:t xml:space="preserve"> </w:t>
      </w:r>
      <w:r w:rsidDel="00000000" w:rsidR="00000000" w:rsidRPr="00000000">
        <w:rPr>
          <w:rFonts w:ascii="Open Sans" w:cs="Open Sans" w:eastAsia="Open Sans" w:hAnsi="Open Sans"/>
          <w:b w:val="1"/>
          <w:color w:val="000000"/>
          <w:rtl w:val="0"/>
        </w:rPr>
        <w:t xml:space="preserve">San Pedro del Pinatar (87,8%</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color w:val="000000"/>
          <w:rtl w:val="0"/>
        </w:rPr>
        <w:t xml:space="preserve">Los Alcázares (83,6%</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color w:val="000000"/>
          <w:rtl w:val="0"/>
        </w:rPr>
        <w:t xml:space="preserve">Marín (69,2%</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b w:val="1"/>
          <w:color w:val="000000"/>
          <w:rtl w:val="0"/>
        </w:rPr>
        <w:t xml:space="preserve">Mutxamel (68,1%</w:t>
      </w:r>
      <w:r w:rsidDel="00000000" w:rsidR="00000000" w:rsidRPr="00000000">
        <w:rPr>
          <w:rFonts w:ascii="Open Sans" w:cs="Open Sans" w:eastAsia="Open Sans" w:hAnsi="Open Sans"/>
          <w:b w:val="1"/>
          <w:rtl w:val="0"/>
        </w:rPr>
        <w:t xml:space="preserv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Campos (65,8%</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Dolores (54,8%</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Pego (54,3%</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El Verger (52,7%</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Torreblanca (50,7%</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Bigastro (48,0%</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Santa Eulària des Riu (44,3%</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color w:val="000000"/>
          <w:rtl w:val="0"/>
        </w:rPr>
        <w:t xml:space="preserve">Cuevas del Almanzora (41,7%</w:t>
      </w:r>
      <w:r w:rsidDel="00000000" w:rsidR="00000000" w:rsidRPr="00000000">
        <w:rPr>
          <w:rFonts w:ascii="Open Sans" w:cs="Open Sans" w:eastAsia="Open Sans" w:hAnsi="Open Sans"/>
          <w:rtl w:val="0"/>
        </w:rPr>
        <w:t xml:space="preserve">) y </w:t>
      </w:r>
      <w:r w:rsidDel="00000000" w:rsidR="00000000" w:rsidRPr="00000000">
        <w:rPr>
          <w:rFonts w:ascii="Open Sans" w:cs="Open Sans" w:eastAsia="Open Sans" w:hAnsi="Open Sans"/>
          <w:color w:val="000000"/>
          <w:rtl w:val="0"/>
        </w:rPr>
        <w:t xml:space="preserve">Ayamonte (40,0%</w:t>
      </w:r>
      <w:r w:rsidDel="00000000" w:rsidR="00000000" w:rsidRPr="00000000">
        <w:rPr>
          <w:rFonts w:ascii="Open Sans" w:cs="Open Sans" w:eastAsia="Open Sans" w:hAnsi="Open Sans"/>
          <w:rtl w:val="0"/>
        </w:rPr>
        <w:t xml:space="preserve">). Por otro lado, las diez ciudades con los mayores descensos interanuales son Cartaya</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-47,2%), Paiporta</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-13,4%), La Oliva</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-11,8%), Salt</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-10,7%), Venta de Baños</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-9,8%), Sant Quirze del Vallès </w:t>
      </w:r>
      <w:r w:rsidDel="00000000" w:rsidR="00000000" w:rsidRPr="00000000">
        <w:rPr>
          <w:rFonts w:ascii="Open Sans" w:cs="Open Sans" w:eastAsia="Open Sans" w:hAnsi="Open Sans"/>
          <w:color w:val="000000"/>
          <w:rtl w:val="0"/>
        </w:rPr>
        <w:t xml:space="preserve">(</w:t>
      </w:r>
      <w:r w:rsidDel="00000000" w:rsidR="00000000" w:rsidRPr="00000000">
        <w:rPr>
          <w:rFonts w:ascii="Open Sans" w:cs="Open Sans" w:eastAsia="Open Sans" w:hAnsi="Open Sans"/>
          <w:rtl w:val="0"/>
        </w:rPr>
        <w:t xml:space="preserve">-9,4%), Alovera</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9,3%), Nájera</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9,3%), Tona</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-9,1%) y Polinyà</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rtl w:val="0"/>
        </w:rPr>
        <w:t xml:space="preserve">-9,0%).</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cuanto al precio por metro cuadrado en mayo, vemos que el orden de las ciudades con un precio </w:t>
      </w:r>
      <w:r w:rsidDel="00000000" w:rsidR="00000000" w:rsidRPr="00000000">
        <w:rPr>
          <w:rFonts w:ascii="Open Sans" w:cs="Open Sans" w:eastAsia="Open Sans" w:hAnsi="Open Sans"/>
          <w:b w:val="1"/>
          <w:color w:val="000000"/>
          <w:rtl w:val="0"/>
        </w:rPr>
        <w:t xml:space="preserve">superior a los 6.000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Santa Eulària des Riu con 8.490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Eivissa con 7.156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Campos con 7.038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Sant Josep de sa Talaia con 6.829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Donostia - San Sebastián con 6.784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Andratx con 6.707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Zarautz con 6.551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Calvià con 6.307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y Madrid capital con 6.011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w:t>
      </w: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280" w:before="280"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Por otro lado, los municipios más económicos con precios inferiores a los 600 euros el metro cuadrado son: Torreperogil con 617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Tobarra con 621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Villanueva del Arzobispo con 643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Pozuelo de Calatrava con 649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La Carolina con 668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Montijo con 670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Peñarroya-Pueblonuevo con 694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y Calasparra con 696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280" w:before="280" w:line="276" w:lineRule="auto"/>
        <w:jc w:val="center"/>
        <w:rPr>
          <w:rFonts w:ascii="Open Sans" w:cs="Open Sans" w:eastAsia="Open Sans" w:hAnsi="Open Sans"/>
          <w:color w:val="000000"/>
        </w:rPr>
      </w:pPr>
      <w:r w:rsidDel="00000000" w:rsidR="00000000" w:rsidRPr="00000000">
        <w:rPr>
          <w:rFonts w:ascii="Open Sans Light" w:cs="Open Sans Light" w:eastAsia="Open Sans Light" w:hAnsi="Open Sans Light"/>
          <w:b w:val="1"/>
          <w:color w:val="303ab2"/>
          <w:sz w:val="28"/>
          <w:szCs w:val="28"/>
          <w:rtl w:val="0"/>
        </w:rPr>
        <w:t xml:space="preserve">Municipios con mayor incremento interanual</w:t>
      </w:r>
      <w:r w:rsidDel="00000000" w:rsidR="00000000" w:rsidRPr="00000000">
        <w:rPr>
          <w:rtl w:val="0"/>
        </w:rPr>
      </w:r>
    </w:p>
    <w:tbl>
      <w:tblPr>
        <w:tblStyle w:val="Table4"/>
        <w:tblW w:w="893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701"/>
        <w:gridCol w:w="1985"/>
        <w:gridCol w:w="1984"/>
        <w:gridCol w:w="1560"/>
        <w:gridCol w:w="1701"/>
        <w:tblGridChange w:id="0">
          <w:tblGrid>
            <w:gridCol w:w="1701"/>
            <w:gridCol w:w="1985"/>
            <w:gridCol w:w="1984"/>
            <w:gridCol w:w="1560"/>
            <w:gridCol w:w="1701"/>
          </w:tblGrid>
        </w:tblGridChange>
      </w:tblGrid>
      <w:tr>
        <w:trPr>
          <w:cantSplit w:val="0"/>
          <w:trHeight w:val="212" w:hRule="atLeast"/>
          <w:tblHeader w:val="0"/>
        </w:trPr>
        <w:tc>
          <w:tcPr>
            <w:vAlign w:val="center"/>
          </w:tcPr>
          <w:p w:rsidR="00000000" w:rsidDel="00000000" w:rsidP="00000000" w:rsidRDefault="00000000" w:rsidRPr="00000000" w14:paraId="0000028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28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287">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Mayo 2025</w:t>
            </w:r>
            <w:r w:rsidDel="00000000" w:rsidR="00000000" w:rsidRPr="00000000">
              <w:rPr>
                <w:rtl w:val="0"/>
              </w:rPr>
            </w:r>
          </w:p>
          <w:p w:rsidR="00000000" w:rsidDel="00000000" w:rsidP="00000000" w:rsidRDefault="00000000" w:rsidRPr="00000000" w14:paraId="00000288">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(euros/m²)</w:t>
            </w:r>
            <w:r w:rsidDel="00000000" w:rsidR="00000000" w:rsidRPr="00000000">
              <w:rPr>
                <w:rtl w:val="0"/>
              </w:rPr>
            </w:r>
          </w:p>
        </w:tc>
        <w:tc>
          <w:tcPr>
            <w:vAlign w:val="center"/>
          </w:tcPr>
          <w:p w:rsidR="00000000" w:rsidDel="00000000" w:rsidP="00000000" w:rsidRDefault="00000000" w:rsidRPr="00000000" w14:paraId="00000289">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28A">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8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Murcia</w:t>
            </w:r>
            <w:r w:rsidDel="00000000" w:rsidR="00000000" w:rsidRPr="00000000">
              <w:rPr>
                <w:rtl w:val="0"/>
              </w:rPr>
            </w:r>
          </w:p>
        </w:tc>
        <w:tc>
          <w:tcPr>
            <w:vAlign w:val="bottom"/>
          </w:tcPr>
          <w:p w:rsidR="00000000" w:rsidDel="00000000" w:rsidP="00000000" w:rsidRDefault="00000000" w:rsidRPr="00000000" w14:paraId="0000028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 Pedro del Pinatar</w:t>
            </w:r>
            <w:r w:rsidDel="00000000" w:rsidR="00000000" w:rsidRPr="00000000">
              <w:rPr>
                <w:rtl w:val="0"/>
              </w:rPr>
            </w:r>
          </w:p>
        </w:tc>
        <w:tc>
          <w:tcPr>
            <w:vAlign w:val="bottom"/>
          </w:tcPr>
          <w:p w:rsidR="00000000" w:rsidDel="00000000" w:rsidP="00000000" w:rsidRDefault="00000000" w:rsidRPr="00000000" w14:paraId="0000028D">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2.624 €</w:t>
            </w:r>
            <w:r w:rsidDel="00000000" w:rsidR="00000000" w:rsidRPr="00000000">
              <w:rPr>
                <w:rtl w:val="0"/>
              </w:rPr>
            </w:r>
          </w:p>
        </w:tc>
        <w:tc>
          <w:tcPr>
            <w:vAlign w:val="bottom"/>
          </w:tcPr>
          <w:p w:rsidR="00000000" w:rsidDel="00000000" w:rsidP="00000000" w:rsidRDefault="00000000" w:rsidRPr="00000000" w14:paraId="0000028E">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11,6%</w:t>
            </w:r>
            <w:r w:rsidDel="00000000" w:rsidR="00000000" w:rsidRPr="00000000">
              <w:rPr>
                <w:rtl w:val="0"/>
              </w:rPr>
            </w:r>
          </w:p>
        </w:tc>
        <w:tc>
          <w:tcPr>
            <w:vAlign w:val="bottom"/>
          </w:tcPr>
          <w:p w:rsidR="00000000" w:rsidDel="00000000" w:rsidP="00000000" w:rsidRDefault="00000000" w:rsidRPr="00000000" w14:paraId="0000028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87,8%</w:t>
            </w:r>
          </w:p>
        </w:tc>
      </w:tr>
      <w:tr>
        <w:trPr>
          <w:cantSplit w:val="0"/>
          <w:trHeight w:val="212" w:hRule="atLeast"/>
          <w:tblHeader w:val="0"/>
        </w:trPr>
        <w:tc>
          <w:tcPr>
            <w:vAlign w:val="bottom"/>
          </w:tcPr>
          <w:p w:rsidR="00000000" w:rsidDel="00000000" w:rsidP="00000000" w:rsidRDefault="00000000" w:rsidRPr="00000000" w14:paraId="0000029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Murcia</w:t>
            </w:r>
            <w:r w:rsidDel="00000000" w:rsidR="00000000" w:rsidRPr="00000000">
              <w:rPr>
                <w:rtl w:val="0"/>
              </w:rPr>
            </w:r>
          </w:p>
        </w:tc>
        <w:tc>
          <w:tcPr>
            <w:vAlign w:val="bottom"/>
          </w:tcPr>
          <w:p w:rsidR="00000000" w:rsidDel="00000000" w:rsidP="00000000" w:rsidRDefault="00000000" w:rsidRPr="00000000" w14:paraId="0000029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Los Alcázares</w:t>
            </w:r>
            <w:r w:rsidDel="00000000" w:rsidR="00000000" w:rsidRPr="00000000">
              <w:rPr>
                <w:rtl w:val="0"/>
              </w:rPr>
            </w:r>
          </w:p>
        </w:tc>
        <w:tc>
          <w:tcPr>
            <w:vAlign w:val="bottom"/>
          </w:tcPr>
          <w:p w:rsidR="00000000" w:rsidDel="00000000" w:rsidP="00000000" w:rsidRDefault="00000000" w:rsidRPr="00000000" w14:paraId="00000292">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2.806 €</w:t>
            </w:r>
          </w:p>
        </w:tc>
        <w:tc>
          <w:tcPr>
            <w:vAlign w:val="bottom"/>
          </w:tcPr>
          <w:p w:rsidR="00000000" w:rsidDel="00000000" w:rsidP="00000000" w:rsidRDefault="00000000" w:rsidRPr="00000000" w14:paraId="00000293">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7,8%</w:t>
            </w:r>
            <w:r w:rsidDel="00000000" w:rsidR="00000000" w:rsidRPr="00000000">
              <w:rPr>
                <w:rtl w:val="0"/>
              </w:rPr>
            </w:r>
          </w:p>
        </w:tc>
        <w:tc>
          <w:tcPr>
            <w:vAlign w:val="bottom"/>
          </w:tcPr>
          <w:p w:rsidR="00000000" w:rsidDel="00000000" w:rsidP="00000000" w:rsidRDefault="00000000" w:rsidRPr="00000000" w14:paraId="0000029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83,6%</w:t>
            </w:r>
          </w:p>
        </w:tc>
      </w:tr>
      <w:tr>
        <w:trPr>
          <w:cantSplit w:val="0"/>
          <w:trHeight w:val="212" w:hRule="atLeast"/>
          <w:tblHeader w:val="0"/>
        </w:trPr>
        <w:tc>
          <w:tcPr>
            <w:vAlign w:val="bottom"/>
          </w:tcPr>
          <w:p w:rsidR="00000000" w:rsidDel="00000000" w:rsidP="00000000" w:rsidRDefault="00000000" w:rsidRPr="00000000" w14:paraId="0000029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Pontevedra</w:t>
            </w:r>
            <w:r w:rsidDel="00000000" w:rsidR="00000000" w:rsidRPr="00000000">
              <w:rPr>
                <w:rtl w:val="0"/>
              </w:rPr>
            </w:r>
          </w:p>
        </w:tc>
        <w:tc>
          <w:tcPr>
            <w:vAlign w:val="bottom"/>
          </w:tcPr>
          <w:p w:rsidR="00000000" w:rsidDel="00000000" w:rsidP="00000000" w:rsidRDefault="00000000" w:rsidRPr="00000000" w14:paraId="0000029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Marín</w:t>
            </w:r>
            <w:r w:rsidDel="00000000" w:rsidR="00000000" w:rsidRPr="00000000">
              <w:rPr>
                <w:rtl w:val="0"/>
              </w:rPr>
            </w:r>
          </w:p>
        </w:tc>
        <w:tc>
          <w:tcPr>
            <w:vAlign w:val="bottom"/>
          </w:tcPr>
          <w:p w:rsidR="00000000" w:rsidDel="00000000" w:rsidP="00000000" w:rsidRDefault="00000000" w:rsidRPr="00000000" w14:paraId="00000297">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1.594 €</w:t>
            </w:r>
            <w:r w:rsidDel="00000000" w:rsidR="00000000" w:rsidRPr="00000000">
              <w:rPr>
                <w:rtl w:val="0"/>
              </w:rPr>
            </w:r>
          </w:p>
        </w:tc>
        <w:tc>
          <w:tcPr>
            <w:vAlign w:val="bottom"/>
          </w:tcPr>
          <w:p w:rsidR="00000000" w:rsidDel="00000000" w:rsidP="00000000" w:rsidRDefault="00000000" w:rsidRPr="00000000" w14:paraId="00000298">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-3,6%</w:t>
            </w:r>
            <w:r w:rsidDel="00000000" w:rsidR="00000000" w:rsidRPr="00000000">
              <w:rPr>
                <w:rtl w:val="0"/>
              </w:rPr>
            </w:r>
          </w:p>
        </w:tc>
        <w:tc>
          <w:tcPr>
            <w:vAlign w:val="bottom"/>
          </w:tcPr>
          <w:p w:rsidR="00000000" w:rsidDel="00000000" w:rsidP="00000000" w:rsidRDefault="00000000" w:rsidRPr="00000000" w14:paraId="00000299">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69,2%</w:t>
            </w:r>
          </w:p>
        </w:tc>
      </w:tr>
      <w:tr>
        <w:trPr>
          <w:cantSplit w:val="0"/>
          <w:trHeight w:val="212" w:hRule="atLeast"/>
          <w:tblHeader w:val="0"/>
        </w:trPr>
        <w:tc>
          <w:tcPr>
            <w:vAlign w:val="bottom"/>
          </w:tcPr>
          <w:p w:rsidR="00000000" w:rsidDel="00000000" w:rsidP="00000000" w:rsidRDefault="00000000" w:rsidRPr="00000000" w14:paraId="0000029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29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Mutxamel</w:t>
            </w:r>
            <w:r w:rsidDel="00000000" w:rsidR="00000000" w:rsidRPr="00000000">
              <w:rPr>
                <w:rtl w:val="0"/>
              </w:rPr>
            </w:r>
          </w:p>
        </w:tc>
        <w:tc>
          <w:tcPr>
            <w:vAlign w:val="bottom"/>
          </w:tcPr>
          <w:p w:rsidR="00000000" w:rsidDel="00000000" w:rsidP="00000000" w:rsidRDefault="00000000" w:rsidRPr="00000000" w14:paraId="0000029C">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2.869 €</w:t>
            </w:r>
          </w:p>
        </w:tc>
        <w:tc>
          <w:tcPr>
            <w:vAlign w:val="bottom"/>
          </w:tcPr>
          <w:p w:rsidR="00000000" w:rsidDel="00000000" w:rsidP="00000000" w:rsidRDefault="00000000" w:rsidRPr="00000000" w14:paraId="0000029D">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4,9%</w:t>
            </w:r>
            <w:r w:rsidDel="00000000" w:rsidR="00000000" w:rsidRPr="00000000">
              <w:rPr>
                <w:rtl w:val="0"/>
              </w:rPr>
            </w:r>
          </w:p>
        </w:tc>
        <w:tc>
          <w:tcPr>
            <w:vAlign w:val="bottom"/>
          </w:tcPr>
          <w:p w:rsidR="00000000" w:rsidDel="00000000" w:rsidP="00000000" w:rsidRDefault="00000000" w:rsidRPr="00000000" w14:paraId="0000029E">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68,1%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9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2A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Campos</w:t>
            </w:r>
            <w:r w:rsidDel="00000000" w:rsidR="00000000" w:rsidRPr="00000000">
              <w:rPr>
                <w:rtl w:val="0"/>
              </w:rPr>
            </w:r>
          </w:p>
        </w:tc>
        <w:tc>
          <w:tcPr>
            <w:vAlign w:val="bottom"/>
          </w:tcPr>
          <w:p w:rsidR="00000000" w:rsidDel="00000000" w:rsidP="00000000" w:rsidRDefault="00000000" w:rsidRPr="00000000" w14:paraId="000002A1">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7.038 €</w:t>
            </w:r>
          </w:p>
        </w:tc>
        <w:tc>
          <w:tcPr>
            <w:vAlign w:val="bottom"/>
          </w:tcPr>
          <w:p w:rsidR="00000000" w:rsidDel="00000000" w:rsidP="00000000" w:rsidRDefault="00000000" w:rsidRPr="00000000" w14:paraId="000002A2">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13,9%</w:t>
            </w:r>
            <w:r w:rsidDel="00000000" w:rsidR="00000000" w:rsidRPr="00000000">
              <w:rPr>
                <w:rtl w:val="0"/>
              </w:rPr>
            </w:r>
          </w:p>
        </w:tc>
        <w:tc>
          <w:tcPr>
            <w:vAlign w:val="bottom"/>
          </w:tcPr>
          <w:p w:rsidR="00000000" w:rsidDel="00000000" w:rsidP="00000000" w:rsidRDefault="00000000" w:rsidRPr="00000000" w14:paraId="000002A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65,8%</w:t>
            </w:r>
          </w:p>
        </w:tc>
      </w:tr>
      <w:tr>
        <w:trPr>
          <w:cantSplit w:val="0"/>
          <w:trHeight w:val="212" w:hRule="atLeast"/>
          <w:tblHeader w:val="0"/>
        </w:trPr>
        <w:tc>
          <w:tcPr>
            <w:vAlign w:val="bottom"/>
          </w:tcPr>
          <w:p w:rsidR="00000000" w:rsidDel="00000000" w:rsidP="00000000" w:rsidRDefault="00000000" w:rsidRPr="00000000" w14:paraId="000002A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2A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Dolores</w:t>
            </w:r>
            <w:r w:rsidDel="00000000" w:rsidR="00000000" w:rsidRPr="00000000">
              <w:rPr>
                <w:rtl w:val="0"/>
              </w:rPr>
            </w:r>
          </w:p>
        </w:tc>
        <w:tc>
          <w:tcPr>
            <w:vAlign w:val="bottom"/>
          </w:tcPr>
          <w:p w:rsidR="00000000" w:rsidDel="00000000" w:rsidP="00000000" w:rsidRDefault="00000000" w:rsidRPr="00000000" w14:paraId="000002A6">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1.754 €</w:t>
            </w:r>
          </w:p>
        </w:tc>
        <w:tc>
          <w:tcPr>
            <w:vAlign w:val="bottom"/>
          </w:tcPr>
          <w:p w:rsidR="00000000" w:rsidDel="00000000" w:rsidP="00000000" w:rsidRDefault="00000000" w:rsidRPr="00000000" w14:paraId="000002A7">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13,6%</w:t>
            </w:r>
            <w:r w:rsidDel="00000000" w:rsidR="00000000" w:rsidRPr="00000000">
              <w:rPr>
                <w:rtl w:val="0"/>
              </w:rPr>
            </w:r>
          </w:p>
        </w:tc>
        <w:tc>
          <w:tcPr>
            <w:vAlign w:val="bottom"/>
          </w:tcPr>
          <w:p w:rsidR="00000000" w:rsidDel="00000000" w:rsidP="00000000" w:rsidRDefault="00000000" w:rsidRPr="00000000" w14:paraId="000002A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54,8%</w:t>
            </w:r>
          </w:p>
        </w:tc>
      </w:tr>
      <w:tr>
        <w:trPr>
          <w:cantSplit w:val="0"/>
          <w:trHeight w:val="212" w:hRule="atLeast"/>
          <w:tblHeader w:val="0"/>
        </w:trPr>
        <w:tc>
          <w:tcPr>
            <w:vAlign w:val="bottom"/>
          </w:tcPr>
          <w:p w:rsidR="00000000" w:rsidDel="00000000" w:rsidP="00000000" w:rsidRDefault="00000000" w:rsidRPr="00000000" w14:paraId="000002A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2A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Pego</w:t>
            </w:r>
            <w:r w:rsidDel="00000000" w:rsidR="00000000" w:rsidRPr="00000000">
              <w:rPr>
                <w:rtl w:val="0"/>
              </w:rPr>
            </w:r>
          </w:p>
        </w:tc>
        <w:tc>
          <w:tcPr>
            <w:vAlign w:val="bottom"/>
          </w:tcPr>
          <w:p w:rsidR="00000000" w:rsidDel="00000000" w:rsidP="00000000" w:rsidRDefault="00000000" w:rsidRPr="00000000" w14:paraId="000002A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1.460 €</w:t>
            </w:r>
            <w:r w:rsidDel="00000000" w:rsidR="00000000" w:rsidRPr="00000000">
              <w:rPr>
                <w:rtl w:val="0"/>
              </w:rPr>
            </w:r>
          </w:p>
        </w:tc>
        <w:tc>
          <w:tcPr>
            <w:vAlign w:val="bottom"/>
          </w:tcPr>
          <w:p w:rsidR="00000000" w:rsidDel="00000000" w:rsidP="00000000" w:rsidRDefault="00000000" w:rsidRPr="00000000" w14:paraId="000002A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3,9%</w:t>
            </w:r>
          </w:p>
        </w:tc>
        <w:tc>
          <w:tcPr>
            <w:vAlign w:val="bottom"/>
          </w:tcPr>
          <w:p w:rsidR="00000000" w:rsidDel="00000000" w:rsidP="00000000" w:rsidRDefault="00000000" w:rsidRPr="00000000" w14:paraId="000002A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54,3%</w:t>
            </w:r>
          </w:p>
        </w:tc>
      </w:tr>
      <w:tr>
        <w:trPr>
          <w:cantSplit w:val="0"/>
          <w:trHeight w:val="212" w:hRule="atLeast"/>
          <w:tblHeader w:val="0"/>
        </w:trPr>
        <w:tc>
          <w:tcPr>
            <w:vAlign w:val="bottom"/>
          </w:tcPr>
          <w:p w:rsidR="00000000" w:rsidDel="00000000" w:rsidP="00000000" w:rsidRDefault="00000000" w:rsidRPr="00000000" w14:paraId="000002A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2A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El Verger</w:t>
            </w:r>
            <w:r w:rsidDel="00000000" w:rsidR="00000000" w:rsidRPr="00000000">
              <w:rPr>
                <w:rtl w:val="0"/>
              </w:rPr>
            </w:r>
          </w:p>
        </w:tc>
        <w:tc>
          <w:tcPr>
            <w:vAlign w:val="bottom"/>
          </w:tcPr>
          <w:p w:rsidR="00000000" w:rsidDel="00000000" w:rsidP="00000000" w:rsidRDefault="00000000" w:rsidRPr="00000000" w14:paraId="000002B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3.726 €</w:t>
            </w:r>
            <w:r w:rsidDel="00000000" w:rsidR="00000000" w:rsidRPr="00000000">
              <w:rPr>
                <w:rtl w:val="0"/>
              </w:rPr>
            </w:r>
          </w:p>
        </w:tc>
        <w:tc>
          <w:tcPr>
            <w:vAlign w:val="bottom"/>
          </w:tcPr>
          <w:p w:rsidR="00000000" w:rsidDel="00000000" w:rsidP="00000000" w:rsidRDefault="00000000" w:rsidRPr="00000000" w14:paraId="000002B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3,6%</w:t>
            </w:r>
          </w:p>
        </w:tc>
        <w:tc>
          <w:tcPr>
            <w:vAlign w:val="bottom"/>
          </w:tcPr>
          <w:p w:rsidR="00000000" w:rsidDel="00000000" w:rsidP="00000000" w:rsidRDefault="00000000" w:rsidRPr="00000000" w14:paraId="000002B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52,7%</w:t>
            </w:r>
          </w:p>
        </w:tc>
      </w:tr>
      <w:tr>
        <w:trPr>
          <w:cantSplit w:val="0"/>
          <w:trHeight w:val="212" w:hRule="atLeast"/>
          <w:tblHeader w:val="0"/>
        </w:trPr>
        <w:tc>
          <w:tcPr>
            <w:vAlign w:val="bottom"/>
          </w:tcPr>
          <w:p w:rsidR="00000000" w:rsidDel="00000000" w:rsidP="00000000" w:rsidRDefault="00000000" w:rsidRPr="00000000" w14:paraId="000002B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Castellón</w:t>
            </w:r>
            <w:r w:rsidDel="00000000" w:rsidR="00000000" w:rsidRPr="00000000">
              <w:rPr>
                <w:rtl w:val="0"/>
              </w:rPr>
            </w:r>
          </w:p>
        </w:tc>
        <w:tc>
          <w:tcPr>
            <w:vAlign w:val="bottom"/>
          </w:tcPr>
          <w:p w:rsidR="00000000" w:rsidDel="00000000" w:rsidP="00000000" w:rsidRDefault="00000000" w:rsidRPr="00000000" w14:paraId="000002B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Torreblanca</w:t>
            </w:r>
            <w:r w:rsidDel="00000000" w:rsidR="00000000" w:rsidRPr="00000000">
              <w:rPr>
                <w:rtl w:val="0"/>
              </w:rPr>
            </w:r>
          </w:p>
        </w:tc>
        <w:tc>
          <w:tcPr>
            <w:vAlign w:val="bottom"/>
          </w:tcPr>
          <w:p w:rsidR="00000000" w:rsidDel="00000000" w:rsidP="00000000" w:rsidRDefault="00000000" w:rsidRPr="00000000" w14:paraId="000002B5">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1.593 €</w:t>
            </w:r>
          </w:p>
        </w:tc>
        <w:tc>
          <w:tcPr>
            <w:vAlign w:val="bottom"/>
          </w:tcPr>
          <w:p w:rsidR="00000000" w:rsidDel="00000000" w:rsidP="00000000" w:rsidRDefault="00000000" w:rsidRPr="00000000" w14:paraId="000002B6">
            <w:pPr>
              <w:jc w:val="center"/>
              <w:rPr>
                <w:rFonts w:ascii="Open Sans" w:cs="Open Sans" w:eastAsia="Open Sans" w:hAnsi="Open Sans"/>
                <w:sz w:val="22"/>
                <w:szCs w:val="22"/>
              </w:rPr>
            </w:pPr>
            <w:r w:rsidDel="00000000" w:rsidR="00000000" w:rsidRPr="00000000">
              <w:rPr>
                <w:rtl w:val="0"/>
              </w:rPr>
            </w:r>
          </w:p>
        </w:tc>
        <w:tc>
          <w:tcPr>
            <w:vAlign w:val="bottom"/>
          </w:tcPr>
          <w:p w:rsidR="00000000" w:rsidDel="00000000" w:rsidP="00000000" w:rsidRDefault="00000000" w:rsidRPr="00000000" w14:paraId="000002B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50,7%</w:t>
            </w:r>
          </w:p>
        </w:tc>
      </w:tr>
      <w:tr>
        <w:trPr>
          <w:cantSplit w:val="0"/>
          <w:trHeight w:val="212" w:hRule="atLeast"/>
          <w:tblHeader w:val="0"/>
        </w:trPr>
        <w:tc>
          <w:tcPr>
            <w:vAlign w:val="bottom"/>
          </w:tcPr>
          <w:p w:rsidR="00000000" w:rsidDel="00000000" w:rsidP="00000000" w:rsidRDefault="00000000" w:rsidRPr="00000000" w14:paraId="000002B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Alicante</w:t>
            </w:r>
            <w:r w:rsidDel="00000000" w:rsidR="00000000" w:rsidRPr="00000000">
              <w:rPr>
                <w:rtl w:val="0"/>
              </w:rPr>
            </w:r>
          </w:p>
        </w:tc>
        <w:tc>
          <w:tcPr>
            <w:vAlign w:val="bottom"/>
          </w:tcPr>
          <w:p w:rsidR="00000000" w:rsidDel="00000000" w:rsidP="00000000" w:rsidRDefault="00000000" w:rsidRPr="00000000" w14:paraId="000002B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Bigastro</w:t>
            </w:r>
            <w:r w:rsidDel="00000000" w:rsidR="00000000" w:rsidRPr="00000000">
              <w:rPr>
                <w:rtl w:val="0"/>
              </w:rPr>
            </w:r>
          </w:p>
        </w:tc>
        <w:tc>
          <w:tcPr>
            <w:vAlign w:val="bottom"/>
          </w:tcPr>
          <w:p w:rsidR="00000000" w:rsidDel="00000000" w:rsidP="00000000" w:rsidRDefault="00000000" w:rsidRPr="00000000" w14:paraId="000002BA">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1.085 €</w:t>
            </w:r>
          </w:p>
        </w:tc>
        <w:tc>
          <w:tcPr>
            <w:vAlign w:val="bottom"/>
          </w:tcPr>
          <w:p w:rsidR="00000000" w:rsidDel="00000000" w:rsidP="00000000" w:rsidRDefault="00000000" w:rsidRPr="00000000" w14:paraId="000002BB">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-13,4%</w:t>
            </w:r>
            <w:r w:rsidDel="00000000" w:rsidR="00000000" w:rsidRPr="00000000">
              <w:rPr>
                <w:rtl w:val="0"/>
              </w:rPr>
            </w:r>
          </w:p>
        </w:tc>
        <w:tc>
          <w:tcPr>
            <w:vAlign w:val="bottom"/>
          </w:tcPr>
          <w:p w:rsidR="00000000" w:rsidDel="00000000" w:rsidP="00000000" w:rsidRDefault="00000000" w:rsidRPr="00000000" w14:paraId="000002BC">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48,0%</w:t>
            </w:r>
            <w:r w:rsidDel="00000000" w:rsidR="00000000" w:rsidRPr="00000000">
              <w:rPr>
                <w:rtl w:val="0"/>
              </w:rPr>
            </w:r>
          </w:p>
        </w:tc>
      </w:tr>
    </w:tbl>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280" w:before="280" w:line="276" w:lineRule="auto"/>
        <w:jc w:val="center"/>
        <w:rPr>
          <w:rFonts w:ascii="Open Sans" w:cs="Open Sans" w:eastAsia="Open Sans" w:hAnsi="Open Sans"/>
          <w:color w:val="000000"/>
        </w:rPr>
      </w:pPr>
      <w:r w:rsidDel="00000000" w:rsidR="00000000" w:rsidRPr="00000000">
        <w:rPr>
          <w:rFonts w:ascii="Open Sans Light" w:cs="Open Sans Light" w:eastAsia="Open Sans Light" w:hAnsi="Open Sans Light"/>
          <w:b w:val="1"/>
          <w:color w:val="303ab2"/>
          <w:sz w:val="28"/>
          <w:szCs w:val="28"/>
          <w:rtl w:val="0"/>
        </w:rPr>
        <w:t xml:space="preserve">Municipios con mayor descenso interanual</w:t>
      </w:r>
      <w:r w:rsidDel="00000000" w:rsidR="00000000" w:rsidRPr="00000000">
        <w:rPr>
          <w:rtl w:val="0"/>
        </w:rPr>
      </w:r>
    </w:p>
    <w:tbl>
      <w:tblPr>
        <w:tblStyle w:val="Table5"/>
        <w:tblW w:w="893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701"/>
        <w:gridCol w:w="2009"/>
        <w:gridCol w:w="1973"/>
        <w:gridCol w:w="1554"/>
        <w:gridCol w:w="1694"/>
        <w:tblGridChange w:id="0">
          <w:tblGrid>
            <w:gridCol w:w="1701"/>
            <w:gridCol w:w="2009"/>
            <w:gridCol w:w="1973"/>
            <w:gridCol w:w="1554"/>
            <w:gridCol w:w="1694"/>
          </w:tblGrid>
        </w:tblGridChange>
      </w:tblGrid>
      <w:tr>
        <w:trPr>
          <w:cantSplit w:val="0"/>
          <w:trHeight w:val="212" w:hRule="atLeast"/>
          <w:tblHeader w:val="0"/>
        </w:trPr>
        <w:tc>
          <w:tcPr>
            <w:vAlign w:val="center"/>
          </w:tcPr>
          <w:p w:rsidR="00000000" w:rsidDel="00000000" w:rsidP="00000000" w:rsidRDefault="00000000" w:rsidRPr="00000000" w14:paraId="000002C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2C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2C2">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Mayo 2025</w:t>
            </w:r>
            <w:r w:rsidDel="00000000" w:rsidR="00000000" w:rsidRPr="00000000">
              <w:rPr>
                <w:rtl w:val="0"/>
              </w:rPr>
            </w:r>
          </w:p>
          <w:p w:rsidR="00000000" w:rsidDel="00000000" w:rsidP="00000000" w:rsidRDefault="00000000" w:rsidRPr="00000000" w14:paraId="000002C3">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(euros/m²)</w:t>
            </w:r>
            <w:r w:rsidDel="00000000" w:rsidR="00000000" w:rsidRPr="00000000">
              <w:rPr>
                <w:rtl w:val="0"/>
              </w:rPr>
            </w:r>
          </w:p>
        </w:tc>
        <w:tc>
          <w:tcPr>
            <w:vAlign w:val="center"/>
          </w:tcPr>
          <w:p w:rsidR="00000000" w:rsidDel="00000000" w:rsidP="00000000" w:rsidRDefault="00000000" w:rsidRPr="00000000" w14:paraId="000002C4">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2C5">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C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Huelva</w:t>
            </w:r>
            <w:r w:rsidDel="00000000" w:rsidR="00000000" w:rsidRPr="00000000">
              <w:rPr>
                <w:rtl w:val="0"/>
              </w:rPr>
            </w:r>
          </w:p>
        </w:tc>
        <w:tc>
          <w:tcPr>
            <w:vAlign w:val="bottom"/>
          </w:tcPr>
          <w:p w:rsidR="00000000" w:rsidDel="00000000" w:rsidP="00000000" w:rsidRDefault="00000000" w:rsidRPr="00000000" w14:paraId="000002C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Cartaya</w:t>
            </w:r>
            <w:r w:rsidDel="00000000" w:rsidR="00000000" w:rsidRPr="00000000">
              <w:rPr>
                <w:rtl w:val="0"/>
              </w:rPr>
            </w:r>
          </w:p>
        </w:tc>
        <w:tc>
          <w:tcPr>
            <w:vAlign w:val="bottom"/>
          </w:tcPr>
          <w:p w:rsidR="00000000" w:rsidDel="00000000" w:rsidP="00000000" w:rsidRDefault="00000000" w:rsidRPr="00000000" w14:paraId="000002C8">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886 €</w:t>
            </w:r>
            <w:r w:rsidDel="00000000" w:rsidR="00000000" w:rsidRPr="00000000">
              <w:rPr>
                <w:rtl w:val="0"/>
              </w:rPr>
            </w:r>
          </w:p>
        </w:tc>
        <w:tc>
          <w:tcPr>
            <w:vAlign w:val="bottom"/>
          </w:tcPr>
          <w:p w:rsidR="00000000" w:rsidDel="00000000" w:rsidP="00000000" w:rsidRDefault="00000000" w:rsidRPr="00000000" w14:paraId="000002C9">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-4,7%</w:t>
            </w:r>
            <w:r w:rsidDel="00000000" w:rsidR="00000000" w:rsidRPr="00000000">
              <w:rPr>
                <w:rtl w:val="0"/>
              </w:rPr>
            </w:r>
          </w:p>
        </w:tc>
        <w:tc>
          <w:tcPr>
            <w:vAlign w:val="bottom"/>
          </w:tcPr>
          <w:p w:rsidR="00000000" w:rsidDel="00000000" w:rsidP="00000000" w:rsidRDefault="00000000" w:rsidRPr="00000000" w14:paraId="000002C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-47,2%</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C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Valencia</w:t>
            </w:r>
            <w:r w:rsidDel="00000000" w:rsidR="00000000" w:rsidRPr="00000000">
              <w:rPr>
                <w:rtl w:val="0"/>
              </w:rPr>
            </w:r>
          </w:p>
        </w:tc>
        <w:tc>
          <w:tcPr>
            <w:vAlign w:val="bottom"/>
          </w:tcPr>
          <w:p w:rsidR="00000000" w:rsidDel="00000000" w:rsidP="00000000" w:rsidRDefault="00000000" w:rsidRPr="00000000" w14:paraId="000002C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Paiporta</w:t>
            </w:r>
            <w:r w:rsidDel="00000000" w:rsidR="00000000" w:rsidRPr="00000000">
              <w:rPr>
                <w:rtl w:val="0"/>
              </w:rPr>
            </w:r>
          </w:p>
        </w:tc>
        <w:tc>
          <w:tcPr>
            <w:vAlign w:val="bottom"/>
          </w:tcPr>
          <w:p w:rsidR="00000000" w:rsidDel="00000000" w:rsidP="00000000" w:rsidRDefault="00000000" w:rsidRPr="00000000" w14:paraId="000002CD">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1.747 €</w:t>
            </w:r>
          </w:p>
        </w:tc>
        <w:tc>
          <w:tcPr>
            <w:vAlign w:val="bottom"/>
          </w:tcPr>
          <w:p w:rsidR="00000000" w:rsidDel="00000000" w:rsidP="00000000" w:rsidRDefault="00000000" w:rsidRPr="00000000" w14:paraId="000002CE">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2,2%</w:t>
            </w:r>
            <w:r w:rsidDel="00000000" w:rsidR="00000000" w:rsidRPr="00000000">
              <w:rPr>
                <w:rtl w:val="0"/>
              </w:rPr>
            </w:r>
          </w:p>
        </w:tc>
        <w:tc>
          <w:tcPr>
            <w:vAlign w:val="bottom"/>
          </w:tcPr>
          <w:p w:rsidR="00000000" w:rsidDel="00000000" w:rsidP="00000000" w:rsidRDefault="00000000" w:rsidRPr="00000000" w14:paraId="000002C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-13,4%</w:t>
            </w:r>
            <w:r w:rsidDel="00000000" w:rsidR="00000000" w:rsidRPr="00000000">
              <w:rPr>
                <w:rtl w:val="0"/>
              </w:rPr>
            </w:r>
          </w:p>
        </w:tc>
      </w:tr>
      <w:tr>
        <w:trPr>
          <w:cantSplit w:val="0"/>
          <w:trHeight w:val="262" w:hRule="atLeast"/>
          <w:tblHeader w:val="0"/>
        </w:trPr>
        <w:tc>
          <w:tcPr>
            <w:vAlign w:val="bottom"/>
          </w:tcPr>
          <w:p w:rsidR="00000000" w:rsidDel="00000000" w:rsidP="00000000" w:rsidRDefault="00000000" w:rsidRPr="00000000" w14:paraId="000002D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Las Palmas</w:t>
            </w:r>
            <w:r w:rsidDel="00000000" w:rsidR="00000000" w:rsidRPr="00000000">
              <w:rPr>
                <w:rtl w:val="0"/>
              </w:rPr>
            </w:r>
          </w:p>
        </w:tc>
        <w:tc>
          <w:tcPr>
            <w:vAlign w:val="bottom"/>
          </w:tcPr>
          <w:p w:rsidR="00000000" w:rsidDel="00000000" w:rsidP="00000000" w:rsidRDefault="00000000" w:rsidRPr="00000000" w14:paraId="000002D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La Oliva</w:t>
            </w:r>
            <w:r w:rsidDel="00000000" w:rsidR="00000000" w:rsidRPr="00000000">
              <w:rPr>
                <w:rtl w:val="0"/>
              </w:rPr>
            </w:r>
          </w:p>
        </w:tc>
        <w:tc>
          <w:tcPr>
            <w:vAlign w:val="bottom"/>
          </w:tcPr>
          <w:p w:rsidR="00000000" w:rsidDel="00000000" w:rsidP="00000000" w:rsidRDefault="00000000" w:rsidRPr="00000000" w14:paraId="000002D2">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sz w:val="22"/>
                <w:szCs w:val="22"/>
                <w:rtl w:val="0"/>
              </w:rPr>
              <w:t xml:space="preserve">3.051 €</w:t>
            </w:r>
            <w:r w:rsidDel="00000000" w:rsidR="00000000" w:rsidRPr="00000000">
              <w:rPr>
                <w:rtl w:val="0"/>
              </w:rPr>
            </w:r>
          </w:p>
        </w:tc>
        <w:tc>
          <w:tcPr>
            <w:vAlign w:val="bottom"/>
          </w:tcPr>
          <w:p w:rsidR="00000000" w:rsidDel="00000000" w:rsidP="00000000" w:rsidRDefault="00000000" w:rsidRPr="00000000" w14:paraId="000002D3">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3,1%</w:t>
            </w:r>
            <w:r w:rsidDel="00000000" w:rsidR="00000000" w:rsidRPr="00000000">
              <w:rPr>
                <w:rtl w:val="0"/>
              </w:rPr>
            </w:r>
          </w:p>
        </w:tc>
        <w:tc>
          <w:tcPr>
            <w:vAlign w:val="bottom"/>
          </w:tcPr>
          <w:p w:rsidR="00000000" w:rsidDel="00000000" w:rsidP="00000000" w:rsidRDefault="00000000" w:rsidRPr="00000000" w14:paraId="000002D4">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-11,8%</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D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Girona</w:t>
            </w:r>
            <w:r w:rsidDel="00000000" w:rsidR="00000000" w:rsidRPr="00000000">
              <w:rPr>
                <w:rtl w:val="0"/>
              </w:rPr>
            </w:r>
          </w:p>
        </w:tc>
        <w:tc>
          <w:tcPr>
            <w:vAlign w:val="bottom"/>
          </w:tcPr>
          <w:p w:rsidR="00000000" w:rsidDel="00000000" w:rsidP="00000000" w:rsidRDefault="00000000" w:rsidRPr="00000000" w14:paraId="000002D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Salt</w:t>
            </w:r>
            <w:r w:rsidDel="00000000" w:rsidR="00000000" w:rsidRPr="00000000">
              <w:rPr>
                <w:rtl w:val="0"/>
              </w:rPr>
            </w:r>
          </w:p>
        </w:tc>
        <w:tc>
          <w:tcPr>
            <w:vAlign w:val="bottom"/>
          </w:tcPr>
          <w:p w:rsidR="00000000" w:rsidDel="00000000" w:rsidP="00000000" w:rsidRDefault="00000000" w:rsidRPr="00000000" w14:paraId="000002D7">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1.239 €</w:t>
            </w:r>
          </w:p>
        </w:tc>
        <w:tc>
          <w:tcPr>
            <w:vAlign w:val="bottom"/>
          </w:tcPr>
          <w:p w:rsidR="00000000" w:rsidDel="00000000" w:rsidP="00000000" w:rsidRDefault="00000000" w:rsidRPr="00000000" w14:paraId="000002D8">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3,9%</w:t>
            </w:r>
            <w:r w:rsidDel="00000000" w:rsidR="00000000" w:rsidRPr="00000000">
              <w:rPr>
                <w:rtl w:val="0"/>
              </w:rPr>
            </w:r>
          </w:p>
        </w:tc>
        <w:tc>
          <w:tcPr>
            <w:vAlign w:val="bottom"/>
          </w:tcPr>
          <w:p w:rsidR="00000000" w:rsidDel="00000000" w:rsidP="00000000" w:rsidRDefault="00000000" w:rsidRPr="00000000" w14:paraId="000002D9">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9c0006"/>
                <w:sz w:val="22"/>
                <w:szCs w:val="22"/>
                <w:rtl w:val="0"/>
              </w:rPr>
              <w:t xml:space="preserve">-10,7%</w:t>
            </w:r>
          </w:p>
        </w:tc>
      </w:tr>
      <w:tr>
        <w:trPr>
          <w:cantSplit w:val="0"/>
          <w:trHeight w:val="212" w:hRule="atLeast"/>
          <w:tblHeader w:val="0"/>
        </w:trPr>
        <w:tc>
          <w:tcPr>
            <w:vAlign w:val="bottom"/>
          </w:tcPr>
          <w:p w:rsidR="00000000" w:rsidDel="00000000" w:rsidP="00000000" w:rsidRDefault="00000000" w:rsidRPr="00000000" w14:paraId="000002D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Palencia</w:t>
            </w:r>
            <w:r w:rsidDel="00000000" w:rsidR="00000000" w:rsidRPr="00000000">
              <w:rPr>
                <w:rtl w:val="0"/>
              </w:rPr>
            </w:r>
          </w:p>
        </w:tc>
        <w:tc>
          <w:tcPr>
            <w:vAlign w:val="bottom"/>
          </w:tcPr>
          <w:p w:rsidR="00000000" w:rsidDel="00000000" w:rsidP="00000000" w:rsidRDefault="00000000" w:rsidRPr="00000000" w14:paraId="000002D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Venta de Baños</w:t>
            </w:r>
            <w:r w:rsidDel="00000000" w:rsidR="00000000" w:rsidRPr="00000000">
              <w:rPr>
                <w:rtl w:val="0"/>
              </w:rPr>
            </w:r>
          </w:p>
        </w:tc>
        <w:tc>
          <w:tcPr>
            <w:vAlign w:val="bottom"/>
          </w:tcPr>
          <w:p w:rsidR="00000000" w:rsidDel="00000000" w:rsidP="00000000" w:rsidRDefault="00000000" w:rsidRPr="00000000" w14:paraId="000002DC">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835 €</w:t>
            </w:r>
          </w:p>
        </w:tc>
        <w:tc>
          <w:tcPr>
            <w:vAlign w:val="bottom"/>
          </w:tcPr>
          <w:p w:rsidR="00000000" w:rsidDel="00000000" w:rsidP="00000000" w:rsidRDefault="00000000" w:rsidRPr="00000000" w14:paraId="000002DD">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-2,7%</w:t>
            </w:r>
            <w:r w:rsidDel="00000000" w:rsidR="00000000" w:rsidRPr="00000000">
              <w:rPr>
                <w:rtl w:val="0"/>
              </w:rPr>
            </w:r>
          </w:p>
        </w:tc>
        <w:tc>
          <w:tcPr>
            <w:vAlign w:val="bottom"/>
          </w:tcPr>
          <w:p w:rsidR="00000000" w:rsidDel="00000000" w:rsidP="00000000" w:rsidRDefault="00000000" w:rsidRPr="00000000" w14:paraId="000002D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-9,8%</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D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2E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Sant Quirze del Vallès</w:t>
            </w:r>
            <w:r w:rsidDel="00000000" w:rsidR="00000000" w:rsidRPr="00000000">
              <w:rPr>
                <w:rtl w:val="0"/>
              </w:rPr>
            </w:r>
          </w:p>
        </w:tc>
        <w:tc>
          <w:tcPr>
            <w:vAlign w:val="bottom"/>
          </w:tcPr>
          <w:p w:rsidR="00000000" w:rsidDel="00000000" w:rsidP="00000000" w:rsidRDefault="00000000" w:rsidRPr="00000000" w14:paraId="000002E1">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2.879 €</w:t>
            </w:r>
          </w:p>
        </w:tc>
        <w:tc>
          <w:tcPr>
            <w:vAlign w:val="bottom"/>
          </w:tcPr>
          <w:p w:rsidR="00000000" w:rsidDel="00000000" w:rsidP="00000000" w:rsidRDefault="00000000" w:rsidRPr="00000000" w14:paraId="000002E2">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-0,2%</w:t>
            </w:r>
            <w:r w:rsidDel="00000000" w:rsidR="00000000" w:rsidRPr="00000000">
              <w:rPr>
                <w:rtl w:val="0"/>
              </w:rPr>
            </w:r>
          </w:p>
        </w:tc>
        <w:tc>
          <w:tcPr>
            <w:vAlign w:val="bottom"/>
          </w:tcPr>
          <w:p w:rsidR="00000000" w:rsidDel="00000000" w:rsidP="00000000" w:rsidRDefault="00000000" w:rsidRPr="00000000" w14:paraId="000002E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-9,4%</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E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Guadalajara</w:t>
            </w:r>
            <w:r w:rsidDel="00000000" w:rsidR="00000000" w:rsidRPr="00000000">
              <w:rPr>
                <w:rtl w:val="0"/>
              </w:rPr>
            </w:r>
          </w:p>
        </w:tc>
        <w:tc>
          <w:tcPr>
            <w:vAlign w:val="bottom"/>
          </w:tcPr>
          <w:p w:rsidR="00000000" w:rsidDel="00000000" w:rsidP="00000000" w:rsidRDefault="00000000" w:rsidRPr="00000000" w14:paraId="000002E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Alovera</w:t>
            </w:r>
            <w:r w:rsidDel="00000000" w:rsidR="00000000" w:rsidRPr="00000000">
              <w:rPr>
                <w:rtl w:val="0"/>
              </w:rPr>
            </w:r>
          </w:p>
        </w:tc>
        <w:tc>
          <w:tcPr>
            <w:vAlign w:val="bottom"/>
          </w:tcPr>
          <w:p w:rsidR="00000000" w:rsidDel="00000000" w:rsidP="00000000" w:rsidRDefault="00000000" w:rsidRPr="00000000" w14:paraId="000002E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1.643 €</w:t>
            </w:r>
            <w:r w:rsidDel="00000000" w:rsidR="00000000" w:rsidRPr="00000000">
              <w:rPr>
                <w:rtl w:val="0"/>
              </w:rPr>
            </w:r>
          </w:p>
        </w:tc>
        <w:tc>
          <w:tcPr>
            <w:vAlign w:val="bottom"/>
          </w:tcPr>
          <w:p w:rsidR="00000000" w:rsidDel="00000000" w:rsidP="00000000" w:rsidRDefault="00000000" w:rsidRPr="00000000" w14:paraId="000002E7">
            <w:pPr>
              <w:jc w:val="center"/>
              <w:rPr>
                <w:rFonts w:ascii="Open Sans" w:cs="Open Sans" w:eastAsia="Open Sans" w:hAnsi="Open Sans"/>
                <w:color w:val="000000"/>
                <w:sz w:val="22"/>
                <w:szCs w:val="22"/>
              </w:rPr>
            </w:pPr>
            <w:r w:rsidDel="00000000" w:rsidR="00000000" w:rsidRPr="00000000">
              <w:rPr>
                <w:rtl w:val="0"/>
              </w:rPr>
            </w:r>
          </w:p>
        </w:tc>
        <w:tc>
          <w:tcPr>
            <w:vAlign w:val="bottom"/>
          </w:tcPr>
          <w:p w:rsidR="00000000" w:rsidDel="00000000" w:rsidP="00000000" w:rsidRDefault="00000000" w:rsidRPr="00000000" w14:paraId="000002E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-9,3%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E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 Rioja</w:t>
            </w:r>
            <w:r w:rsidDel="00000000" w:rsidR="00000000" w:rsidRPr="00000000">
              <w:rPr>
                <w:rtl w:val="0"/>
              </w:rPr>
            </w:r>
          </w:p>
        </w:tc>
        <w:tc>
          <w:tcPr>
            <w:vAlign w:val="bottom"/>
          </w:tcPr>
          <w:p w:rsidR="00000000" w:rsidDel="00000000" w:rsidP="00000000" w:rsidRDefault="00000000" w:rsidRPr="00000000" w14:paraId="000002E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Nájera</w:t>
            </w:r>
            <w:r w:rsidDel="00000000" w:rsidR="00000000" w:rsidRPr="00000000">
              <w:rPr>
                <w:rtl w:val="0"/>
              </w:rPr>
            </w:r>
          </w:p>
        </w:tc>
        <w:tc>
          <w:tcPr>
            <w:vAlign w:val="bottom"/>
          </w:tcPr>
          <w:p w:rsidR="00000000" w:rsidDel="00000000" w:rsidP="00000000" w:rsidRDefault="00000000" w:rsidRPr="00000000" w14:paraId="000002E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1.098 €</w:t>
            </w:r>
            <w:r w:rsidDel="00000000" w:rsidR="00000000" w:rsidRPr="00000000">
              <w:rPr>
                <w:rtl w:val="0"/>
              </w:rPr>
            </w:r>
          </w:p>
        </w:tc>
        <w:tc>
          <w:tcPr>
            <w:vAlign w:val="bottom"/>
          </w:tcPr>
          <w:p w:rsidR="00000000" w:rsidDel="00000000" w:rsidP="00000000" w:rsidRDefault="00000000" w:rsidRPr="00000000" w14:paraId="000002E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0,8%</w:t>
            </w:r>
          </w:p>
        </w:tc>
        <w:tc>
          <w:tcPr>
            <w:vAlign w:val="bottom"/>
          </w:tcPr>
          <w:p w:rsidR="00000000" w:rsidDel="00000000" w:rsidP="00000000" w:rsidRDefault="00000000" w:rsidRPr="00000000" w14:paraId="000002E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-9,3%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E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2E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Tona</w:t>
            </w:r>
            <w:r w:rsidDel="00000000" w:rsidR="00000000" w:rsidRPr="00000000">
              <w:rPr>
                <w:rtl w:val="0"/>
              </w:rPr>
            </w:r>
          </w:p>
        </w:tc>
        <w:tc>
          <w:tcPr>
            <w:vAlign w:val="bottom"/>
          </w:tcPr>
          <w:p w:rsidR="00000000" w:rsidDel="00000000" w:rsidP="00000000" w:rsidRDefault="00000000" w:rsidRPr="00000000" w14:paraId="000002F0">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2.353 €</w:t>
            </w:r>
          </w:p>
        </w:tc>
        <w:tc>
          <w:tcPr>
            <w:vAlign w:val="bottom"/>
          </w:tcPr>
          <w:p w:rsidR="00000000" w:rsidDel="00000000" w:rsidP="00000000" w:rsidRDefault="00000000" w:rsidRPr="00000000" w14:paraId="000002F1">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-11,0%</w:t>
            </w:r>
            <w:r w:rsidDel="00000000" w:rsidR="00000000" w:rsidRPr="00000000">
              <w:rPr>
                <w:rtl w:val="0"/>
              </w:rPr>
            </w:r>
          </w:p>
        </w:tc>
        <w:tc>
          <w:tcPr>
            <w:vAlign w:val="bottom"/>
          </w:tcPr>
          <w:p w:rsidR="00000000" w:rsidDel="00000000" w:rsidP="00000000" w:rsidRDefault="00000000" w:rsidRPr="00000000" w14:paraId="000002F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9c0006"/>
                <w:sz w:val="22"/>
                <w:szCs w:val="22"/>
                <w:rtl w:val="0"/>
              </w:rPr>
              <w:t xml:space="preserve">-9,1%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2F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2F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Polinyà</w:t>
            </w:r>
            <w:r w:rsidDel="00000000" w:rsidR="00000000" w:rsidRPr="00000000">
              <w:rPr>
                <w:rtl w:val="0"/>
              </w:rPr>
            </w:r>
          </w:p>
        </w:tc>
        <w:tc>
          <w:tcPr>
            <w:vAlign w:val="bottom"/>
          </w:tcPr>
          <w:p w:rsidR="00000000" w:rsidDel="00000000" w:rsidP="00000000" w:rsidRDefault="00000000" w:rsidRPr="00000000" w14:paraId="000002F5">
            <w:pPr>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2.441 €</w:t>
            </w:r>
          </w:p>
        </w:tc>
        <w:tc>
          <w:tcPr>
            <w:vAlign w:val="bottom"/>
          </w:tcPr>
          <w:p w:rsidR="00000000" w:rsidDel="00000000" w:rsidP="00000000" w:rsidRDefault="00000000" w:rsidRPr="00000000" w14:paraId="000002F6">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1,2%</w:t>
            </w:r>
            <w:r w:rsidDel="00000000" w:rsidR="00000000" w:rsidRPr="00000000">
              <w:rPr>
                <w:rtl w:val="0"/>
              </w:rPr>
            </w:r>
          </w:p>
        </w:tc>
        <w:tc>
          <w:tcPr>
            <w:vAlign w:val="bottom"/>
          </w:tcPr>
          <w:p w:rsidR="00000000" w:rsidDel="00000000" w:rsidP="00000000" w:rsidRDefault="00000000" w:rsidRPr="00000000" w14:paraId="000002F7">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9c0006"/>
                <w:sz w:val="22"/>
                <w:szCs w:val="22"/>
                <w:rtl w:val="0"/>
              </w:rPr>
              <w:t xml:space="preserve">-9,0%</w:t>
            </w:r>
          </w:p>
        </w:tc>
      </w:tr>
    </w:tbl>
    <w:p w:rsidR="00000000" w:rsidDel="00000000" w:rsidP="00000000" w:rsidRDefault="00000000" w:rsidRPr="00000000" w14:paraId="000002F8">
      <w:pPr>
        <w:pBdr>
          <w:top w:space="0" w:sz="0" w:val="nil"/>
          <w:left w:space="0" w:sz="0" w:val="nil"/>
          <w:bottom w:space="0" w:sz="0" w:val="nil"/>
          <w:right w:space="0" w:sz="0" w:val="nil"/>
          <w:between w:space="0" w:sz="0" w:val="nil"/>
        </w:pBd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Municipios con mayor precio</w:t>
      </w:r>
    </w:p>
    <w:tbl>
      <w:tblPr>
        <w:tblStyle w:val="Table6"/>
        <w:tblW w:w="8931.000000000002"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701"/>
        <w:gridCol w:w="1985"/>
        <w:gridCol w:w="1843"/>
        <w:gridCol w:w="1701"/>
        <w:gridCol w:w="1701"/>
        <w:tblGridChange w:id="0">
          <w:tblGrid>
            <w:gridCol w:w="1701"/>
            <w:gridCol w:w="1985"/>
            <w:gridCol w:w="1843"/>
            <w:gridCol w:w="1701"/>
            <w:gridCol w:w="1701"/>
          </w:tblGrid>
        </w:tblGridChange>
      </w:tblGrid>
      <w:tr>
        <w:trPr>
          <w:cantSplit w:val="0"/>
          <w:trHeight w:val="534" w:hRule="atLeast"/>
          <w:tblHeader w:val="0"/>
        </w:trPr>
        <w:tc>
          <w:tcPr>
            <w:vAlign w:val="center"/>
          </w:tcPr>
          <w:p w:rsidR="00000000" w:rsidDel="00000000" w:rsidP="00000000" w:rsidRDefault="00000000" w:rsidRPr="00000000" w14:paraId="000002F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2F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2FC">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Mayo 2025</w:t>
            </w:r>
            <w:r w:rsidDel="00000000" w:rsidR="00000000" w:rsidRPr="00000000">
              <w:rPr>
                <w:rtl w:val="0"/>
              </w:rPr>
            </w:r>
          </w:p>
          <w:p w:rsidR="00000000" w:rsidDel="00000000" w:rsidP="00000000" w:rsidRDefault="00000000" w:rsidRPr="00000000" w14:paraId="000002FD">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(euros/m²)</w:t>
            </w:r>
            <w:r w:rsidDel="00000000" w:rsidR="00000000" w:rsidRPr="00000000">
              <w:rPr>
                <w:rtl w:val="0"/>
              </w:rPr>
            </w:r>
          </w:p>
        </w:tc>
        <w:tc>
          <w:tcPr>
            <w:vAlign w:val="center"/>
          </w:tcPr>
          <w:p w:rsidR="00000000" w:rsidDel="00000000" w:rsidP="00000000" w:rsidRDefault="00000000" w:rsidRPr="00000000" w14:paraId="000002FE">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2FF">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0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30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Santa Eulària des Riu</w:t>
            </w:r>
            <w:r w:rsidDel="00000000" w:rsidR="00000000" w:rsidRPr="00000000">
              <w:rPr>
                <w:rtl w:val="0"/>
              </w:rPr>
            </w:r>
          </w:p>
        </w:tc>
        <w:tc>
          <w:tcPr>
            <w:vAlign w:val="bottom"/>
          </w:tcPr>
          <w:p w:rsidR="00000000" w:rsidDel="00000000" w:rsidP="00000000" w:rsidRDefault="00000000" w:rsidRPr="00000000" w14:paraId="0000030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8.490 €</w:t>
            </w:r>
            <w:r w:rsidDel="00000000" w:rsidR="00000000" w:rsidRPr="00000000">
              <w:rPr>
                <w:rtl w:val="0"/>
              </w:rPr>
            </w:r>
          </w:p>
        </w:tc>
        <w:tc>
          <w:tcPr>
            <w:vAlign w:val="bottom"/>
          </w:tcPr>
          <w:p w:rsidR="00000000" w:rsidDel="00000000" w:rsidP="00000000" w:rsidRDefault="00000000" w:rsidRPr="00000000" w14:paraId="00000303">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1,7%</w:t>
            </w:r>
            <w:r w:rsidDel="00000000" w:rsidR="00000000" w:rsidRPr="00000000">
              <w:rPr>
                <w:rtl w:val="0"/>
              </w:rPr>
            </w:r>
          </w:p>
        </w:tc>
        <w:tc>
          <w:tcPr>
            <w:vAlign w:val="bottom"/>
          </w:tcPr>
          <w:p w:rsidR="00000000" w:rsidDel="00000000" w:rsidP="00000000" w:rsidRDefault="00000000" w:rsidRPr="00000000" w14:paraId="00000304">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44,3%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0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30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Eivissa</w:t>
            </w:r>
            <w:r w:rsidDel="00000000" w:rsidR="00000000" w:rsidRPr="00000000">
              <w:rPr>
                <w:rtl w:val="0"/>
              </w:rPr>
            </w:r>
          </w:p>
        </w:tc>
        <w:tc>
          <w:tcPr>
            <w:vAlign w:val="bottom"/>
          </w:tcPr>
          <w:p w:rsidR="00000000" w:rsidDel="00000000" w:rsidP="00000000" w:rsidRDefault="00000000" w:rsidRPr="00000000" w14:paraId="0000030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7.156 €</w:t>
            </w:r>
            <w:r w:rsidDel="00000000" w:rsidR="00000000" w:rsidRPr="00000000">
              <w:rPr>
                <w:rtl w:val="0"/>
              </w:rPr>
            </w:r>
          </w:p>
        </w:tc>
        <w:tc>
          <w:tcPr>
            <w:vAlign w:val="bottom"/>
          </w:tcPr>
          <w:p w:rsidR="00000000" w:rsidDel="00000000" w:rsidP="00000000" w:rsidRDefault="00000000" w:rsidRPr="00000000" w14:paraId="00000308">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-0,8%</w:t>
            </w:r>
            <w:r w:rsidDel="00000000" w:rsidR="00000000" w:rsidRPr="00000000">
              <w:rPr>
                <w:rtl w:val="0"/>
              </w:rPr>
            </w:r>
          </w:p>
        </w:tc>
        <w:tc>
          <w:tcPr>
            <w:vAlign w:val="bottom"/>
          </w:tcPr>
          <w:p w:rsidR="00000000" w:rsidDel="00000000" w:rsidP="00000000" w:rsidRDefault="00000000" w:rsidRPr="00000000" w14:paraId="00000309">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0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30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Campos</w:t>
            </w:r>
            <w:r w:rsidDel="00000000" w:rsidR="00000000" w:rsidRPr="00000000">
              <w:rPr>
                <w:rtl w:val="0"/>
              </w:rPr>
            </w:r>
          </w:p>
        </w:tc>
        <w:tc>
          <w:tcPr>
            <w:vAlign w:val="bottom"/>
          </w:tcPr>
          <w:p w:rsidR="00000000" w:rsidDel="00000000" w:rsidP="00000000" w:rsidRDefault="00000000" w:rsidRPr="00000000" w14:paraId="0000030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7.038 €</w:t>
            </w:r>
            <w:r w:rsidDel="00000000" w:rsidR="00000000" w:rsidRPr="00000000">
              <w:rPr>
                <w:rtl w:val="0"/>
              </w:rPr>
            </w:r>
          </w:p>
        </w:tc>
        <w:tc>
          <w:tcPr>
            <w:vAlign w:val="bottom"/>
          </w:tcPr>
          <w:p w:rsidR="00000000" w:rsidDel="00000000" w:rsidP="00000000" w:rsidRDefault="00000000" w:rsidRPr="00000000" w14:paraId="0000030D">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13,9%</w:t>
            </w:r>
            <w:r w:rsidDel="00000000" w:rsidR="00000000" w:rsidRPr="00000000">
              <w:rPr>
                <w:rtl w:val="0"/>
              </w:rPr>
            </w:r>
          </w:p>
        </w:tc>
        <w:tc>
          <w:tcPr>
            <w:vAlign w:val="bottom"/>
          </w:tcPr>
          <w:p w:rsidR="00000000" w:rsidDel="00000000" w:rsidP="00000000" w:rsidRDefault="00000000" w:rsidRPr="00000000" w14:paraId="0000030E">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65,8%</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0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31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Sant Josep de sa Talaia</w:t>
            </w:r>
            <w:r w:rsidDel="00000000" w:rsidR="00000000" w:rsidRPr="00000000">
              <w:rPr>
                <w:rtl w:val="0"/>
              </w:rPr>
            </w:r>
          </w:p>
        </w:tc>
        <w:tc>
          <w:tcPr>
            <w:vAlign w:val="bottom"/>
          </w:tcPr>
          <w:p w:rsidR="00000000" w:rsidDel="00000000" w:rsidP="00000000" w:rsidRDefault="00000000" w:rsidRPr="00000000" w14:paraId="0000031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6.829 €</w:t>
            </w:r>
            <w:r w:rsidDel="00000000" w:rsidR="00000000" w:rsidRPr="00000000">
              <w:rPr>
                <w:rtl w:val="0"/>
              </w:rPr>
            </w:r>
          </w:p>
        </w:tc>
        <w:tc>
          <w:tcPr>
            <w:vAlign w:val="bottom"/>
          </w:tcPr>
          <w:p w:rsidR="00000000" w:rsidDel="00000000" w:rsidP="00000000" w:rsidRDefault="00000000" w:rsidRPr="00000000" w14:paraId="00000312">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4,8%</w:t>
            </w:r>
            <w:r w:rsidDel="00000000" w:rsidR="00000000" w:rsidRPr="00000000">
              <w:rPr>
                <w:rtl w:val="0"/>
              </w:rPr>
            </w:r>
          </w:p>
        </w:tc>
        <w:tc>
          <w:tcPr>
            <w:vAlign w:val="bottom"/>
          </w:tcPr>
          <w:p w:rsidR="00000000" w:rsidDel="00000000" w:rsidP="00000000" w:rsidRDefault="00000000" w:rsidRPr="00000000" w14:paraId="00000313">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21,7%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1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Gipuzkoa</w:t>
            </w:r>
            <w:r w:rsidDel="00000000" w:rsidR="00000000" w:rsidRPr="00000000">
              <w:rPr>
                <w:rtl w:val="0"/>
              </w:rPr>
            </w:r>
          </w:p>
        </w:tc>
        <w:tc>
          <w:tcPr>
            <w:vAlign w:val="bottom"/>
          </w:tcPr>
          <w:p w:rsidR="00000000" w:rsidDel="00000000" w:rsidP="00000000" w:rsidRDefault="00000000" w:rsidRPr="00000000" w14:paraId="0000031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Donostia - San Sebastián</w:t>
            </w:r>
            <w:r w:rsidDel="00000000" w:rsidR="00000000" w:rsidRPr="00000000">
              <w:rPr>
                <w:rtl w:val="0"/>
              </w:rPr>
            </w:r>
          </w:p>
        </w:tc>
        <w:tc>
          <w:tcPr>
            <w:vAlign w:val="bottom"/>
          </w:tcPr>
          <w:p w:rsidR="00000000" w:rsidDel="00000000" w:rsidP="00000000" w:rsidRDefault="00000000" w:rsidRPr="00000000" w14:paraId="0000031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6.784 €</w:t>
            </w:r>
            <w:r w:rsidDel="00000000" w:rsidR="00000000" w:rsidRPr="00000000">
              <w:rPr>
                <w:rtl w:val="0"/>
              </w:rPr>
            </w:r>
          </w:p>
        </w:tc>
        <w:tc>
          <w:tcPr>
            <w:vAlign w:val="bottom"/>
          </w:tcPr>
          <w:p w:rsidR="00000000" w:rsidDel="00000000" w:rsidP="00000000" w:rsidRDefault="00000000" w:rsidRPr="00000000" w14:paraId="00000317">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-0,1%</w:t>
            </w:r>
            <w:r w:rsidDel="00000000" w:rsidR="00000000" w:rsidRPr="00000000">
              <w:rPr>
                <w:rtl w:val="0"/>
              </w:rPr>
            </w:r>
          </w:p>
        </w:tc>
        <w:tc>
          <w:tcPr>
            <w:vAlign w:val="bottom"/>
          </w:tcPr>
          <w:p w:rsidR="00000000" w:rsidDel="00000000" w:rsidP="00000000" w:rsidRDefault="00000000" w:rsidRPr="00000000" w14:paraId="00000318">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8,1%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1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31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Andratx</w:t>
            </w:r>
            <w:r w:rsidDel="00000000" w:rsidR="00000000" w:rsidRPr="00000000">
              <w:rPr>
                <w:rtl w:val="0"/>
              </w:rPr>
            </w:r>
          </w:p>
        </w:tc>
        <w:tc>
          <w:tcPr>
            <w:vAlign w:val="bottom"/>
          </w:tcPr>
          <w:p w:rsidR="00000000" w:rsidDel="00000000" w:rsidP="00000000" w:rsidRDefault="00000000" w:rsidRPr="00000000" w14:paraId="0000031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6.707 €</w:t>
            </w:r>
            <w:r w:rsidDel="00000000" w:rsidR="00000000" w:rsidRPr="00000000">
              <w:rPr>
                <w:rtl w:val="0"/>
              </w:rPr>
            </w:r>
          </w:p>
        </w:tc>
        <w:tc>
          <w:tcPr>
            <w:vAlign w:val="bottom"/>
          </w:tcPr>
          <w:p w:rsidR="00000000" w:rsidDel="00000000" w:rsidP="00000000" w:rsidRDefault="00000000" w:rsidRPr="00000000" w14:paraId="0000031C">
            <w:pPr>
              <w:jc w:val="center"/>
              <w:rPr>
                <w:rFonts w:ascii="Open Sans" w:cs="Open Sans" w:eastAsia="Open Sans" w:hAnsi="Open Sans"/>
                <w:sz w:val="22"/>
                <w:szCs w:val="22"/>
              </w:rPr>
            </w:pPr>
            <w:r w:rsidDel="00000000" w:rsidR="00000000" w:rsidRPr="00000000">
              <w:rPr>
                <w:rtl w:val="0"/>
              </w:rPr>
            </w:r>
          </w:p>
        </w:tc>
        <w:tc>
          <w:tcPr>
            <w:vAlign w:val="bottom"/>
          </w:tcPr>
          <w:p w:rsidR="00000000" w:rsidDel="00000000" w:rsidP="00000000" w:rsidRDefault="00000000" w:rsidRPr="00000000" w14:paraId="0000031D">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16,8%</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1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Gipuzkoa</w:t>
            </w:r>
            <w:r w:rsidDel="00000000" w:rsidR="00000000" w:rsidRPr="00000000">
              <w:rPr>
                <w:rtl w:val="0"/>
              </w:rPr>
            </w:r>
          </w:p>
        </w:tc>
        <w:tc>
          <w:tcPr>
            <w:vAlign w:val="bottom"/>
          </w:tcPr>
          <w:p w:rsidR="00000000" w:rsidDel="00000000" w:rsidP="00000000" w:rsidRDefault="00000000" w:rsidRPr="00000000" w14:paraId="0000031F">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Zarautz</w:t>
            </w:r>
            <w:r w:rsidDel="00000000" w:rsidR="00000000" w:rsidRPr="00000000">
              <w:rPr>
                <w:rtl w:val="0"/>
              </w:rPr>
            </w:r>
          </w:p>
        </w:tc>
        <w:tc>
          <w:tcPr>
            <w:vAlign w:val="bottom"/>
          </w:tcPr>
          <w:p w:rsidR="00000000" w:rsidDel="00000000" w:rsidP="00000000" w:rsidRDefault="00000000" w:rsidRPr="00000000" w14:paraId="00000320">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6.551 €</w:t>
            </w:r>
            <w:r w:rsidDel="00000000" w:rsidR="00000000" w:rsidRPr="00000000">
              <w:rPr>
                <w:rtl w:val="0"/>
              </w:rPr>
            </w:r>
          </w:p>
        </w:tc>
        <w:tc>
          <w:tcPr>
            <w:vAlign w:val="bottom"/>
          </w:tcPr>
          <w:p w:rsidR="00000000" w:rsidDel="00000000" w:rsidP="00000000" w:rsidRDefault="00000000" w:rsidRPr="00000000" w14:paraId="0000032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-0,1%</w:t>
            </w:r>
            <w:r w:rsidDel="00000000" w:rsidR="00000000" w:rsidRPr="00000000">
              <w:rPr>
                <w:rtl w:val="0"/>
              </w:rPr>
            </w:r>
          </w:p>
        </w:tc>
        <w:tc>
          <w:tcPr>
            <w:vAlign w:val="bottom"/>
          </w:tcPr>
          <w:p w:rsidR="00000000" w:rsidDel="00000000" w:rsidP="00000000" w:rsidRDefault="00000000" w:rsidRPr="00000000" w14:paraId="0000032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5,0%</w:t>
            </w:r>
          </w:p>
        </w:tc>
      </w:tr>
      <w:tr>
        <w:trPr>
          <w:cantSplit w:val="0"/>
          <w:trHeight w:val="212" w:hRule="atLeast"/>
          <w:tblHeader w:val="0"/>
        </w:trPr>
        <w:tc>
          <w:tcPr>
            <w:vAlign w:val="bottom"/>
          </w:tcPr>
          <w:p w:rsidR="00000000" w:rsidDel="00000000" w:rsidP="00000000" w:rsidRDefault="00000000" w:rsidRPr="00000000" w14:paraId="00000323">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Illes Balears</w:t>
            </w:r>
            <w:r w:rsidDel="00000000" w:rsidR="00000000" w:rsidRPr="00000000">
              <w:rPr>
                <w:rtl w:val="0"/>
              </w:rPr>
            </w:r>
          </w:p>
        </w:tc>
        <w:tc>
          <w:tcPr>
            <w:vAlign w:val="bottom"/>
          </w:tcPr>
          <w:p w:rsidR="00000000" w:rsidDel="00000000" w:rsidP="00000000" w:rsidRDefault="00000000" w:rsidRPr="00000000" w14:paraId="00000324">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Calvià</w:t>
            </w:r>
            <w:r w:rsidDel="00000000" w:rsidR="00000000" w:rsidRPr="00000000">
              <w:rPr>
                <w:rtl w:val="0"/>
              </w:rPr>
            </w:r>
          </w:p>
        </w:tc>
        <w:tc>
          <w:tcPr>
            <w:vAlign w:val="bottom"/>
          </w:tcPr>
          <w:p w:rsidR="00000000" w:rsidDel="00000000" w:rsidP="00000000" w:rsidRDefault="00000000" w:rsidRPr="00000000" w14:paraId="00000325">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6.307 €</w:t>
            </w:r>
            <w:r w:rsidDel="00000000" w:rsidR="00000000" w:rsidRPr="00000000">
              <w:rPr>
                <w:rtl w:val="0"/>
              </w:rPr>
            </w:r>
          </w:p>
        </w:tc>
        <w:tc>
          <w:tcPr>
            <w:vAlign w:val="bottom"/>
          </w:tcPr>
          <w:p w:rsidR="00000000" w:rsidDel="00000000" w:rsidP="00000000" w:rsidRDefault="00000000" w:rsidRPr="00000000" w14:paraId="0000032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0,1%</w:t>
            </w:r>
          </w:p>
        </w:tc>
        <w:tc>
          <w:tcPr>
            <w:vAlign w:val="bottom"/>
          </w:tcPr>
          <w:p w:rsidR="00000000" w:rsidDel="00000000" w:rsidP="00000000" w:rsidRDefault="00000000" w:rsidRPr="00000000" w14:paraId="0000032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7,4%</w:t>
            </w:r>
          </w:p>
        </w:tc>
      </w:tr>
      <w:tr>
        <w:trPr>
          <w:cantSplit w:val="0"/>
          <w:trHeight w:val="212" w:hRule="atLeast"/>
          <w:tblHeader w:val="0"/>
        </w:trPr>
        <w:tc>
          <w:tcPr>
            <w:vAlign w:val="bottom"/>
          </w:tcPr>
          <w:p w:rsidR="00000000" w:rsidDel="00000000" w:rsidP="00000000" w:rsidRDefault="00000000" w:rsidRPr="00000000" w14:paraId="0000032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Madrid</w:t>
            </w:r>
            <w:r w:rsidDel="00000000" w:rsidR="00000000" w:rsidRPr="00000000">
              <w:rPr>
                <w:rtl w:val="0"/>
              </w:rPr>
            </w:r>
          </w:p>
        </w:tc>
        <w:tc>
          <w:tcPr>
            <w:vAlign w:val="bottom"/>
          </w:tcPr>
          <w:p w:rsidR="00000000" w:rsidDel="00000000" w:rsidP="00000000" w:rsidRDefault="00000000" w:rsidRPr="00000000" w14:paraId="00000329">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Madrid capital</w:t>
            </w:r>
            <w:r w:rsidDel="00000000" w:rsidR="00000000" w:rsidRPr="00000000">
              <w:rPr>
                <w:rtl w:val="0"/>
              </w:rPr>
            </w:r>
          </w:p>
        </w:tc>
        <w:tc>
          <w:tcPr>
            <w:vAlign w:val="bottom"/>
          </w:tcPr>
          <w:p w:rsidR="00000000" w:rsidDel="00000000" w:rsidP="00000000" w:rsidRDefault="00000000" w:rsidRPr="00000000" w14:paraId="0000032A">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6.011 €</w:t>
            </w:r>
            <w:r w:rsidDel="00000000" w:rsidR="00000000" w:rsidRPr="00000000">
              <w:rPr>
                <w:rtl w:val="0"/>
              </w:rPr>
            </w:r>
          </w:p>
        </w:tc>
        <w:tc>
          <w:tcPr>
            <w:vAlign w:val="bottom"/>
          </w:tcPr>
          <w:p w:rsidR="00000000" w:rsidDel="00000000" w:rsidP="00000000" w:rsidRDefault="00000000" w:rsidRPr="00000000" w14:paraId="0000032B">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1,3%</w:t>
            </w:r>
            <w:r w:rsidDel="00000000" w:rsidR="00000000" w:rsidRPr="00000000">
              <w:rPr>
                <w:rtl w:val="0"/>
              </w:rPr>
            </w:r>
          </w:p>
        </w:tc>
        <w:tc>
          <w:tcPr>
            <w:vAlign w:val="bottom"/>
          </w:tcPr>
          <w:p w:rsidR="00000000" w:rsidDel="00000000" w:rsidP="00000000" w:rsidRDefault="00000000" w:rsidRPr="00000000" w14:paraId="0000032C">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15,1%</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2D">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Barcelona</w:t>
            </w:r>
            <w:r w:rsidDel="00000000" w:rsidR="00000000" w:rsidRPr="00000000">
              <w:rPr>
                <w:rtl w:val="0"/>
              </w:rPr>
            </w:r>
          </w:p>
        </w:tc>
        <w:tc>
          <w:tcPr>
            <w:vAlign w:val="bottom"/>
          </w:tcPr>
          <w:p w:rsidR="00000000" w:rsidDel="00000000" w:rsidP="00000000" w:rsidRDefault="00000000" w:rsidRPr="00000000" w14:paraId="0000032E">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Sant Cugat del Vallès</w:t>
            </w:r>
            <w:r w:rsidDel="00000000" w:rsidR="00000000" w:rsidRPr="00000000">
              <w:rPr>
                <w:rtl w:val="0"/>
              </w:rPr>
            </w:r>
          </w:p>
        </w:tc>
        <w:tc>
          <w:tcPr>
            <w:vAlign w:val="bottom"/>
          </w:tcPr>
          <w:p w:rsidR="00000000" w:rsidDel="00000000" w:rsidP="00000000" w:rsidRDefault="00000000" w:rsidRPr="00000000" w14:paraId="0000032F">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5.507 €</w:t>
            </w:r>
            <w:r w:rsidDel="00000000" w:rsidR="00000000" w:rsidRPr="00000000">
              <w:rPr>
                <w:rtl w:val="0"/>
              </w:rPr>
            </w:r>
          </w:p>
        </w:tc>
        <w:tc>
          <w:tcPr>
            <w:vAlign w:val="bottom"/>
          </w:tcPr>
          <w:p w:rsidR="00000000" w:rsidDel="00000000" w:rsidP="00000000" w:rsidRDefault="00000000" w:rsidRPr="00000000" w14:paraId="00000330">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2,4%</w:t>
            </w:r>
            <w:r w:rsidDel="00000000" w:rsidR="00000000" w:rsidRPr="00000000">
              <w:rPr>
                <w:rtl w:val="0"/>
              </w:rPr>
            </w:r>
          </w:p>
        </w:tc>
        <w:tc>
          <w:tcPr>
            <w:vAlign w:val="bottom"/>
          </w:tcPr>
          <w:p w:rsidR="00000000" w:rsidDel="00000000" w:rsidP="00000000" w:rsidRDefault="00000000" w:rsidRPr="00000000" w14:paraId="00000331">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4,4%</w:t>
            </w:r>
            <w:r w:rsidDel="00000000" w:rsidR="00000000" w:rsidRPr="00000000">
              <w:rPr>
                <w:rtl w:val="0"/>
              </w:rPr>
            </w:r>
          </w:p>
        </w:tc>
      </w:tr>
    </w:tbl>
    <w:p w:rsidR="00000000" w:rsidDel="00000000" w:rsidP="00000000" w:rsidRDefault="00000000" w:rsidRPr="00000000" w14:paraId="00000332">
      <w:pPr>
        <w:pBdr>
          <w:top w:space="0" w:sz="0" w:val="nil"/>
          <w:left w:space="0" w:sz="0" w:val="nil"/>
          <w:bottom w:space="0" w:sz="0" w:val="nil"/>
          <w:right w:space="0" w:sz="0" w:val="nil"/>
          <w:between w:space="0" w:sz="0" w:val="nil"/>
        </w:pBd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Municipios con menor precio</w:t>
      </w:r>
    </w:p>
    <w:tbl>
      <w:tblPr>
        <w:tblStyle w:val="Table7"/>
        <w:tblW w:w="8931.000000000002"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1701"/>
        <w:gridCol w:w="1985"/>
        <w:gridCol w:w="1843"/>
        <w:gridCol w:w="1701"/>
        <w:gridCol w:w="1701"/>
        <w:tblGridChange w:id="0">
          <w:tblGrid>
            <w:gridCol w:w="1701"/>
            <w:gridCol w:w="1985"/>
            <w:gridCol w:w="1843"/>
            <w:gridCol w:w="1701"/>
            <w:gridCol w:w="1701"/>
          </w:tblGrid>
        </w:tblGridChange>
      </w:tblGrid>
      <w:tr>
        <w:trPr>
          <w:cantSplit w:val="0"/>
          <w:trHeight w:val="534" w:hRule="atLeast"/>
          <w:tblHeader w:val="0"/>
        </w:trPr>
        <w:tc>
          <w:tcPr>
            <w:vAlign w:val="center"/>
          </w:tcPr>
          <w:p w:rsidR="00000000" w:rsidDel="00000000" w:rsidP="00000000" w:rsidRDefault="00000000" w:rsidRPr="00000000" w14:paraId="0000033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Provincia</w:t>
            </w:r>
            <w:r w:rsidDel="00000000" w:rsidR="00000000" w:rsidRPr="00000000">
              <w:rPr>
                <w:rtl w:val="0"/>
              </w:rPr>
            </w:r>
          </w:p>
        </w:tc>
        <w:tc>
          <w:tcPr>
            <w:vAlign w:val="center"/>
          </w:tcPr>
          <w:p w:rsidR="00000000" w:rsidDel="00000000" w:rsidP="00000000" w:rsidRDefault="00000000" w:rsidRPr="00000000" w14:paraId="0000033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Municipio</w:t>
            </w:r>
            <w:r w:rsidDel="00000000" w:rsidR="00000000" w:rsidRPr="00000000">
              <w:rPr>
                <w:rtl w:val="0"/>
              </w:rPr>
            </w:r>
          </w:p>
        </w:tc>
        <w:tc>
          <w:tcPr>
            <w:vAlign w:val="center"/>
          </w:tcPr>
          <w:p w:rsidR="00000000" w:rsidDel="00000000" w:rsidP="00000000" w:rsidRDefault="00000000" w:rsidRPr="00000000" w14:paraId="00000338">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Mayo 2025</w:t>
            </w:r>
            <w:r w:rsidDel="00000000" w:rsidR="00000000" w:rsidRPr="00000000">
              <w:rPr>
                <w:rtl w:val="0"/>
              </w:rPr>
            </w:r>
          </w:p>
          <w:p w:rsidR="00000000" w:rsidDel="00000000" w:rsidP="00000000" w:rsidRDefault="00000000" w:rsidRPr="00000000" w14:paraId="00000339">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(euros/m²)</w:t>
            </w:r>
            <w:r w:rsidDel="00000000" w:rsidR="00000000" w:rsidRPr="00000000">
              <w:rPr>
                <w:rtl w:val="0"/>
              </w:rPr>
            </w:r>
          </w:p>
        </w:tc>
        <w:tc>
          <w:tcPr>
            <w:vAlign w:val="center"/>
          </w:tcPr>
          <w:p w:rsidR="00000000" w:rsidDel="00000000" w:rsidP="00000000" w:rsidRDefault="00000000" w:rsidRPr="00000000" w14:paraId="0000033A">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vAlign w:val="center"/>
          </w:tcPr>
          <w:p w:rsidR="00000000" w:rsidDel="00000000" w:rsidP="00000000" w:rsidRDefault="00000000" w:rsidRPr="00000000" w14:paraId="0000033B">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3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33D">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Torreperogil</w:t>
            </w:r>
            <w:r w:rsidDel="00000000" w:rsidR="00000000" w:rsidRPr="00000000">
              <w:rPr>
                <w:rtl w:val="0"/>
              </w:rPr>
            </w:r>
          </w:p>
        </w:tc>
        <w:tc>
          <w:tcPr>
            <w:vAlign w:val="bottom"/>
          </w:tcPr>
          <w:p w:rsidR="00000000" w:rsidDel="00000000" w:rsidP="00000000" w:rsidRDefault="00000000" w:rsidRPr="00000000" w14:paraId="0000033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617 €</w:t>
            </w:r>
            <w:r w:rsidDel="00000000" w:rsidR="00000000" w:rsidRPr="00000000">
              <w:rPr>
                <w:rtl w:val="0"/>
              </w:rPr>
            </w:r>
          </w:p>
        </w:tc>
        <w:tc>
          <w:tcPr>
            <w:vAlign w:val="bottom"/>
          </w:tcPr>
          <w:p w:rsidR="00000000" w:rsidDel="00000000" w:rsidP="00000000" w:rsidRDefault="00000000" w:rsidRPr="00000000" w14:paraId="0000033F">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-1,0%</w:t>
            </w:r>
          </w:p>
        </w:tc>
        <w:tc>
          <w:tcPr>
            <w:vAlign w:val="bottom"/>
          </w:tcPr>
          <w:p w:rsidR="00000000" w:rsidDel="00000000" w:rsidP="00000000" w:rsidRDefault="00000000" w:rsidRPr="00000000" w14:paraId="00000340">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-6,7%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41">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Albacete</w:t>
            </w:r>
            <w:r w:rsidDel="00000000" w:rsidR="00000000" w:rsidRPr="00000000">
              <w:rPr>
                <w:rtl w:val="0"/>
              </w:rPr>
            </w:r>
          </w:p>
        </w:tc>
        <w:tc>
          <w:tcPr>
            <w:vAlign w:val="bottom"/>
          </w:tcPr>
          <w:p w:rsidR="00000000" w:rsidDel="00000000" w:rsidP="00000000" w:rsidRDefault="00000000" w:rsidRPr="00000000" w14:paraId="00000342">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Tobarra</w:t>
            </w:r>
            <w:r w:rsidDel="00000000" w:rsidR="00000000" w:rsidRPr="00000000">
              <w:rPr>
                <w:rtl w:val="0"/>
              </w:rPr>
            </w:r>
          </w:p>
        </w:tc>
        <w:tc>
          <w:tcPr>
            <w:vAlign w:val="bottom"/>
          </w:tcPr>
          <w:p w:rsidR="00000000" w:rsidDel="00000000" w:rsidP="00000000" w:rsidRDefault="00000000" w:rsidRPr="00000000" w14:paraId="0000034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621 €</w:t>
            </w:r>
            <w:r w:rsidDel="00000000" w:rsidR="00000000" w:rsidRPr="00000000">
              <w:rPr>
                <w:rtl w:val="0"/>
              </w:rPr>
            </w:r>
          </w:p>
        </w:tc>
        <w:tc>
          <w:tcPr>
            <w:vAlign w:val="bottom"/>
          </w:tcPr>
          <w:p w:rsidR="00000000" w:rsidDel="00000000" w:rsidP="00000000" w:rsidRDefault="00000000" w:rsidRPr="00000000" w14:paraId="00000344">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-7,4%</w:t>
            </w:r>
            <w:r w:rsidDel="00000000" w:rsidR="00000000" w:rsidRPr="00000000">
              <w:rPr>
                <w:rtl w:val="0"/>
              </w:rPr>
            </w:r>
          </w:p>
        </w:tc>
        <w:tc>
          <w:tcPr>
            <w:vAlign w:val="bottom"/>
          </w:tcPr>
          <w:p w:rsidR="00000000" w:rsidDel="00000000" w:rsidP="00000000" w:rsidRDefault="00000000" w:rsidRPr="00000000" w14:paraId="00000345">
            <w:pPr>
              <w:jc w:val="center"/>
              <w:rPr>
                <w:rFonts w:ascii="Open Sans" w:cs="Open Sans" w:eastAsia="Open Sans" w:hAnsi="Open Sans"/>
                <w:b w:val="1"/>
                <w:sz w:val="22"/>
                <w:szCs w:val="22"/>
              </w:rPr>
            </w:pP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4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347">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Villanueva del Arzobispo</w:t>
            </w:r>
            <w:r w:rsidDel="00000000" w:rsidR="00000000" w:rsidRPr="00000000">
              <w:rPr>
                <w:rtl w:val="0"/>
              </w:rPr>
            </w:r>
          </w:p>
        </w:tc>
        <w:tc>
          <w:tcPr>
            <w:vAlign w:val="bottom"/>
          </w:tcPr>
          <w:p w:rsidR="00000000" w:rsidDel="00000000" w:rsidP="00000000" w:rsidRDefault="00000000" w:rsidRPr="00000000" w14:paraId="00000348">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643 €</w:t>
            </w:r>
            <w:r w:rsidDel="00000000" w:rsidR="00000000" w:rsidRPr="00000000">
              <w:rPr>
                <w:rtl w:val="0"/>
              </w:rPr>
            </w:r>
          </w:p>
        </w:tc>
        <w:tc>
          <w:tcPr>
            <w:vAlign w:val="bottom"/>
          </w:tcPr>
          <w:p w:rsidR="00000000" w:rsidDel="00000000" w:rsidP="00000000" w:rsidRDefault="00000000" w:rsidRPr="00000000" w14:paraId="00000349">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0,9%</w:t>
            </w:r>
            <w:r w:rsidDel="00000000" w:rsidR="00000000" w:rsidRPr="00000000">
              <w:rPr>
                <w:rtl w:val="0"/>
              </w:rPr>
            </w:r>
          </w:p>
        </w:tc>
        <w:tc>
          <w:tcPr>
            <w:vAlign w:val="bottom"/>
          </w:tcPr>
          <w:p w:rsidR="00000000" w:rsidDel="00000000" w:rsidP="00000000" w:rsidRDefault="00000000" w:rsidRPr="00000000" w14:paraId="0000034A">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-3,9%</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4B">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Real</w:t>
            </w:r>
            <w:r w:rsidDel="00000000" w:rsidR="00000000" w:rsidRPr="00000000">
              <w:rPr>
                <w:rtl w:val="0"/>
              </w:rPr>
            </w:r>
          </w:p>
        </w:tc>
        <w:tc>
          <w:tcPr>
            <w:vAlign w:val="bottom"/>
          </w:tcPr>
          <w:p w:rsidR="00000000" w:rsidDel="00000000" w:rsidP="00000000" w:rsidRDefault="00000000" w:rsidRPr="00000000" w14:paraId="0000034C">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Pozuelo de Calatrava</w:t>
            </w:r>
            <w:r w:rsidDel="00000000" w:rsidR="00000000" w:rsidRPr="00000000">
              <w:rPr>
                <w:rtl w:val="0"/>
              </w:rPr>
            </w:r>
          </w:p>
        </w:tc>
        <w:tc>
          <w:tcPr>
            <w:vAlign w:val="bottom"/>
          </w:tcPr>
          <w:p w:rsidR="00000000" w:rsidDel="00000000" w:rsidP="00000000" w:rsidRDefault="00000000" w:rsidRPr="00000000" w14:paraId="0000034D">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649 €</w:t>
            </w:r>
            <w:r w:rsidDel="00000000" w:rsidR="00000000" w:rsidRPr="00000000">
              <w:rPr>
                <w:rtl w:val="0"/>
              </w:rPr>
            </w:r>
          </w:p>
        </w:tc>
        <w:tc>
          <w:tcPr>
            <w:vAlign w:val="bottom"/>
          </w:tcPr>
          <w:p w:rsidR="00000000" w:rsidDel="00000000" w:rsidP="00000000" w:rsidRDefault="00000000" w:rsidRPr="00000000" w14:paraId="0000034E">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-1,9%</w:t>
            </w:r>
            <w:r w:rsidDel="00000000" w:rsidR="00000000" w:rsidRPr="00000000">
              <w:rPr>
                <w:rtl w:val="0"/>
              </w:rPr>
            </w:r>
          </w:p>
        </w:tc>
        <w:tc>
          <w:tcPr>
            <w:vAlign w:val="bottom"/>
          </w:tcPr>
          <w:p w:rsidR="00000000" w:rsidDel="00000000" w:rsidP="00000000" w:rsidRDefault="00000000" w:rsidRPr="00000000" w14:paraId="0000034F">
            <w:pPr>
              <w:jc w:val="center"/>
              <w:rPr>
                <w:rFonts w:ascii="Open Sans" w:cs="Open Sans" w:eastAsia="Open Sans" w:hAnsi="Open Sans"/>
                <w:sz w:val="22"/>
                <w:szCs w:val="22"/>
              </w:rPr>
            </w:pP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5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351">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La Carolina</w:t>
            </w:r>
            <w:r w:rsidDel="00000000" w:rsidR="00000000" w:rsidRPr="00000000">
              <w:rPr>
                <w:rtl w:val="0"/>
              </w:rPr>
            </w:r>
          </w:p>
        </w:tc>
        <w:tc>
          <w:tcPr>
            <w:vAlign w:val="bottom"/>
          </w:tcPr>
          <w:p w:rsidR="00000000" w:rsidDel="00000000" w:rsidP="00000000" w:rsidRDefault="00000000" w:rsidRPr="00000000" w14:paraId="00000352">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668 €</w:t>
            </w:r>
            <w:r w:rsidDel="00000000" w:rsidR="00000000" w:rsidRPr="00000000">
              <w:rPr>
                <w:rtl w:val="0"/>
              </w:rPr>
            </w:r>
          </w:p>
        </w:tc>
        <w:tc>
          <w:tcPr>
            <w:vAlign w:val="bottom"/>
          </w:tcPr>
          <w:p w:rsidR="00000000" w:rsidDel="00000000" w:rsidP="00000000" w:rsidRDefault="00000000" w:rsidRPr="00000000" w14:paraId="00000353">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-10,6%</w:t>
            </w:r>
            <w:r w:rsidDel="00000000" w:rsidR="00000000" w:rsidRPr="00000000">
              <w:rPr>
                <w:rtl w:val="0"/>
              </w:rPr>
            </w:r>
          </w:p>
        </w:tc>
        <w:tc>
          <w:tcPr>
            <w:vAlign w:val="bottom"/>
          </w:tcPr>
          <w:p w:rsidR="00000000" w:rsidDel="00000000" w:rsidP="00000000" w:rsidRDefault="00000000" w:rsidRPr="00000000" w14:paraId="00000354">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3,7%</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5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Badajoz</w:t>
            </w:r>
            <w:r w:rsidDel="00000000" w:rsidR="00000000" w:rsidRPr="00000000">
              <w:rPr>
                <w:rtl w:val="0"/>
              </w:rPr>
            </w:r>
          </w:p>
        </w:tc>
        <w:tc>
          <w:tcPr>
            <w:vAlign w:val="bottom"/>
          </w:tcPr>
          <w:p w:rsidR="00000000" w:rsidDel="00000000" w:rsidP="00000000" w:rsidRDefault="00000000" w:rsidRPr="00000000" w14:paraId="00000356">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Montijo</w:t>
            </w:r>
            <w:r w:rsidDel="00000000" w:rsidR="00000000" w:rsidRPr="00000000">
              <w:rPr>
                <w:rtl w:val="0"/>
              </w:rPr>
            </w:r>
          </w:p>
        </w:tc>
        <w:tc>
          <w:tcPr>
            <w:vAlign w:val="bottom"/>
          </w:tcPr>
          <w:p w:rsidR="00000000" w:rsidDel="00000000" w:rsidP="00000000" w:rsidRDefault="00000000" w:rsidRPr="00000000" w14:paraId="0000035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670 €</w:t>
            </w:r>
            <w:r w:rsidDel="00000000" w:rsidR="00000000" w:rsidRPr="00000000">
              <w:rPr>
                <w:rtl w:val="0"/>
              </w:rPr>
            </w:r>
          </w:p>
        </w:tc>
        <w:tc>
          <w:tcPr>
            <w:vAlign w:val="bottom"/>
          </w:tcPr>
          <w:p w:rsidR="00000000" w:rsidDel="00000000" w:rsidP="00000000" w:rsidRDefault="00000000" w:rsidRPr="00000000" w14:paraId="00000358">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-4,3%</w:t>
            </w:r>
            <w:r w:rsidDel="00000000" w:rsidR="00000000" w:rsidRPr="00000000">
              <w:rPr>
                <w:rtl w:val="0"/>
              </w:rPr>
            </w:r>
          </w:p>
        </w:tc>
        <w:tc>
          <w:tcPr>
            <w:vAlign w:val="bottom"/>
          </w:tcPr>
          <w:p w:rsidR="00000000" w:rsidDel="00000000" w:rsidP="00000000" w:rsidRDefault="00000000" w:rsidRPr="00000000" w14:paraId="00000359">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000000"/>
                <w:sz w:val="22"/>
                <w:szCs w:val="22"/>
                <w:rtl w:val="0"/>
              </w:rPr>
              <w:t xml:space="preserve">1,0%</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5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Córdoba</w:t>
            </w:r>
            <w:r w:rsidDel="00000000" w:rsidR="00000000" w:rsidRPr="00000000">
              <w:rPr>
                <w:rtl w:val="0"/>
              </w:rPr>
            </w:r>
          </w:p>
        </w:tc>
        <w:tc>
          <w:tcPr>
            <w:vAlign w:val="bottom"/>
          </w:tcPr>
          <w:p w:rsidR="00000000" w:rsidDel="00000000" w:rsidP="00000000" w:rsidRDefault="00000000" w:rsidRPr="00000000" w14:paraId="0000035B">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Peñarroya-Pueblonuevo</w:t>
            </w:r>
            <w:r w:rsidDel="00000000" w:rsidR="00000000" w:rsidRPr="00000000">
              <w:rPr>
                <w:rtl w:val="0"/>
              </w:rPr>
            </w:r>
          </w:p>
        </w:tc>
        <w:tc>
          <w:tcPr>
            <w:vAlign w:val="bottom"/>
          </w:tcPr>
          <w:p w:rsidR="00000000" w:rsidDel="00000000" w:rsidP="00000000" w:rsidRDefault="00000000" w:rsidRPr="00000000" w14:paraId="0000035C">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694 €</w:t>
            </w:r>
            <w:r w:rsidDel="00000000" w:rsidR="00000000" w:rsidRPr="00000000">
              <w:rPr>
                <w:rtl w:val="0"/>
              </w:rPr>
            </w:r>
          </w:p>
        </w:tc>
        <w:tc>
          <w:tcPr>
            <w:vAlign w:val="bottom"/>
          </w:tcPr>
          <w:p w:rsidR="00000000" w:rsidDel="00000000" w:rsidP="00000000" w:rsidRDefault="00000000" w:rsidRPr="00000000" w14:paraId="0000035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-7,6%</w:t>
            </w:r>
            <w:r w:rsidDel="00000000" w:rsidR="00000000" w:rsidRPr="00000000">
              <w:rPr>
                <w:rtl w:val="0"/>
              </w:rPr>
            </w:r>
          </w:p>
        </w:tc>
        <w:tc>
          <w:tcPr>
            <w:vAlign w:val="bottom"/>
          </w:tcPr>
          <w:p w:rsidR="00000000" w:rsidDel="00000000" w:rsidP="00000000" w:rsidRDefault="00000000" w:rsidRPr="00000000" w14:paraId="0000035E">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0,4%</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5F">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Murcia</w:t>
            </w:r>
            <w:r w:rsidDel="00000000" w:rsidR="00000000" w:rsidRPr="00000000">
              <w:rPr>
                <w:rtl w:val="0"/>
              </w:rPr>
            </w:r>
          </w:p>
        </w:tc>
        <w:tc>
          <w:tcPr>
            <w:vAlign w:val="bottom"/>
          </w:tcPr>
          <w:p w:rsidR="00000000" w:rsidDel="00000000" w:rsidP="00000000" w:rsidRDefault="00000000" w:rsidRPr="00000000" w14:paraId="00000360">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Calasparra</w:t>
            </w:r>
            <w:r w:rsidDel="00000000" w:rsidR="00000000" w:rsidRPr="00000000">
              <w:rPr>
                <w:rtl w:val="0"/>
              </w:rPr>
            </w:r>
          </w:p>
        </w:tc>
        <w:tc>
          <w:tcPr>
            <w:vAlign w:val="bottom"/>
          </w:tcPr>
          <w:p w:rsidR="00000000" w:rsidDel="00000000" w:rsidP="00000000" w:rsidRDefault="00000000" w:rsidRPr="00000000" w14:paraId="00000361">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696 €</w:t>
            </w:r>
            <w:r w:rsidDel="00000000" w:rsidR="00000000" w:rsidRPr="00000000">
              <w:rPr>
                <w:rtl w:val="0"/>
              </w:rPr>
            </w:r>
          </w:p>
        </w:tc>
        <w:tc>
          <w:tcPr>
            <w:vAlign w:val="bottom"/>
          </w:tcPr>
          <w:p w:rsidR="00000000" w:rsidDel="00000000" w:rsidP="00000000" w:rsidRDefault="00000000" w:rsidRPr="00000000" w14:paraId="0000036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-5,1%</w:t>
            </w:r>
            <w:r w:rsidDel="00000000" w:rsidR="00000000" w:rsidRPr="00000000">
              <w:rPr>
                <w:rtl w:val="0"/>
              </w:rPr>
            </w:r>
          </w:p>
        </w:tc>
        <w:tc>
          <w:tcPr>
            <w:vAlign w:val="bottom"/>
          </w:tcPr>
          <w:p w:rsidR="00000000" w:rsidDel="00000000" w:rsidP="00000000" w:rsidRDefault="00000000" w:rsidRPr="00000000" w14:paraId="0000036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color w:val="000000"/>
                <w:sz w:val="22"/>
                <w:szCs w:val="22"/>
                <w:rtl w:val="0"/>
              </w:rPr>
              <w:t xml:space="preserve">5,2%</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6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365">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Jamilena</w:t>
            </w:r>
            <w:r w:rsidDel="00000000" w:rsidR="00000000" w:rsidRPr="00000000">
              <w:rPr>
                <w:rtl w:val="0"/>
              </w:rPr>
            </w:r>
          </w:p>
        </w:tc>
        <w:tc>
          <w:tcPr>
            <w:vAlign w:val="bottom"/>
          </w:tcPr>
          <w:p w:rsidR="00000000" w:rsidDel="00000000" w:rsidP="00000000" w:rsidRDefault="00000000" w:rsidRPr="00000000" w14:paraId="00000366">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703 €</w:t>
            </w:r>
            <w:r w:rsidDel="00000000" w:rsidR="00000000" w:rsidRPr="00000000">
              <w:rPr>
                <w:rtl w:val="0"/>
              </w:rPr>
            </w:r>
          </w:p>
        </w:tc>
        <w:tc>
          <w:tcPr>
            <w:vAlign w:val="bottom"/>
          </w:tcPr>
          <w:p w:rsidR="00000000" w:rsidDel="00000000" w:rsidP="00000000" w:rsidRDefault="00000000" w:rsidRPr="00000000" w14:paraId="00000367">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-1,6%</w:t>
            </w:r>
            <w:r w:rsidDel="00000000" w:rsidR="00000000" w:rsidRPr="00000000">
              <w:rPr>
                <w:rtl w:val="0"/>
              </w:rPr>
            </w:r>
          </w:p>
        </w:tc>
        <w:tc>
          <w:tcPr>
            <w:vAlign w:val="bottom"/>
          </w:tcPr>
          <w:p w:rsidR="00000000" w:rsidDel="00000000" w:rsidP="00000000" w:rsidRDefault="00000000" w:rsidRPr="00000000" w14:paraId="00000368">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0,3%</w:t>
            </w:r>
            <w:r w:rsidDel="00000000" w:rsidR="00000000" w:rsidRPr="00000000">
              <w:rPr>
                <w:rtl w:val="0"/>
              </w:rPr>
            </w:r>
          </w:p>
        </w:tc>
      </w:tr>
      <w:tr>
        <w:trPr>
          <w:cantSplit w:val="0"/>
          <w:trHeight w:val="212" w:hRule="atLeast"/>
          <w:tblHeader w:val="0"/>
        </w:trPr>
        <w:tc>
          <w:tcPr>
            <w:vAlign w:val="bottom"/>
          </w:tcPr>
          <w:p w:rsidR="00000000" w:rsidDel="00000000" w:rsidP="00000000" w:rsidRDefault="00000000" w:rsidRPr="00000000" w14:paraId="00000369">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Jaén</w:t>
            </w:r>
            <w:r w:rsidDel="00000000" w:rsidR="00000000" w:rsidRPr="00000000">
              <w:rPr>
                <w:rtl w:val="0"/>
              </w:rPr>
            </w:r>
          </w:p>
        </w:tc>
        <w:tc>
          <w:tcPr>
            <w:vAlign w:val="bottom"/>
          </w:tcPr>
          <w:p w:rsidR="00000000" w:rsidDel="00000000" w:rsidP="00000000" w:rsidRDefault="00000000" w:rsidRPr="00000000" w14:paraId="0000036A">
            <w:pPr>
              <w:rPr>
                <w:rFonts w:ascii="Open Sans" w:cs="Open Sans" w:eastAsia="Open Sans" w:hAnsi="Open Sans"/>
                <w:color w:val="000000"/>
                <w:sz w:val="22"/>
                <w:szCs w:val="22"/>
              </w:rPr>
            </w:pPr>
            <w:r w:rsidDel="00000000" w:rsidR="00000000" w:rsidRPr="00000000">
              <w:rPr>
                <w:rFonts w:ascii="Open Sans" w:cs="Open Sans" w:eastAsia="Open Sans" w:hAnsi="Open Sans"/>
                <w:sz w:val="22"/>
                <w:szCs w:val="22"/>
                <w:rtl w:val="0"/>
              </w:rPr>
              <w:t xml:space="preserve">Bailén</w:t>
            </w:r>
            <w:r w:rsidDel="00000000" w:rsidR="00000000" w:rsidRPr="00000000">
              <w:rPr>
                <w:rtl w:val="0"/>
              </w:rPr>
            </w:r>
          </w:p>
        </w:tc>
        <w:tc>
          <w:tcPr>
            <w:vAlign w:val="bottom"/>
          </w:tcPr>
          <w:p w:rsidR="00000000" w:rsidDel="00000000" w:rsidP="00000000" w:rsidRDefault="00000000" w:rsidRPr="00000000" w14:paraId="0000036B">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sz w:val="22"/>
                <w:szCs w:val="22"/>
                <w:rtl w:val="0"/>
              </w:rPr>
              <w:t xml:space="preserve">705 €</w:t>
            </w:r>
            <w:r w:rsidDel="00000000" w:rsidR="00000000" w:rsidRPr="00000000">
              <w:rPr>
                <w:rtl w:val="0"/>
              </w:rPr>
            </w:r>
          </w:p>
        </w:tc>
        <w:tc>
          <w:tcPr>
            <w:vAlign w:val="bottom"/>
          </w:tcPr>
          <w:p w:rsidR="00000000" w:rsidDel="00000000" w:rsidP="00000000" w:rsidRDefault="00000000" w:rsidRPr="00000000" w14:paraId="0000036C">
            <w:pPr>
              <w:jc w:val="center"/>
              <w:rPr>
                <w:rFonts w:ascii="Open Sans" w:cs="Open Sans" w:eastAsia="Open Sans" w:hAnsi="Open Sans"/>
                <w:sz w:val="22"/>
                <w:szCs w:val="22"/>
              </w:rPr>
            </w:pPr>
            <w:r w:rsidDel="00000000" w:rsidR="00000000" w:rsidRPr="00000000">
              <w:rPr>
                <w:rFonts w:ascii="Open Sans" w:cs="Open Sans" w:eastAsia="Open Sans" w:hAnsi="Open Sans"/>
                <w:color w:val="9c0006"/>
                <w:sz w:val="22"/>
                <w:szCs w:val="22"/>
                <w:rtl w:val="0"/>
              </w:rPr>
              <w:t xml:space="preserve">-6,1%</w:t>
            </w:r>
            <w:r w:rsidDel="00000000" w:rsidR="00000000" w:rsidRPr="00000000">
              <w:rPr>
                <w:rtl w:val="0"/>
              </w:rPr>
            </w:r>
          </w:p>
        </w:tc>
        <w:tc>
          <w:tcPr>
            <w:vAlign w:val="bottom"/>
          </w:tcPr>
          <w:p w:rsidR="00000000" w:rsidDel="00000000" w:rsidP="00000000" w:rsidRDefault="00000000" w:rsidRPr="00000000" w14:paraId="0000036D">
            <w:pPr>
              <w:jc w:val="center"/>
              <w:rPr>
                <w:rFonts w:ascii="Open Sans" w:cs="Open Sans" w:eastAsia="Open Sans" w:hAnsi="Open Sans"/>
                <w:b w:val="1"/>
                <w:sz w:val="22"/>
                <w:szCs w:val="22"/>
              </w:rPr>
            </w:pPr>
            <w:r w:rsidDel="00000000" w:rsidR="00000000" w:rsidRPr="00000000">
              <w:rPr>
                <w:rFonts w:ascii="Open Sans" w:cs="Open Sans" w:eastAsia="Open Sans" w:hAnsi="Open Sans"/>
                <w:color w:val="9c0006"/>
                <w:sz w:val="22"/>
                <w:szCs w:val="22"/>
                <w:rtl w:val="0"/>
              </w:rPr>
              <w:t xml:space="preserve">-0,7%</w:t>
            </w:r>
            <w:r w:rsidDel="00000000" w:rsidR="00000000" w:rsidRPr="00000000">
              <w:rPr>
                <w:rtl w:val="0"/>
              </w:rPr>
            </w:r>
          </w:p>
        </w:tc>
      </w:tr>
    </w:tbl>
    <w:p w:rsidR="00000000" w:rsidDel="00000000" w:rsidP="00000000" w:rsidRDefault="00000000" w:rsidRPr="00000000" w14:paraId="0000036E">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Distritos de Madrid</w:t>
      </w:r>
    </w:p>
    <w:p w:rsidR="00000000" w:rsidDel="00000000" w:rsidP="00000000" w:rsidRDefault="00000000" w:rsidRPr="00000000" w14:paraId="0000036F">
      <w:pPr>
        <w:spacing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El precio medio de la vivienda de segunda mano sube en los 21 distritos con variación interanual analizados por </w:t>
      </w:r>
      <w:hyperlink r:id="rId15">
        <w:r w:rsidDel="00000000" w:rsidR="00000000" w:rsidRPr="00000000">
          <w:rPr>
            <w:rFonts w:ascii="Open Sans" w:cs="Open Sans" w:eastAsia="Open Sans" w:hAnsi="Open Sans"/>
            <w:color w:val="0000ff"/>
            <w:u w:val="single"/>
            <w:rtl w:val="0"/>
          </w:rPr>
          <w:t xml:space="preserve">Fotocasa</w:t>
        </w:r>
      </w:hyperlink>
      <w:r w:rsidDel="00000000" w:rsidR="00000000" w:rsidRPr="00000000">
        <w:rPr>
          <w:rFonts w:ascii="Open Sans" w:cs="Open Sans" w:eastAsia="Open Sans" w:hAnsi="Open Sans"/>
          <w:color w:val="4472c4"/>
          <w:rtl w:val="0"/>
        </w:rPr>
        <w:t xml:space="preserve">. </w:t>
      </w:r>
      <w:r w:rsidDel="00000000" w:rsidR="00000000" w:rsidRPr="00000000">
        <w:rPr>
          <w:rFonts w:ascii="Open Sans" w:cs="Open Sans" w:eastAsia="Open Sans" w:hAnsi="Open Sans"/>
          <w:color w:val="000000"/>
          <w:rtl w:val="0"/>
        </w:rPr>
        <w:t xml:space="preserve">Los incrementos interanuales de la vivienda superiores al 20% son: Retiro</w:t>
        <w:tab/>
        <w:t xml:space="preserve"> (30,8%), Villaverde (28,7%), Ciudad Lineal (27,2%), San Blas (25,1%), Barrio de Salamanca (23,8%), Carabanchel (23,4%), Vicálvaro (21,8%) y Usera (21,8%). Le siguen, el resto de los distritos como Arganzuela (19,5%), Latina (18,0%), Chamartín (17,5%), Moncloa - Aravaca (16,9%), Chamberí (16,2%), Fuencarral - El Pardo (15,2%), Puente de Vallecas (14,6%), Hortaleza (13,5%), Moratalaz (9,2%), Centro (7,7%), Villa de Vallecas (7,5%), Tetuán (5,2%) y Barajas (3,0%).</w:t>
      </w:r>
    </w:p>
    <w:p w:rsidR="00000000" w:rsidDel="00000000" w:rsidP="00000000" w:rsidRDefault="00000000" w:rsidRPr="00000000" w14:paraId="00000370">
      <w:pPr>
        <w:spacing w:line="276"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71">
      <w:pPr>
        <w:spacing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Los </w:t>
      </w:r>
      <w:r w:rsidDel="00000000" w:rsidR="00000000" w:rsidRPr="00000000">
        <w:rPr>
          <w:rFonts w:ascii="Open Sans" w:cs="Open Sans" w:eastAsia="Open Sans" w:hAnsi="Open Sans"/>
          <w:b w:val="1"/>
          <w:color w:val="000000"/>
          <w:rtl w:val="0"/>
        </w:rPr>
        <w:t xml:space="preserve">tres distritos por encima de los 8.000 euros es: Barrio de Salamanca con 10.492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Chamberí con 9.010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y Retiro con 8.434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color w:val="000000"/>
          <w:rtl w:val="0"/>
        </w:rPr>
        <w:t xml:space="preserve">. Por otro lado, los distritos con el precio de la vivienda más económico son Villaverde con 2.405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Puente de Vallecas con 2.820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y Villa de Vallecas con 2.901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w:t>
      </w:r>
    </w:p>
    <w:p w:rsidR="00000000" w:rsidDel="00000000" w:rsidP="00000000" w:rsidRDefault="00000000" w:rsidRPr="00000000" w14:paraId="00000372">
      <w:pPr>
        <w:spacing w:line="276"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73">
      <w:pPr>
        <w:spacing w:line="276"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74">
      <w:pPr>
        <w:spacing w:line="276"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75">
      <w:pPr>
        <w:spacing w:line="276"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hd w:fill="ffffff" w:val="clea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Distritos de Madrid de mayor a menor incremento interanual</w:t>
      </w:r>
    </w:p>
    <w:tbl>
      <w:tblPr>
        <w:tblStyle w:val="Table8"/>
        <w:tblW w:w="905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835"/>
        <w:gridCol w:w="2268"/>
        <w:gridCol w:w="1985"/>
        <w:gridCol w:w="1963"/>
        <w:tblGridChange w:id="0">
          <w:tblGrid>
            <w:gridCol w:w="2835"/>
            <w:gridCol w:w="2268"/>
            <w:gridCol w:w="1985"/>
            <w:gridCol w:w="1963"/>
          </w:tblGrid>
        </w:tblGridChange>
      </w:tblGrid>
      <w:tr>
        <w:trPr>
          <w:cantSplit w:val="0"/>
          <w:trHeight w:val="175" w:hRule="atLeast"/>
          <w:tblHeader w:val="0"/>
        </w:trPr>
        <w:tc>
          <w:tcPr>
            <w:tcBorders>
              <w:bottom w:color="ffffff" w:space="0" w:sz="4" w:val="single"/>
            </w:tcBorders>
            <w:vAlign w:val="center"/>
          </w:tcPr>
          <w:p w:rsidR="00000000" w:rsidDel="00000000" w:rsidP="00000000" w:rsidRDefault="00000000" w:rsidRPr="00000000" w14:paraId="00000377">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Distrito</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78">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Mayo 2025</w:t>
            </w:r>
            <w:r w:rsidDel="00000000" w:rsidR="00000000" w:rsidRPr="00000000">
              <w:rPr>
                <w:rtl w:val="0"/>
              </w:rPr>
            </w:r>
          </w:p>
          <w:p w:rsidR="00000000" w:rsidDel="00000000" w:rsidP="00000000" w:rsidRDefault="00000000" w:rsidRPr="00000000" w14:paraId="00000379">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(euros/m²)</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7A">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7B">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7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Retiro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7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8.434 €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7E">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-0,8%</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7F">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30,8%</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8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Villaverde</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2.405 €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2">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4,4%</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3">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28,7%</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8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Ciudad Lineal</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4.950 €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6">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6,7%</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7">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27,2%</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8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 Blas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3.768 €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A">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6,0%</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B">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25,1%</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8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Barrio de Salamanca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10.492 €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E">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0,6%</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8F">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23,8%</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9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Carabanchel</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3.199 €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2">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3,4%</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3">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23,4%</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9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Vicálvaro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3.723 €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6">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4,7%</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7">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21,8%</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9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Usera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3.009 €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A">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6,8%</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B">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21,8%</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9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Arganzuela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5.774 €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E">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0,5%</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9F">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19,5%</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A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Latina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3.368 €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2">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4,9%</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3">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18,0%</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A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Chamartín</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7.498 €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6">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4,1%</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7">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17,5%</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A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Moncloa - Aravaca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6.412 €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A">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-0,4%</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B">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16,9%</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A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Chamberí</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9.010 €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E">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1,3%</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AF">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16,2%</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B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Fuencarral - El Pardo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5.106 €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2">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-0,3%</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3">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15,2%</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B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Puente de Vallecas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2.820 €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6">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3,5%</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7">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14,6%</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B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Hortaleza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5.241 €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A">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1,0%</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B">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13,5%</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B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Moratalaz</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3.755 €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E">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3,2%</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BF">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9,2%</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C0">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Centro</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7.346 €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-0,5%</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3">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7,7%</w:t>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C4">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Villa de Vallecas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2.901 €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9c0006"/>
                <w:sz w:val="22"/>
                <w:szCs w:val="22"/>
                <w:rtl w:val="0"/>
              </w:rPr>
              <w:t xml:space="preserve">-1,2%</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7">
            <w:pPr>
              <w:jc w:val="cente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7,5%</w:t>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C8">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Tetuán</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5.537 €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A">
            <w:pPr>
              <w:jc w:val="center"/>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rtl w:val="0"/>
              </w:rPr>
              <w:t xml:space="preserve">2,7%</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B">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5,2%</w:t>
            </w:r>
            <w:r w:rsidDel="00000000" w:rsidR="00000000" w:rsidRPr="00000000">
              <w:rPr>
                <w:rtl w:val="0"/>
              </w:rPr>
            </w:r>
          </w:p>
        </w:tc>
      </w:tr>
      <w:tr>
        <w:trPr>
          <w:cantSplit w:val="0"/>
          <w:trHeight w:val="175" w:hRule="atLeast"/>
          <w:tblHeader w:val="0"/>
        </w:trPr>
        <w:tc>
          <w:tcPr>
            <w:tcBorders>
              <w:top w:color="ffffff" w:space="0" w:sz="4" w:val="single"/>
              <w:right w:color="ffffff" w:space="0" w:sz="4" w:val="single"/>
            </w:tcBorders>
            <w:vAlign w:val="bottom"/>
          </w:tcPr>
          <w:p w:rsidR="00000000" w:rsidDel="00000000" w:rsidP="00000000" w:rsidRDefault="00000000" w:rsidRPr="00000000" w14:paraId="000003CC">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Barajas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D">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4.180 €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E">
            <w:pPr>
              <w:jc w:val="center"/>
              <w:rPr>
                <w:rFonts w:ascii="Open Sans" w:cs="Open Sans" w:eastAsia="Open Sans" w:hAnsi="Open Sans"/>
                <w:sz w:val="22"/>
                <w:szCs w:val="22"/>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CF">
            <w:pPr>
              <w:jc w:val="center"/>
              <w:rPr>
                <w:rFonts w:ascii="Open Sans" w:cs="Open Sans" w:eastAsia="Open Sans" w:hAnsi="Open Sans"/>
                <w:b w:val="1"/>
                <w:sz w:val="22"/>
                <w:szCs w:val="22"/>
              </w:rPr>
            </w:pPr>
            <w:r w:rsidDel="00000000" w:rsidR="00000000" w:rsidRPr="00000000">
              <w:rPr>
                <w:rFonts w:ascii="Open Sans" w:cs="Open Sans" w:eastAsia="Open Sans" w:hAnsi="Open Sans"/>
                <w:b w:val="1"/>
                <w:color w:val="000000"/>
                <w:sz w:val="22"/>
                <w:szCs w:val="22"/>
                <w:rtl w:val="0"/>
              </w:rPr>
              <w:t xml:space="preserve">3,0%</w:t>
            </w:r>
            <w:r w:rsidDel="00000000" w:rsidR="00000000" w:rsidRPr="00000000">
              <w:rPr>
                <w:rtl w:val="0"/>
              </w:rPr>
            </w:r>
          </w:p>
        </w:tc>
      </w:tr>
    </w:tbl>
    <w:p w:rsidR="00000000" w:rsidDel="00000000" w:rsidP="00000000" w:rsidRDefault="00000000" w:rsidRPr="00000000" w14:paraId="000003D0">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Distritos de Barcelona</w:t>
      </w:r>
    </w:p>
    <w:p w:rsidR="00000000" w:rsidDel="00000000" w:rsidP="00000000" w:rsidRDefault="00000000" w:rsidRPr="00000000" w14:paraId="000003D1">
      <w:pPr>
        <w:spacing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El precio medio de la vivienda de segunda mano sube en los diez distritos con variación interanual analizados por </w:t>
      </w:r>
      <w:hyperlink r:id="rId16">
        <w:r w:rsidDel="00000000" w:rsidR="00000000" w:rsidRPr="00000000">
          <w:rPr>
            <w:rFonts w:ascii="Open Sans" w:cs="Open Sans" w:eastAsia="Open Sans" w:hAnsi="Open Sans"/>
            <w:color w:val="0000ff"/>
            <w:u w:val="single"/>
            <w:rtl w:val="0"/>
          </w:rPr>
          <w:t xml:space="preserve">Fotocasa</w:t>
        </w:r>
      </w:hyperlink>
      <w:r w:rsidDel="00000000" w:rsidR="00000000" w:rsidRPr="00000000">
        <w:rPr>
          <w:rFonts w:ascii="Open Sans" w:cs="Open Sans" w:eastAsia="Open Sans" w:hAnsi="Open Sans"/>
          <w:color w:val="4472c4"/>
          <w:rtl w:val="0"/>
        </w:rPr>
        <w:t xml:space="preserve">. </w:t>
      </w:r>
      <w:r w:rsidDel="00000000" w:rsidR="00000000" w:rsidRPr="00000000">
        <w:rPr>
          <w:rFonts w:ascii="Open Sans" w:cs="Open Sans" w:eastAsia="Open Sans" w:hAnsi="Open Sans"/>
          <w:b w:val="1"/>
          <w:color w:val="000000"/>
          <w:rtl w:val="0"/>
        </w:rPr>
        <w:t xml:space="preserve">Los incrementos de la vivienda corresponden a los distritos de Sants - Montjuïc (17,4%), Les Corts (15,7%),</w:t>
      </w:r>
      <w:r w:rsidDel="00000000" w:rsidR="00000000" w:rsidRPr="00000000">
        <w:rPr>
          <w:rFonts w:ascii="Open Sans" w:cs="Open Sans" w:eastAsia="Open Sans" w:hAnsi="Open Sans"/>
          <w:color w:val="000000"/>
          <w:rtl w:val="0"/>
        </w:rPr>
        <w:t xml:space="preserve"> Sarrià - Sant Gervasi (15,2%), Sant Martí (13,3%), Eixample (11,3%), Nou Barris (10,7%), Ciutat Vella (10,5%), Sant Andreu (6,5%), Gràcia (6,4%) y Horta - Guinardó (5,8%).</w:t>
      </w:r>
    </w:p>
    <w:p w:rsidR="00000000" w:rsidDel="00000000" w:rsidP="00000000" w:rsidRDefault="00000000" w:rsidRPr="00000000" w14:paraId="000003D2">
      <w:pPr>
        <w:spacing w:line="276" w:lineRule="auto"/>
        <w:jc w:val="both"/>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3D3">
      <w:pPr>
        <w:spacing w:line="276" w:lineRule="auto"/>
        <w:jc w:val="both"/>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En cuanto al precio por metro cuadrado en mayo, vemos que el orden de los </w:t>
      </w:r>
      <w:r w:rsidDel="00000000" w:rsidR="00000000" w:rsidRPr="00000000">
        <w:rPr>
          <w:rFonts w:ascii="Open Sans" w:cs="Open Sans" w:eastAsia="Open Sans" w:hAnsi="Open Sans"/>
          <w:b w:val="1"/>
          <w:color w:val="000000"/>
          <w:rtl w:val="0"/>
        </w:rPr>
        <w:t xml:space="preserve">distritos de mayor a menor precio es</w:t>
      </w:r>
      <w:r w:rsidDel="00000000" w:rsidR="00000000" w:rsidRPr="00000000">
        <w:rPr>
          <w:rFonts w:ascii="Open Sans" w:cs="Open Sans" w:eastAsia="Open Sans" w:hAnsi="Open Sans"/>
          <w:color w:val="000000"/>
          <w:rtl w:val="0"/>
        </w:rPr>
        <w:t xml:space="preserve">: </w:t>
      </w:r>
      <w:r w:rsidDel="00000000" w:rsidR="00000000" w:rsidRPr="00000000">
        <w:rPr>
          <w:rFonts w:ascii="Open Sans" w:cs="Open Sans" w:eastAsia="Open Sans" w:hAnsi="Open Sans"/>
          <w:b w:val="1"/>
          <w:color w:val="000000"/>
          <w:rtl w:val="0"/>
        </w:rPr>
        <w:t xml:space="preserve">Sarrià - Sant Gervasi con 6.957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 Eixample con 6.686 euros/m</w:t>
      </w:r>
      <w:r w:rsidDel="00000000" w:rsidR="00000000" w:rsidRPr="00000000">
        <w:rPr>
          <w:rFonts w:ascii="Open Sans" w:cs="Open Sans" w:eastAsia="Open Sans" w:hAnsi="Open Sans"/>
          <w:b w:val="1"/>
          <w:color w:val="000000"/>
          <w:vertAlign w:val="superscript"/>
          <w:rtl w:val="0"/>
        </w:rPr>
        <w:t xml:space="preserve">2</w:t>
      </w:r>
      <w:r w:rsidDel="00000000" w:rsidR="00000000" w:rsidRPr="00000000">
        <w:rPr>
          <w:rFonts w:ascii="Open Sans" w:cs="Open Sans" w:eastAsia="Open Sans" w:hAnsi="Open Sans"/>
          <w:b w:val="1"/>
          <w:color w:val="000000"/>
          <w:rtl w:val="0"/>
        </w:rPr>
        <w:t xml:space="preserve">,</w:t>
      </w:r>
      <w:r w:rsidDel="00000000" w:rsidR="00000000" w:rsidRPr="00000000">
        <w:rPr>
          <w:rFonts w:ascii="Open Sans" w:cs="Open Sans" w:eastAsia="Open Sans" w:hAnsi="Open Sans"/>
          <w:color w:val="000000"/>
          <w:rtl w:val="0"/>
        </w:rPr>
        <w:t xml:space="preserve"> Les Corts con 5.909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Gràcia con 5.291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Ciutat Vella con 5.073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Sant Martí con 4.729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Sants - Montjuïc con 4.465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Horta - Guinardó con 4.016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Sant Andreu con 3.696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 y Nou Barris con 3.004 euros/m</w:t>
      </w:r>
      <w:r w:rsidDel="00000000" w:rsidR="00000000" w:rsidRPr="00000000">
        <w:rPr>
          <w:rFonts w:ascii="Open Sans" w:cs="Open Sans" w:eastAsia="Open Sans" w:hAnsi="Open Sans"/>
          <w:color w:val="000000"/>
          <w:vertAlign w:val="superscript"/>
          <w:rtl w:val="0"/>
        </w:rPr>
        <w:t xml:space="preserve">2</w:t>
      </w:r>
      <w:r w:rsidDel="00000000" w:rsidR="00000000" w:rsidRPr="00000000">
        <w:rPr>
          <w:rFonts w:ascii="Open Sans" w:cs="Open Sans" w:eastAsia="Open Sans" w:hAnsi="Open Sans"/>
          <w:color w:val="000000"/>
          <w:rtl w:val="0"/>
        </w:rPr>
        <w:t xml:space="preserve">.</w:t>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ffffff" w:val="clear"/>
        <w:spacing w:after="280" w:before="280" w:line="276" w:lineRule="auto"/>
        <w:jc w:val="center"/>
        <w:rPr>
          <w:rFonts w:ascii="Open Sans Light" w:cs="Open Sans Light" w:eastAsia="Open Sans Light" w:hAnsi="Open Sans Light"/>
          <w:b w:val="1"/>
          <w:color w:val="303ab2"/>
          <w:sz w:val="28"/>
          <w:szCs w:val="28"/>
        </w:rPr>
      </w:pPr>
      <w:r w:rsidDel="00000000" w:rsidR="00000000" w:rsidRPr="00000000">
        <w:rPr>
          <w:rFonts w:ascii="Open Sans Light" w:cs="Open Sans Light" w:eastAsia="Open Sans Light" w:hAnsi="Open Sans Light"/>
          <w:b w:val="1"/>
          <w:color w:val="303ab2"/>
          <w:sz w:val="28"/>
          <w:szCs w:val="28"/>
          <w:rtl w:val="0"/>
        </w:rPr>
        <w:t xml:space="preserve">Distritos de Barcelona de mayor a menor incremento interanual</w:t>
      </w:r>
    </w:p>
    <w:tbl>
      <w:tblPr>
        <w:tblStyle w:val="Table9"/>
        <w:tblW w:w="9051.0" w:type="dxa"/>
        <w:jc w:val="left"/>
        <w:tblInd w:w="-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2694"/>
        <w:gridCol w:w="2409"/>
        <w:gridCol w:w="1985"/>
        <w:gridCol w:w="1963"/>
        <w:tblGridChange w:id="0">
          <w:tblGrid>
            <w:gridCol w:w="2694"/>
            <w:gridCol w:w="2409"/>
            <w:gridCol w:w="1985"/>
            <w:gridCol w:w="1963"/>
          </w:tblGrid>
        </w:tblGridChange>
      </w:tblGrid>
      <w:tr>
        <w:trPr>
          <w:cantSplit w:val="0"/>
          <w:trHeight w:val="175" w:hRule="atLeast"/>
          <w:tblHeader w:val="0"/>
        </w:trPr>
        <w:tc>
          <w:tcPr>
            <w:tcBorders>
              <w:bottom w:color="ffffff" w:space="0" w:sz="4" w:val="single"/>
            </w:tcBorders>
            <w:vAlign w:val="center"/>
          </w:tcPr>
          <w:p w:rsidR="00000000" w:rsidDel="00000000" w:rsidP="00000000" w:rsidRDefault="00000000" w:rsidRPr="00000000" w14:paraId="000003D5">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Distrito</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D6">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Mayo 2025</w:t>
            </w:r>
            <w:r w:rsidDel="00000000" w:rsidR="00000000" w:rsidRPr="00000000">
              <w:rPr>
                <w:rtl w:val="0"/>
              </w:rPr>
            </w:r>
          </w:p>
          <w:p w:rsidR="00000000" w:rsidDel="00000000" w:rsidP="00000000" w:rsidRDefault="00000000" w:rsidRPr="00000000" w14:paraId="000003D7">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(euros/m²)</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D8">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mensual (%)</w:t>
            </w:r>
            <w:r w:rsidDel="00000000" w:rsidR="00000000" w:rsidRPr="00000000">
              <w:rPr>
                <w:rtl w:val="0"/>
              </w:rPr>
            </w:r>
          </w:p>
        </w:tc>
        <w:tc>
          <w:tcPr>
            <w:tcBorders>
              <w:bottom w:color="ffffff" w:space="0" w:sz="4" w:val="single"/>
            </w:tcBorders>
            <w:vAlign w:val="center"/>
          </w:tcPr>
          <w:p w:rsidR="00000000" w:rsidDel="00000000" w:rsidP="00000000" w:rsidRDefault="00000000" w:rsidRPr="00000000" w14:paraId="000003D9">
            <w:pPr>
              <w:jc w:val="cente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Variación interanual (%)</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D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Sants - Montjuïc</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4.465 €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C">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0,2%</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D">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17,4%</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D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Les Corts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D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5.909 €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0">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-2,7%</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1">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15,7%</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E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Sarrià - Sant Gervasi</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6.957 €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4">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1,9%</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5">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15,2%</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E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 Martí</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4.729 €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8">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2,0%</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9">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13,3%</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E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Eixample</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6.686 €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C">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0,5%</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D">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11,3%</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E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Nou Barris</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E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3.004 €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0">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3,2%</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1">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10,7%</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F2">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Ciutat Vella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5.073 €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4">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0,5%</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5">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10,5%</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F6">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Sant Andreu</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3.696 €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8">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0,2%</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9">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6,5%</w:t>
            </w:r>
            <w:r w:rsidDel="00000000" w:rsidR="00000000" w:rsidRPr="00000000">
              <w:rPr>
                <w:rtl w:val="0"/>
              </w:rPr>
            </w:r>
          </w:p>
        </w:tc>
      </w:tr>
      <w:tr>
        <w:trPr>
          <w:cantSplit w:val="0"/>
          <w:trHeight w:val="175" w:hRule="atLeast"/>
          <w:tblHeader w:val="0"/>
        </w:trPr>
        <w:tc>
          <w:tcPr>
            <w:tcBorders>
              <w:top w:color="ffffff" w:space="0" w:sz="4" w:val="single"/>
              <w:bottom w:color="ffffff" w:space="0" w:sz="4" w:val="single"/>
              <w:right w:color="ffffff" w:space="0" w:sz="4" w:val="single"/>
            </w:tcBorders>
            <w:vAlign w:val="bottom"/>
          </w:tcPr>
          <w:p w:rsidR="00000000" w:rsidDel="00000000" w:rsidP="00000000" w:rsidRDefault="00000000" w:rsidRPr="00000000" w14:paraId="000003FA">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Gràcia</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5.291 €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C">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1,2%</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D">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6,4%</w:t>
            </w:r>
            <w:r w:rsidDel="00000000" w:rsidR="00000000" w:rsidRPr="00000000">
              <w:rPr>
                <w:rtl w:val="0"/>
              </w:rPr>
            </w:r>
          </w:p>
        </w:tc>
      </w:tr>
      <w:tr>
        <w:trPr>
          <w:cantSplit w:val="0"/>
          <w:trHeight w:val="175" w:hRule="atLeast"/>
          <w:tblHeader w:val="0"/>
        </w:trPr>
        <w:tc>
          <w:tcPr>
            <w:tcBorders>
              <w:top w:color="ffffff" w:space="0" w:sz="4" w:val="single"/>
              <w:right w:color="ffffff" w:space="0" w:sz="4" w:val="single"/>
            </w:tcBorders>
            <w:vAlign w:val="bottom"/>
          </w:tcPr>
          <w:p w:rsidR="00000000" w:rsidDel="00000000" w:rsidP="00000000" w:rsidRDefault="00000000" w:rsidRPr="00000000" w14:paraId="000003FE">
            <w:pPr>
              <w:rPr>
                <w:rFonts w:ascii="Open Sans" w:cs="Open Sans" w:eastAsia="Open Sans" w:hAnsi="Open Sans"/>
                <w:sz w:val="22"/>
                <w:szCs w:val="22"/>
              </w:rPr>
            </w:pPr>
            <w:r w:rsidDel="00000000" w:rsidR="00000000" w:rsidRPr="00000000">
              <w:rPr>
                <w:rFonts w:ascii="Open Sans" w:cs="Open Sans" w:eastAsia="Open Sans" w:hAnsi="Open Sans"/>
                <w:b w:val="0"/>
                <w:sz w:val="22"/>
                <w:szCs w:val="22"/>
                <w:rtl w:val="0"/>
              </w:rPr>
              <w:t xml:space="preserve">Horta - Guinardó</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3F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4.016 €</w:t>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0">
            <w:pPr>
              <w:jc w:val="center"/>
              <w:rPr>
                <w:rFonts w:ascii="Open Sans" w:cs="Open Sans" w:eastAsia="Open Sans" w:hAnsi="Open Sans"/>
                <w:color w:val="9c0006"/>
                <w:sz w:val="22"/>
                <w:szCs w:val="22"/>
              </w:rPr>
            </w:pPr>
            <w:r w:rsidDel="00000000" w:rsidR="00000000" w:rsidRPr="00000000">
              <w:rPr>
                <w:rFonts w:ascii="Open Sans" w:cs="Open Sans" w:eastAsia="Open Sans" w:hAnsi="Open Sans"/>
                <w:color w:val="000000"/>
                <w:sz w:val="22"/>
                <w:szCs w:val="22"/>
                <w:rtl w:val="0"/>
              </w:rPr>
              <w:t xml:space="preserve">2,7%</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401">
            <w:pPr>
              <w:jc w:val="center"/>
              <w:rPr>
                <w:rFonts w:ascii="Open Sans" w:cs="Open Sans" w:eastAsia="Open Sans" w:hAnsi="Open Sans"/>
                <w:b w:val="1"/>
                <w:color w:val="9c0006"/>
                <w:sz w:val="22"/>
                <w:szCs w:val="22"/>
              </w:rPr>
            </w:pPr>
            <w:r w:rsidDel="00000000" w:rsidR="00000000" w:rsidRPr="00000000">
              <w:rPr>
                <w:rFonts w:ascii="Open Sans" w:cs="Open Sans" w:eastAsia="Open Sans" w:hAnsi="Open Sans"/>
                <w:b w:val="1"/>
                <w:color w:val="000000"/>
                <w:sz w:val="22"/>
                <w:szCs w:val="22"/>
                <w:rtl w:val="0"/>
              </w:rPr>
              <w:t xml:space="preserve">5,8%</w:t>
            </w:r>
            <w:r w:rsidDel="00000000" w:rsidR="00000000" w:rsidRPr="00000000">
              <w:rPr>
                <w:rtl w:val="0"/>
              </w:rPr>
            </w:r>
          </w:p>
        </w:tc>
      </w:tr>
    </w:tbl>
    <w:p w:rsidR="00000000" w:rsidDel="00000000" w:rsidP="00000000" w:rsidRDefault="00000000" w:rsidRPr="00000000" w14:paraId="00000402">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403">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404">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Portal inmobiliario que cuenta con inmuebles de segunda mano, promociones de obra nueva y viviendas de alquiler. Cada mes genera un tráfico de 34 millones de visitas (75% a través de dispositivos móviles). Mensualmente elabora el </w:t>
      </w:r>
      <w:hyperlink r:id="rId17">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sz w:val="22"/>
          <w:szCs w:val="22"/>
          <w:rtl w:val="0"/>
        </w:rPr>
        <w:t xml:space="preserve">, un informe de referencia sobre la evolución del precio medio de la vivienda en España, tanto en venta como en alquiler. </w:t>
      </w:r>
    </w:p>
    <w:p w:rsidR="00000000" w:rsidDel="00000000" w:rsidP="00000000" w:rsidRDefault="00000000" w:rsidRPr="00000000" w14:paraId="00000405">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Toda nuestra información la puedes encontrar en nuestra </w:t>
      </w:r>
      <w:hyperlink r:id="rId18">
        <w:r w:rsidDel="00000000" w:rsidR="00000000" w:rsidRPr="00000000">
          <w:rPr>
            <w:rFonts w:ascii="Open Sans" w:cs="Open Sans" w:eastAsia="Open Sans" w:hAnsi="Open Sans"/>
            <w:color w:val="0000ff"/>
            <w:sz w:val="22"/>
            <w:szCs w:val="22"/>
            <w:u w:val="single"/>
            <w:rtl w:val="0"/>
          </w:rPr>
          <w:t xml:space="preserve">Sala de Prensa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406">
      <w:pPr>
        <w:shd w:fill="ffffff" w:val="clear"/>
        <w:spacing w:after="280" w:before="280" w:line="276" w:lineRule="auto"/>
        <w:jc w:val="both"/>
        <w:rPr>
          <w:rFonts w:ascii="Open Sans" w:cs="Open Sans" w:eastAsia="Open Sans" w:hAnsi="Open Sans"/>
          <w:sz w:val="22"/>
          <w:szCs w:val="22"/>
        </w:rPr>
      </w:pPr>
      <w:hyperlink r:id="rId19">
        <w:r w:rsidDel="00000000" w:rsidR="00000000" w:rsidRPr="00000000">
          <w:rPr>
            <w:rFonts w:ascii="Open Sans" w:cs="Open Sans" w:eastAsia="Open Sans" w:hAnsi="Open Sans"/>
            <w:color w:val="0000ff"/>
            <w:sz w:val="22"/>
            <w:szCs w:val="22"/>
            <w:u w:val="single"/>
            <w:rtl w:val="0"/>
          </w:rPr>
          <w:t xml:space="preserve">Más información sobre Fotocasa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407">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Adevinta</w:t>
      </w:r>
    </w:p>
    <w:p w:rsidR="00000000" w:rsidDel="00000000" w:rsidP="00000000" w:rsidRDefault="00000000" w:rsidRPr="00000000" w14:paraId="00000408">
      <w:pPr>
        <w:spacing w:after="200" w:before="143" w:lineRule="auto"/>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Adevinta es un grupo de empresas líder en marketplaces digitales y una de las principales empresas del sector tecnológico del país, con más de 18 millones de usuarios únicos al mes en sus plataformas de los sectores inmobiliario (</w:t>
      </w:r>
      <w:hyperlink r:id="rId20">
        <w:r w:rsidDel="00000000" w:rsidR="00000000" w:rsidRPr="00000000">
          <w:rPr>
            <w:rFonts w:ascii="Open Sans" w:cs="Open Sans" w:eastAsia="Open Sans" w:hAnsi="Open Sans"/>
            <w:color w:val="1155cc"/>
            <w:sz w:val="22"/>
            <w:szCs w:val="22"/>
            <w:u w:val="single"/>
            <w:rtl w:val="0"/>
          </w:rPr>
          <w:t xml:space="preserve">Fotocasa</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21">
        <w:r w:rsidDel="00000000" w:rsidR="00000000" w:rsidRPr="00000000">
          <w:rPr>
            <w:rFonts w:ascii="Open Sans" w:cs="Open Sans" w:eastAsia="Open Sans" w:hAnsi="Open Sans"/>
            <w:color w:val="1155cc"/>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22">
        <w:r w:rsidDel="00000000" w:rsidR="00000000" w:rsidRPr="00000000">
          <w:rPr>
            <w:rFonts w:ascii="Open Sans" w:cs="Open Sans" w:eastAsia="Open Sans" w:hAnsi="Open Sans"/>
            <w:color w:val="1155cc"/>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23">
        <w:r w:rsidDel="00000000" w:rsidR="00000000" w:rsidRPr="00000000">
          <w:rPr>
            <w:rFonts w:ascii="Open Sans" w:cs="Open Sans" w:eastAsia="Open Sans" w:hAnsi="Open Sans"/>
            <w:color w:val="1155cc"/>
            <w:sz w:val="22"/>
            <w:szCs w:val="22"/>
            <w:u w:val="single"/>
            <w:rtl w:val="0"/>
          </w:rPr>
          <w:t xml:space="preserve">coches.net</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24">
        <w:r w:rsidDel="00000000" w:rsidR="00000000" w:rsidRPr="00000000">
          <w:rPr>
            <w:rFonts w:ascii="Open Sans" w:cs="Open Sans" w:eastAsia="Open Sans" w:hAnsi="Open Sans"/>
            <w:color w:val="1155cc"/>
            <w:sz w:val="22"/>
            <w:szCs w:val="22"/>
            <w:u w:val="single"/>
            <w:rtl w:val="0"/>
          </w:rPr>
          <w:t xml:space="preserve">motos.net</w:t>
        </w:r>
      </w:hyperlink>
      <w:r w:rsidDel="00000000" w:rsidR="00000000" w:rsidRPr="00000000">
        <w:rPr>
          <w:rFonts w:ascii="Open Sans" w:cs="Open Sans" w:eastAsia="Open Sans" w:hAnsi="Open Sans"/>
          <w:sz w:val="22"/>
          <w:szCs w:val="22"/>
          <w:rtl w:val="0"/>
        </w:rPr>
        <w:t xml:space="preserve">) y compraventa de artículos de segunda mano (</w:t>
      </w:r>
      <w:hyperlink r:id="rId25">
        <w:r w:rsidDel="00000000" w:rsidR="00000000" w:rsidRPr="00000000">
          <w:rPr>
            <w:rFonts w:ascii="Open Sans" w:cs="Open Sans" w:eastAsia="Open Sans" w:hAnsi="Open Sans"/>
            <w:color w:val="1155cc"/>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409">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40A">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Adevinta tiene presencia mundial en 10 países. El conjunto de sus plataformas locales recibe un promedio de 2.500 millones de visitas cada mes. </w:t>
      </w:r>
    </w:p>
    <w:p w:rsidR="00000000" w:rsidDel="00000000" w:rsidP="00000000" w:rsidRDefault="00000000" w:rsidRPr="00000000" w14:paraId="0000040B">
      <w:pPr>
        <w:spacing w:after="200" w:before="143" w:lineRule="auto"/>
        <w:jc w:val="both"/>
        <w:rPr/>
      </w:pPr>
      <w:r w:rsidDel="00000000" w:rsidR="00000000" w:rsidRPr="00000000">
        <w:rPr>
          <w:rFonts w:ascii="Open Sans" w:cs="Open Sans" w:eastAsia="Open Sans" w:hAnsi="Open Sans"/>
          <w:sz w:val="22"/>
          <w:szCs w:val="22"/>
          <w:rtl w:val="0"/>
        </w:rPr>
        <w:t xml:space="preserve">Más información en </w:t>
      </w:r>
      <w:hyperlink r:id="rId26">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40C">
      <w:pPr>
        <w:spacing w:after="200" w:before="143"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40D">
      <w:pPr>
        <w:spacing w:line="276" w:lineRule="auto"/>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Departamento Comunicación Fotocasa</w:t>
      </w:r>
    </w:p>
    <w:p w:rsidR="00000000" w:rsidDel="00000000" w:rsidP="00000000" w:rsidRDefault="00000000" w:rsidRPr="00000000" w14:paraId="0000040E">
      <w:pPr>
        <w:shd w:fill="ffffff" w:val="clear"/>
        <w:spacing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Anaïs López</w:t>
      </w:r>
    </w:p>
    <w:p w:rsidR="00000000" w:rsidDel="00000000" w:rsidP="00000000" w:rsidRDefault="00000000" w:rsidRPr="00000000" w14:paraId="0000040F">
      <w:pPr>
        <w:shd w:fill="ffffff" w:val="clear"/>
        <w:spacing w:line="276" w:lineRule="auto"/>
        <w:rPr>
          <w:rFonts w:ascii="Open Sans" w:cs="Open Sans" w:eastAsia="Open Sans" w:hAnsi="Open Sans"/>
          <w:color w:val="0000ff"/>
          <w:sz w:val="22"/>
          <w:szCs w:val="22"/>
          <w:u w:val="single"/>
        </w:rPr>
      </w:pPr>
      <w:hyperlink r:id="rId27">
        <w:r w:rsidDel="00000000" w:rsidR="00000000" w:rsidRPr="00000000">
          <w:rPr>
            <w:rFonts w:ascii="Open Sans" w:cs="Open Sans" w:eastAsia="Open Sans" w:hAnsi="Open Sans"/>
            <w:color w:val="0000ff"/>
            <w:sz w:val="22"/>
            <w:szCs w:val="22"/>
            <w:u w:val="single"/>
            <w:rtl w:val="0"/>
          </w:rPr>
          <w:t xml:space="preserve">comunicacion@fotocasa.es</w:t>
        </w:r>
      </w:hyperlink>
      <w:r w:rsidDel="00000000" w:rsidR="00000000" w:rsidRPr="00000000">
        <w:rPr>
          <w:rtl w:val="0"/>
        </w:rPr>
      </w:r>
    </w:p>
    <w:p w:rsidR="00000000" w:rsidDel="00000000" w:rsidP="00000000" w:rsidRDefault="00000000" w:rsidRPr="00000000" w14:paraId="00000410">
      <w:pPr>
        <w:shd w:fill="ffffff" w:val="clear"/>
        <w:spacing w:line="276" w:lineRule="auto"/>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620 66 29 26</w:t>
      </w:r>
    </w:p>
    <w:p w:rsidR="00000000" w:rsidDel="00000000" w:rsidP="00000000" w:rsidRDefault="00000000" w:rsidRPr="00000000" w14:paraId="00000411">
      <w:pPr>
        <w:spacing w:line="276" w:lineRule="auto"/>
        <w:jc w:val="right"/>
        <w:rPr>
          <w:rFonts w:ascii="Open Sans" w:cs="Open Sans" w:eastAsia="Open Sans" w:hAnsi="Open Sans"/>
          <w:color w:val="000000"/>
          <w:sz w:val="21"/>
          <w:szCs w:val="21"/>
        </w:rPr>
      </w:pPr>
      <w:r w:rsidDel="00000000" w:rsidR="00000000" w:rsidRPr="00000000">
        <w:rPr>
          <w:rtl w:val="0"/>
        </w:rPr>
      </w:r>
    </w:p>
    <w:sectPr>
      <w:footerReference r:id="rId28" w:type="default"/>
      <w:pgSz w:h="16840" w:w="11900" w:orient="portrait"/>
      <w:pgMar w:bottom="1417" w:top="1417" w:left="1701"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2">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-1191893</wp:posOffset>
          </wp:positionH>
          <wp:positionV relativeFrom="paragraph">
            <wp:posOffset>167970</wp:posOffset>
          </wp:positionV>
          <wp:extent cx="7670550" cy="451315"/>
          <wp:effectExtent b="0" l="0" r="0" t="0"/>
          <wp:wrapNone/>
          <wp:docPr id="173455978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303ab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42953"/>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A84CA7"/>
    <w:pPr>
      <w:spacing w:after="100" w:afterAutospacing="1" w:before="100" w:beforeAutospacing="1"/>
    </w:pPr>
    <w:rPr>
      <w:rFonts w:ascii="Times New Roman" w:cs="Times New Roman" w:eastAsia="Times New Roman" w:hAnsi="Times New Roman"/>
      <w:lang w:eastAsia="es-ES_tradnl" w:val="es-ES"/>
    </w:rPr>
  </w:style>
  <w:style w:type="paragraph" w:styleId="Encabezado">
    <w:name w:val="header"/>
    <w:basedOn w:val="Normal"/>
    <w:link w:val="EncabezadoCar"/>
    <w:uiPriority w:val="99"/>
    <w:unhideWhenUsed w:val="1"/>
    <w:rsid w:val="00DD4CA4"/>
    <w:pPr>
      <w:tabs>
        <w:tab w:val="center" w:pos="4252"/>
        <w:tab w:val="right" w:pos="8504"/>
      </w:tabs>
    </w:pPr>
  </w:style>
  <w:style w:type="character" w:styleId="EncabezadoCar" w:customStyle="1">
    <w:name w:val="Encabezado Car"/>
    <w:basedOn w:val="Fuentedeprrafopredeter"/>
    <w:link w:val="Encabezado"/>
    <w:uiPriority w:val="99"/>
    <w:rsid w:val="00DD4CA4"/>
  </w:style>
  <w:style w:type="paragraph" w:styleId="Piedepgina">
    <w:name w:val="footer"/>
    <w:basedOn w:val="Normal"/>
    <w:link w:val="PiedepginaCar"/>
    <w:uiPriority w:val="99"/>
    <w:unhideWhenUsed w:val="1"/>
    <w:rsid w:val="00DD4CA4"/>
    <w:pPr>
      <w:tabs>
        <w:tab w:val="center" w:pos="4252"/>
        <w:tab w:val="right" w:pos="8504"/>
      </w:tabs>
    </w:pPr>
  </w:style>
  <w:style w:type="character" w:styleId="PiedepginaCar" w:customStyle="1">
    <w:name w:val="Pie de página Car"/>
    <w:basedOn w:val="Fuentedeprrafopredeter"/>
    <w:link w:val="Piedepgina"/>
    <w:uiPriority w:val="99"/>
    <w:rsid w:val="00DD4CA4"/>
  </w:style>
  <w:style w:type="character" w:styleId="Hipervnculo">
    <w:name w:val="Hyperlink"/>
    <w:basedOn w:val="Fuentedeprrafopredeter"/>
    <w:uiPriority w:val="99"/>
    <w:unhideWhenUsed w:val="1"/>
    <w:rsid w:val="00DC7AC3"/>
    <w:rPr>
      <w:color w:val="0000ff"/>
      <w:u w:val="single"/>
    </w:rPr>
  </w:style>
  <w:style w:type="paragraph" w:styleId="Prrafodelista">
    <w:name w:val="List Paragraph"/>
    <w:basedOn w:val="Normal"/>
    <w:uiPriority w:val="34"/>
    <w:qFormat w:val="1"/>
    <w:rsid w:val="005029E9"/>
    <w:pPr>
      <w:ind w:left="720"/>
      <w:contextualSpacing w:val="1"/>
    </w:pPr>
  </w:style>
  <w:style w:type="table" w:styleId="Tabladecuadrcula5oscura-nfasis11" w:customStyle="1">
    <w:name w:val="Tabla de cuadrícula 5 oscura - Énfasis 11"/>
    <w:basedOn w:val="Tablanormal"/>
    <w:uiPriority w:val="50"/>
    <w:rsid w:val="0075308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character" w:styleId="m6445620330082090912gmail-msohyperlink" w:customStyle="1">
    <w:name w:val="m_6445620330082090912gmail-msohyperlink"/>
    <w:basedOn w:val="Fuentedeprrafopredeter"/>
    <w:rsid w:val="0059074E"/>
  </w:style>
  <w:style w:type="character" w:styleId="Mencinsinresolver">
    <w:name w:val="Unresolved Mention"/>
    <w:basedOn w:val="Fuentedeprrafopredeter"/>
    <w:uiPriority w:val="99"/>
    <w:semiHidden w:val="1"/>
    <w:unhideWhenUsed w:val="1"/>
    <w:rsid w:val="00990ADB"/>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0"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1"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2"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3"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4"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5"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6"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table" w:styleId="a7" w:customStyle="1">
    <w:basedOn w:val="TableNormal"/>
    <w:tblPr>
      <w:tblStyleRowBandSize w:val="1"/>
      <w:tblStyleColBandSize w:val="1"/>
      <w:tblCellMar>
        <w:top w:w="0.0" w:type="dxa"/>
        <w:left w:w="115.0" w:type="dxa"/>
        <w:bottom w:w="0.0" w:type="dxa"/>
        <w:right w:w="115.0" w:type="dxa"/>
      </w:tblCellMar>
    </w:tblPr>
    <w:tcPr>
      <w:shd w:color="auto" w:fill="d9e2f3"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2">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3">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4">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5">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6">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7">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8">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 w:type="table" w:styleId="Table9">
    <w:basedOn w:val="TableNormal"/>
    <w:tblPr>
      <w:tblStyleRowBandSize w:val="1"/>
      <w:tblStyleColBandSize w:val="1"/>
      <w:tblCellMar>
        <w:top w:w="0.0" w:type="dxa"/>
        <w:left w:w="115.0" w:type="dxa"/>
        <w:bottom w:w="0.0" w:type="dxa"/>
        <w:right w:w="115.0" w:type="dxa"/>
      </w:tblCellMar>
    </w:tblPr>
    <w:tcPr>
      <w:shd w:fill="d9e2f3" w:val="clear"/>
    </w:tcPr>
    <w:tblStylePr w:type="band1Horz">
      <w:tcPr>
        <w:shd w:fill="b4c6e7" w:val="clear"/>
      </w:tcPr>
    </w:tblStylePr>
    <w:tblStylePr w:type="band1Vert">
      <w:tcPr>
        <w:shd w:fill="b4c6e7"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4472c4"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4472c4"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4472c4"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4472c4" w:val="clear"/>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fotocasa.es/es/" TargetMode="External"/><Relationship Id="rId22" Type="http://schemas.openxmlformats.org/officeDocument/2006/relationships/hyperlink" Target="https://www.infojobs.net/" TargetMode="External"/><Relationship Id="rId21" Type="http://schemas.openxmlformats.org/officeDocument/2006/relationships/hyperlink" Target="https://www.habitaclia.com/" TargetMode="External"/><Relationship Id="rId24" Type="http://schemas.openxmlformats.org/officeDocument/2006/relationships/hyperlink" Target="https://motos.coches.net/" TargetMode="External"/><Relationship Id="rId23" Type="http://schemas.openxmlformats.org/officeDocument/2006/relationships/hyperlink" Target="https://www.coche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tocasa.es" TargetMode="External"/><Relationship Id="rId26" Type="http://schemas.openxmlformats.org/officeDocument/2006/relationships/hyperlink" Target="http://adevinta.es" TargetMode="External"/><Relationship Id="rId25" Type="http://schemas.openxmlformats.org/officeDocument/2006/relationships/hyperlink" Target="https://www.milanuncios.com/" TargetMode="External"/><Relationship Id="rId28" Type="http://schemas.openxmlformats.org/officeDocument/2006/relationships/footer" Target="footer1.xml"/><Relationship Id="rId27" Type="http://schemas.openxmlformats.org/officeDocument/2006/relationships/hyperlink" Target="mailto:comunicacion@fotocasa.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youtu.be/dx5te6QGBxQ" TargetMode="External"/><Relationship Id="rId11" Type="http://schemas.openxmlformats.org/officeDocument/2006/relationships/hyperlink" Target="https://www.fotocasa.es" TargetMode="External"/><Relationship Id="rId10" Type="http://schemas.openxmlformats.org/officeDocument/2006/relationships/chart" Target="charts/chart1.xml"/><Relationship Id="rId13" Type="http://schemas.openxmlformats.org/officeDocument/2006/relationships/image" Target="media/image3.jpg"/><Relationship Id="rId12" Type="http://schemas.openxmlformats.org/officeDocument/2006/relationships/hyperlink" Target="https://youtu.be/dx5te6QGBxQ" TargetMode="External"/><Relationship Id="rId15" Type="http://schemas.openxmlformats.org/officeDocument/2006/relationships/hyperlink" Target="http://www.fotocasa.es" TargetMode="External"/><Relationship Id="rId14" Type="http://schemas.openxmlformats.org/officeDocument/2006/relationships/hyperlink" Target="http://www.fotocasa.es" TargetMode="External"/><Relationship Id="rId17" Type="http://schemas.openxmlformats.org/officeDocument/2006/relationships/hyperlink" Target="https://www.fotocasa.es/indice/" TargetMode="External"/><Relationship Id="rId16" Type="http://schemas.openxmlformats.org/officeDocument/2006/relationships/hyperlink" Target="http://www.fotocasa.es" TargetMode="External"/><Relationship Id="rId19" Type="http://schemas.openxmlformats.org/officeDocument/2006/relationships/hyperlink" Target="https://www.fotocasa.es/es/quienes-somos/" TargetMode="External"/><Relationship Id="rId18" Type="http://schemas.openxmlformats.org/officeDocument/2006/relationships/hyperlink" Target="http://prensa.fotocas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themeOverride" Target="../theme/themeOverride1.xml"/><Relationship Id="rId4" Type="http://schemas.openxmlformats.org/officeDocument/2006/relationships/oleObject" Target="file:///I:\Mi%20unidad\01-SCHIBSTED\03-NOTAS%20DE%20PRENSA\01-VENTA\01-NOTAS%20DE%20PRENSA\2025\05-MAYO\PRENSA%20VENTA%20MAYO%202025.xlsm" TargetMode="External"/><Relationship Id="rId5"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spPr>
          <a:solidFill>
            <a:schemeClr val="accent5">
              <a:lumMod val="40000"/>
              <a:lumOff val="60000"/>
            </a:schemeClr>
          </a:solidFill>
          <a:ln>
            <a:noFill/>
          </a:ln>
          <a:effectLst/>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61C2C7"/>
          </a:solidFill>
          <a:ln>
            <a:noFill/>
          </a:ln>
          <a:effectLst/>
        </c:spPr>
        <c:marker>
          <c:symbol val="none"/>
        </c:marker>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2"/>
        <c:spPr>
          <a:solidFill>
            <a:schemeClr val="accent5">
              <a:lumMod val="75000"/>
            </a:schemeClr>
          </a:solidFill>
          <a:ln cap="rnd">
            <a:solidFill>
              <a:schemeClr val="accent5">
                <a:lumMod val="75000"/>
              </a:schemeClr>
            </a:solidFill>
          </a:ln>
          <a:effectLst/>
          <a:scene3d>
            <a:camera prst="orthographicFront"/>
            <a:lightRig rig="threePt" dir="t"/>
          </a:scene3d>
          <a:sp3d/>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2885840854129021"/>
                </c:manualLayout>
              </c15:layout>
            </c:ext>
          </c:extLst>
        </c:dLbl>
      </c:pivotFmt>
      <c:pivotFmt>
        <c:idx val="4"/>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1946614470988752"/>
                </c:manualLayout>
              </c15:layout>
            </c:ext>
          </c:extLst>
        </c:dLbl>
      </c:pivotFmt>
      <c:pivotFmt>
        <c:idx val="5"/>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2885840854129024"/>
                </c:manualLayout>
              </c15:layout>
            </c:ext>
          </c:extLst>
        </c:dLbl>
      </c:pivotFmt>
      <c:pivotFmt>
        <c:idx val="6"/>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1633539009941996"/>
                </c:manualLayout>
              </c15:layout>
            </c:ext>
          </c:extLst>
        </c:dLbl>
      </c:pivotFmt>
      <c:pivotFmt>
        <c:idx val="7"/>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
      </c:pivotFmt>
      <c:pivotFmt>
        <c:idx val="8"/>
        <c:dLbl>
          <c:idx val="0"/>
          <c:numFmt formatCode="#,##0.0\ &quot;%&quot;" sourceLinked="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1"/>
          <c:showVal val="1"/>
          <c:showCatName val="1"/>
          <c:showSerName val="1"/>
          <c:showPercent val="1"/>
          <c:showBubbleSize val="1"/>
          <c:extLst>
            <c:ext xmlns:c15="http://schemas.microsoft.com/office/drawing/2012/chart" uri="{CE6537A1-D6FC-4f65-9D91-7224C49458BB}"/>
          </c:extLst>
        </c:dLbl>
      </c:pivotFmt>
      <c:pivotFmt>
        <c:idx val="9"/>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9132221471931705E-2"/>
                  <c:h val="0.11579751872236264"/>
                </c:manualLayout>
              </c15:layout>
            </c:ext>
          </c:extLst>
        </c:dLbl>
      </c:pivotFmt>
      <c:pivotFmt>
        <c:idx val="10"/>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8.3122831284244206E-2"/>
                  <c:h val="0.13317993013091828"/>
                </c:manualLayout>
              </c15:layout>
            </c:ext>
          </c:extLst>
        </c:dLbl>
      </c:pivotFmt>
      <c:pivotFmt>
        <c:idx val="11"/>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7136916565775454E-2"/>
                  <c:h val="0.12970344784920718"/>
                </c:manualLayout>
              </c15:layout>
            </c:ext>
          </c:extLst>
        </c:dLbl>
      </c:pivotFmt>
    </c:pivotFmts>
    <c:plotArea>
      <c:layout>
        <c:manualLayout>
          <c:layoutTarget val="inner"/>
          <c:xMode val="edge"/>
          <c:yMode val="edge"/>
          <c:x val="4.605375202992458E-2"/>
          <c:y val="5.7971167309232172E-2"/>
          <c:w val="0.9302750421385988"/>
          <c:h val="0.61927837811423059"/>
        </c:manualLayout>
      </c:layout>
      <c:barChart>
        <c:barDir val="col"/>
        <c:grouping val="clustered"/>
        <c:varyColors val="0"/>
        <c:ser>
          <c:idx val="0"/>
          <c:order val="0"/>
          <c:tx>
            <c:strRef>
              <c:f>gráfica!$C$24</c:f>
              <c:strCache>
                <c:ptCount val="1"/>
                <c:pt idx="0">
                  <c:v>  % mensual </c:v>
                </c:pt>
              </c:strCache>
            </c:strRef>
          </c:tx>
          <c:spPr>
            <a:solidFill>
              <a:srgbClr val="4472C4"/>
            </a:solidFill>
            <a:ln>
              <a:noFill/>
            </a:ln>
            <a:effectLst/>
          </c:spPr>
          <c:invertIfNegative val="0"/>
          <c:dPt>
            <c:idx val="3"/>
            <c:invertIfNegative val="0"/>
            <c:bubble3D val="0"/>
            <c:spPr>
              <a:solidFill>
                <a:srgbClr val="4472C4"/>
              </a:solidFill>
              <a:ln>
                <a:noFill/>
              </a:ln>
              <a:effectLst/>
            </c:spPr>
            <c:extLst>
              <c:ext xmlns:c16="http://schemas.microsoft.com/office/drawing/2014/chart" uri="{C3380CC4-5D6E-409C-BE32-E72D297353CC}">
                <c16:uniqueId val="{00000001-8196-48D0-9B4F-CC3B8D1D1C95}"/>
              </c:ext>
            </c:extLst>
          </c:dPt>
          <c:dPt>
            <c:idx val="4"/>
            <c:invertIfNegative val="0"/>
            <c:bubble3D val="0"/>
            <c:spPr>
              <a:solidFill>
                <a:srgbClr val="4472C4"/>
              </a:solidFill>
              <a:ln>
                <a:noFill/>
              </a:ln>
              <a:effectLst/>
            </c:spPr>
            <c:extLst>
              <c:ext xmlns:c16="http://schemas.microsoft.com/office/drawing/2014/chart" uri="{C3380CC4-5D6E-409C-BE32-E72D297353CC}">
                <c16:uniqueId val="{00000003-8196-48D0-9B4F-CC3B8D1D1C95}"/>
              </c:ext>
            </c:extLst>
          </c:dPt>
          <c:dPt>
            <c:idx val="5"/>
            <c:invertIfNegative val="0"/>
            <c:bubble3D val="0"/>
            <c:spPr>
              <a:solidFill>
                <a:srgbClr val="4472C4"/>
              </a:solidFill>
              <a:ln>
                <a:noFill/>
              </a:ln>
              <a:effectLst/>
            </c:spPr>
            <c:extLst>
              <c:ext xmlns:c16="http://schemas.microsoft.com/office/drawing/2014/chart" uri="{C3380CC4-5D6E-409C-BE32-E72D297353CC}">
                <c16:uniqueId val="{00000005-8196-48D0-9B4F-CC3B8D1D1C95}"/>
              </c:ext>
            </c:extLst>
          </c:dPt>
          <c:dPt>
            <c:idx val="6"/>
            <c:invertIfNegative val="0"/>
            <c:bubble3D val="0"/>
            <c:spPr>
              <a:solidFill>
                <a:srgbClr val="4472C4"/>
              </a:solidFill>
              <a:ln>
                <a:noFill/>
              </a:ln>
              <a:effectLst/>
            </c:spPr>
            <c:extLst>
              <c:ext xmlns:c16="http://schemas.microsoft.com/office/drawing/2014/chart" uri="{C3380CC4-5D6E-409C-BE32-E72D297353CC}">
                <c16:uniqueId val="{00000007-8196-48D0-9B4F-CC3B8D1D1C95}"/>
              </c:ext>
            </c:extLst>
          </c:dPt>
          <c:dPt>
            <c:idx val="7"/>
            <c:invertIfNegative val="0"/>
            <c:bubble3D val="0"/>
            <c:spPr>
              <a:solidFill>
                <a:srgbClr val="4472C4"/>
              </a:solidFill>
              <a:ln>
                <a:noFill/>
              </a:ln>
              <a:effectLst/>
            </c:spPr>
            <c:extLst>
              <c:ext xmlns:c16="http://schemas.microsoft.com/office/drawing/2014/chart" uri="{C3380CC4-5D6E-409C-BE32-E72D297353CC}">
                <c16:uniqueId val="{00000009-8196-48D0-9B4F-CC3B8D1D1C95}"/>
              </c:ext>
            </c:extLst>
          </c:dPt>
          <c:dPt>
            <c:idx val="8"/>
            <c:invertIfNegative val="0"/>
            <c:bubble3D val="0"/>
            <c:spPr>
              <a:solidFill>
                <a:srgbClr val="4472C4"/>
              </a:solidFill>
              <a:ln>
                <a:noFill/>
              </a:ln>
              <a:effectLst/>
            </c:spPr>
            <c:extLst>
              <c:ext xmlns:c16="http://schemas.microsoft.com/office/drawing/2014/chart" uri="{C3380CC4-5D6E-409C-BE32-E72D297353CC}">
                <c16:uniqueId val="{0000000B-8196-48D0-9B4F-CC3B8D1D1C95}"/>
              </c:ext>
            </c:extLst>
          </c:dPt>
          <c:dPt>
            <c:idx val="9"/>
            <c:invertIfNegative val="0"/>
            <c:bubble3D val="0"/>
            <c:spPr>
              <a:solidFill>
                <a:srgbClr val="4472C4"/>
              </a:solidFill>
              <a:ln>
                <a:noFill/>
              </a:ln>
              <a:effectLst/>
            </c:spPr>
            <c:extLst>
              <c:ext xmlns:c16="http://schemas.microsoft.com/office/drawing/2014/chart" uri="{C3380CC4-5D6E-409C-BE32-E72D297353CC}">
                <c16:uniqueId val="{0000000D-8196-48D0-9B4F-CC3B8D1D1C95}"/>
              </c:ext>
            </c:extLst>
          </c:dPt>
          <c:dPt>
            <c:idx val="10"/>
            <c:invertIfNegative val="0"/>
            <c:bubble3D val="0"/>
            <c:spPr>
              <a:solidFill>
                <a:srgbClr val="4472C4"/>
              </a:solidFill>
              <a:ln>
                <a:noFill/>
              </a:ln>
              <a:effectLst/>
            </c:spPr>
            <c:extLst>
              <c:ext xmlns:c16="http://schemas.microsoft.com/office/drawing/2014/chart" uri="{C3380CC4-5D6E-409C-BE32-E72D297353CC}">
                <c16:uniqueId val="{0000000F-8196-48D0-9B4F-CC3B8D1D1C95}"/>
              </c:ext>
            </c:extLst>
          </c:dPt>
          <c:dPt>
            <c:idx val="14"/>
            <c:invertIfNegative val="0"/>
            <c:bubble3D val="0"/>
            <c:spPr>
              <a:solidFill>
                <a:srgbClr val="4472C4"/>
              </a:solidFill>
              <a:ln>
                <a:noFill/>
              </a:ln>
              <a:effectLst/>
            </c:spPr>
            <c:extLst>
              <c:ext xmlns:c16="http://schemas.microsoft.com/office/drawing/2014/chart" uri="{C3380CC4-5D6E-409C-BE32-E72D297353CC}">
                <c16:uniqueId val="{00000011-8196-48D0-9B4F-CC3B8D1D1C95}"/>
              </c:ext>
            </c:extLst>
          </c:dPt>
          <c:dLbls>
            <c:dLbl>
              <c:idx val="5"/>
              <c:layout>
                <c:manualLayout>
                  <c:x val="6.782645755229802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96-48D0-9B4F-CC3B8D1D1C95}"/>
                </c:ext>
              </c:extLst>
            </c:dLbl>
            <c:dLbl>
              <c:idx val="9"/>
              <c:layout>
                <c:manualLayout>
                  <c:x val="-1.8832023099033309E-3"/>
                  <c:y val="5.96734914765040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196-48D0-9B4F-CC3B8D1D1C95}"/>
                </c:ext>
              </c:extLst>
            </c:dLbl>
            <c:dLbl>
              <c:idx val="12"/>
              <c:numFmt formatCode="#,##0.0&quot;%&quot;" sourceLinked="0"/>
              <c:spPr>
                <a:noFill/>
                <a:ln>
                  <a:noFill/>
                </a:ln>
                <a:effectLst/>
              </c:spPr>
              <c:txPr>
                <a:bodyPr rot="0" spcFirstLastPara="1" vertOverflow="ellipsis" vert="horz" wrap="square" anchor="ctr" anchorCtr="1"/>
                <a:lstStyle/>
                <a:p>
                  <a:pPr>
                    <a:defRPr sz="900" b="1" i="0" u="none" strike="noStrike" kern="1200" baseline="0">
                      <a:solidFill>
                        <a:schemeClr val="accent5">
                          <a:lumMod val="50000"/>
                        </a:schemeClr>
                      </a:solidFill>
                      <a:latin typeface="Open Sans"/>
                      <a:ea typeface="+mn-ea"/>
                      <a:cs typeface="+mn-cs"/>
                    </a:defRPr>
                  </a:pPr>
                  <a:endParaRPr lang="es-ES"/>
                </a:p>
              </c:txPr>
              <c:showLegendKey val="0"/>
              <c:showVal val="1"/>
              <c:showCatName val="0"/>
              <c:showSerName val="0"/>
              <c:showPercent val="0"/>
              <c:showBubbleSize val="0"/>
              <c:extLst>
                <c:ext xmlns:c16="http://schemas.microsoft.com/office/drawing/2014/chart" uri="{C3380CC4-5D6E-409C-BE32-E72D297353CC}">
                  <c16:uniqueId val="{00000016-8196-48D0-9B4F-CC3B8D1D1C95}"/>
                </c:ext>
              </c:extLst>
            </c:dLbl>
            <c:numFmt formatCode="#,##0.0&quot;%&quot;"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gráfica!$A$25:$B$37</c:f>
              <c:multiLvlStrCache>
                <c:ptCount val="13"/>
                <c:lvl>
                  <c:pt idx="0">
                    <c:v>MAY</c:v>
                  </c:pt>
                  <c:pt idx="1">
                    <c:v>JUN</c:v>
                  </c:pt>
                  <c:pt idx="2">
                    <c:v>JUL</c:v>
                  </c:pt>
                  <c:pt idx="3">
                    <c:v>AGO</c:v>
                  </c:pt>
                  <c:pt idx="4">
                    <c:v>SEP</c:v>
                  </c:pt>
                  <c:pt idx="5">
                    <c:v>OCT</c:v>
                  </c:pt>
                  <c:pt idx="6">
                    <c:v>NOV</c:v>
                  </c:pt>
                  <c:pt idx="7">
                    <c:v>DIC</c:v>
                  </c:pt>
                  <c:pt idx="8">
                    <c:v>ENE</c:v>
                  </c:pt>
                  <c:pt idx="9">
                    <c:v>FEB</c:v>
                  </c:pt>
                  <c:pt idx="10">
                    <c:v>MAR</c:v>
                  </c:pt>
                  <c:pt idx="11">
                    <c:v>ABR</c:v>
                  </c:pt>
                  <c:pt idx="12">
                    <c:v>MAY</c:v>
                  </c:pt>
                </c:lvl>
                <c:lvl>
                  <c:pt idx="0">
                    <c:v>2024</c:v>
                  </c:pt>
                  <c:pt idx="9">
                    <c:v>2025</c:v>
                  </c:pt>
                </c:lvl>
              </c:multiLvlStrCache>
            </c:multiLvlStrRef>
          </c:cat>
          <c:val>
            <c:numRef>
              <c:f>gráfica!$C$25:$C$37</c:f>
              <c:numCache>
                <c:formatCode>#,##0.0"%"</c:formatCode>
                <c:ptCount val="13"/>
                <c:pt idx="0">
                  <c:v>1.1075363596297905</c:v>
                </c:pt>
                <c:pt idx="1">
                  <c:v>1.4476075898052887</c:v>
                </c:pt>
                <c:pt idx="2">
                  <c:v>0.69736265436077804</c:v>
                </c:pt>
                <c:pt idx="3">
                  <c:v>-0.71685505446819064</c:v>
                </c:pt>
                <c:pt idx="4">
                  <c:v>1.1973680252023167</c:v>
                </c:pt>
                <c:pt idx="5">
                  <c:v>0.36693663123292808</c:v>
                </c:pt>
                <c:pt idx="6">
                  <c:v>0.69818514177388824</c:v>
                </c:pt>
                <c:pt idx="7">
                  <c:v>0.38491114687553285</c:v>
                </c:pt>
                <c:pt idx="8">
                  <c:v>0.68942999585590581</c:v>
                </c:pt>
                <c:pt idx="9">
                  <c:v>2.2644882348050066</c:v>
                </c:pt>
                <c:pt idx="10">
                  <c:v>1.1809567172249125</c:v>
                </c:pt>
                <c:pt idx="11">
                  <c:v>1.797968596821109</c:v>
                </c:pt>
                <c:pt idx="12">
                  <c:v>3.9878910828955672</c:v>
                </c:pt>
              </c:numCache>
            </c:numRef>
          </c:val>
          <c:extLst>
            <c:ext xmlns:c16="http://schemas.microsoft.com/office/drawing/2014/chart" uri="{C3380CC4-5D6E-409C-BE32-E72D297353CC}">
              <c16:uniqueId val="{00000012-8196-48D0-9B4F-CC3B8D1D1C95}"/>
            </c:ext>
          </c:extLst>
        </c:ser>
        <c:ser>
          <c:idx val="1"/>
          <c:order val="1"/>
          <c:tx>
            <c:strRef>
              <c:f>gráfica!$D$24</c:f>
              <c:strCache>
                <c:ptCount val="1"/>
                <c:pt idx="0">
                  <c:v> % interanual </c:v>
                </c:pt>
              </c:strCache>
            </c:strRef>
          </c:tx>
          <c:spPr>
            <a:solidFill>
              <a:srgbClr val="A5A5A5"/>
            </a:solidFill>
            <a:ln>
              <a:noFill/>
            </a:ln>
            <a:effectLst/>
          </c:spPr>
          <c:invertIfNegative val="0"/>
          <c:dLbls>
            <c:dLbl>
              <c:idx val="1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50000"/>
                        </a:schemeClr>
                      </a:solidFill>
                      <a:latin typeface="Open Sans"/>
                      <a:ea typeface="+mn-ea"/>
                      <a:cs typeface="+mn-cs"/>
                    </a:defRPr>
                  </a:pPr>
                  <a:endParaRPr lang="es-ES"/>
                </a:p>
              </c:txPr>
              <c:showLegendKey val="0"/>
              <c:showVal val="1"/>
              <c:showCatName val="0"/>
              <c:showSerName val="0"/>
              <c:showPercent val="0"/>
              <c:showBubbleSize val="0"/>
              <c:extLst>
                <c:ext xmlns:c16="http://schemas.microsoft.com/office/drawing/2014/chart" uri="{C3380CC4-5D6E-409C-BE32-E72D297353CC}">
                  <c16:uniqueId val="{00000014-8196-48D0-9B4F-CC3B8D1D1C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gráfica!$A$25:$B$37</c:f>
              <c:multiLvlStrCache>
                <c:ptCount val="13"/>
                <c:lvl>
                  <c:pt idx="0">
                    <c:v>MAY</c:v>
                  </c:pt>
                  <c:pt idx="1">
                    <c:v>JUN</c:v>
                  </c:pt>
                  <c:pt idx="2">
                    <c:v>JUL</c:v>
                  </c:pt>
                  <c:pt idx="3">
                    <c:v>AGO</c:v>
                  </c:pt>
                  <c:pt idx="4">
                    <c:v>SEP</c:v>
                  </c:pt>
                  <c:pt idx="5">
                    <c:v>OCT</c:v>
                  </c:pt>
                  <c:pt idx="6">
                    <c:v>NOV</c:v>
                  </c:pt>
                  <c:pt idx="7">
                    <c:v>DIC</c:v>
                  </c:pt>
                  <c:pt idx="8">
                    <c:v>ENE</c:v>
                  </c:pt>
                  <c:pt idx="9">
                    <c:v>FEB</c:v>
                  </c:pt>
                  <c:pt idx="10">
                    <c:v>MAR</c:v>
                  </c:pt>
                  <c:pt idx="11">
                    <c:v>ABR</c:v>
                  </c:pt>
                  <c:pt idx="12">
                    <c:v>MAY</c:v>
                  </c:pt>
                </c:lvl>
                <c:lvl>
                  <c:pt idx="0">
                    <c:v>2024</c:v>
                  </c:pt>
                  <c:pt idx="9">
                    <c:v>2025</c:v>
                  </c:pt>
                </c:lvl>
              </c:multiLvlStrCache>
            </c:multiLvlStrRef>
          </c:cat>
          <c:val>
            <c:numRef>
              <c:f>gráfica!$D$25:$D$37</c:f>
              <c:numCache>
                <c:formatCode>#,##0.0"%"</c:formatCode>
                <c:ptCount val="13"/>
                <c:pt idx="0">
                  <c:v>7.6636803499106065</c:v>
                </c:pt>
                <c:pt idx="1">
                  <c:v>8.4440758205505784</c:v>
                </c:pt>
                <c:pt idx="2">
                  <c:v>9.0103541625966344</c:v>
                </c:pt>
                <c:pt idx="3">
                  <c:v>8.4872758469558107</c:v>
                </c:pt>
                <c:pt idx="4">
                  <c:v>9.4540383497966332</c:v>
                </c:pt>
                <c:pt idx="5">
                  <c:v>9.4501718213058528</c:v>
                </c:pt>
                <c:pt idx="6">
                  <c:v>9.5572630134842065</c:v>
                </c:pt>
                <c:pt idx="7">
                  <c:v>8.4349325949798057</c:v>
                </c:pt>
                <c:pt idx="8">
                  <c:v>8.5777996452059959</c:v>
                </c:pt>
                <c:pt idx="9">
                  <c:v>10.10119998746748</c:v>
                </c:pt>
                <c:pt idx="10">
                  <c:v>10.179418053360623</c:v>
                </c:pt>
                <c:pt idx="11">
                  <c:v>11.66460996033496</c:v>
                </c:pt>
                <c:pt idx="12">
                  <c:v>14.845714933329845</c:v>
                </c:pt>
              </c:numCache>
            </c:numRef>
          </c:val>
          <c:extLst>
            <c:ext xmlns:c16="http://schemas.microsoft.com/office/drawing/2014/chart" uri="{C3380CC4-5D6E-409C-BE32-E72D297353CC}">
              <c16:uniqueId val="{00000013-8196-48D0-9B4F-CC3B8D1D1C95}"/>
            </c:ext>
          </c:extLst>
        </c:ser>
        <c:dLbls>
          <c:showLegendKey val="0"/>
          <c:showVal val="0"/>
          <c:showCatName val="0"/>
          <c:showSerName val="0"/>
          <c:showPercent val="0"/>
          <c:showBubbleSize val="0"/>
        </c:dLbls>
        <c:gapWidth val="100"/>
        <c:overlap val="-14"/>
        <c:axId val="714532111"/>
        <c:axId val="1020150815"/>
      </c:barChart>
      <c:catAx>
        <c:axId val="714532111"/>
        <c:scaling>
          <c:orientation val="minMax"/>
        </c:scaling>
        <c:delete val="0"/>
        <c:axPos val="b"/>
        <c:numFmt formatCode="General" sourceLinked="1"/>
        <c:majorTickMark val="cross"/>
        <c:minorTickMark val="out"/>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Open Sans"/>
                <a:ea typeface="+mn-ea"/>
                <a:cs typeface="+mn-cs"/>
              </a:defRPr>
            </a:pPr>
            <a:endParaRPr lang="es-ES"/>
          </a:p>
        </c:txPr>
        <c:crossAx val="1020150815"/>
        <c:crosses val="autoZero"/>
        <c:auto val="1"/>
        <c:lblAlgn val="ctr"/>
        <c:lblOffset val="100"/>
        <c:noMultiLvlLbl val="0"/>
      </c:catAx>
      <c:valAx>
        <c:axId val="1020150815"/>
        <c:scaling>
          <c:orientation val="minMax"/>
        </c:scaling>
        <c:delete val="1"/>
        <c:axPos val="l"/>
        <c:numFmt formatCode="#,##0.0&quot;%&quot;" sourceLinked="1"/>
        <c:majorTickMark val="none"/>
        <c:minorTickMark val="none"/>
        <c:tickLblPos val="nextTo"/>
        <c:crossAx val="714532111"/>
        <c:crosses val="autoZero"/>
        <c:crossBetween val="between"/>
      </c:valAx>
      <c:spPr>
        <a:noFill/>
        <a:ln>
          <a:noFill/>
        </a:ln>
        <a:effectLst/>
      </c:spPr>
    </c:plotArea>
    <c:legend>
      <c:legendPos val="r"/>
      <c:layout>
        <c:manualLayout>
          <c:xMode val="edge"/>
          <c:yMode val="edge"/>
          <c:x val="0.23757009397249187"/>
          <c:y val="0.90519086138123517"/>
          <c:w val="0.53293860812609251"/>
          <c:h val="7.34731176689424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Open Sans"/>
              <a:ea typeface="+mn-ea"/>
              <a:cs typeface="+mn-cs"/>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sz="1000" b="0">
          <a:latin typeface="Open Sans"/>
        </a:defRPr>
      </a:pPr>
      <a:endParaRPr lang="es-ES"/>
    </a:p>
  </c:txPr>
  <c:externalData r:id="rId4">
    <c:autoUpdate val="0"/>
  </c:externalData>
  <c:userShapes r:id="rId5"/>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0.03803</cdr:x>
      <cdr:y>0.60932</cdr:y>
    </cdr:from>
    <cdr:to>
      <cdr:x>0.97007</cdr:x>
      <cdr:y>0.60932</cdr:y>
    </cdr:to>
    <cdr:cxnSp macro="">
      <cdr:nvCxnSpPr>
        <cdr:cNvPr id="6" name="Conector recto 5">
          <a:extLst xmlns:a="http://schemas.openxmlformats.org/drawingml/2006/main">
            <a:ext uri="{FF2B5EF4-FFF2-40B4-BE49-F238E27FC236}">
              <a16:creationId xmlns:a16="http://schemas.microsoft.com/office/drawing/2014/main" id="{95FDED51-2779-4F3D-84FE-1C764C29DBAA}"/>
            </a:ext>
          </a:extLst>
        </cdr:cNvPr>
        <cdr:cNvCxnSpPr/>
      </cdr:nvCxnSpPr>
      <cdr:spPr>
        <a:xfrm xmlns:a="http://schemas.openxmlformats.org/drawingml/2006/main">
          <a:off x="207205" y="1433929"/>
          <a:ext cx="5078625" cy="0"/>
        </a:xfrm>
        <a:prstGeom xmlns:a="http://schemas.openxmlformats.org/drawingml/2006/main" prst="line">
          <a:avLst/>
        </a:prstGeom>
        <a:ln xmlns:a="http://schemas.openxmlformats.org/drawingml/2006/main" w="12700" cmpd="sng">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sGlUhI/gVws0sWDQ2BhFcIW7g==">CgMxLjAyDWgubDRtamx5ZTlsamo4AHIhMWljOWlGamtPODZOOG1VZzBPNnk5aFRObmJhTDdJMnZN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2020-08-26T10:47:00Z</dcterms:created>
  <dc:creator>Patricia Ranilla Checa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2024-01-26T14:32:01Z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14e205f0-437b-4ec9-a62f-b3b1d7a711e1</vt:lpwstr>
  </property>
  <property fmtid="{D5CDD505-2E9C-101B-9397-08002B2CF9AE}" pid="8" name="MSIP_Label_defa4170-0d19-0005-0004-bc88714345d2_ContentBits">
    <vt:lpwstr>0</vt:lpwstr>
  </property>
</Properties>
</file>