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684C" w:rsidRDefault="00000000">
      <w:r>
        <w:rPr>
          <w:noProof/>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-509269</wp:posOffset>
            </wp:positionV>
            <wp:extent cx="7581265" cy="1019175"/>
            <wp:effectExtent l="0" t="0" r="0" b="0"/>
            <wp:wrapNone/>
            <wp:docPr id="21061801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4D684C" w:rsidRDefault="004D684C">
      <w:pPr>
        <w:jc w:val="right"/>
        <w:rPr>
          <w:rFonts w:ascii="National" w:eastAsia="National" w:hAnsi="National" w:cs="National"/>
          <w:color w:val="303AB2"/>
          <w:sz w:val="36"/>
          <w:szCs w:val="36"/>
        </w:rPr>
      </w:pPr>
    </w:p>
    <w:p w14:paraId="00000003" w14:textId="77777777" w:rsidR="004D684C" w:rsidRDefault="004D684C">
      <w:pPr>
        <w:jc w:val="center"/>
        <w:rPr>
          <w:rFonts w:ascii="National" w:eastAsia="National" w:hAnsi="National" w:cs="National"/>
          <w:b/>
          <w:color w:val="1DBDC5"/>
          <w:sz w:val="36"/>
          <w:szCs w:val="36"/>
        </w:rPr>
      </w:pPr>
    </w:p>
    <w:p w14:paraId="00000004" w14:textId="77777777" w:rsidR="004D684C" w:rsidRDefault="004D684C">
      <w:pPr>
        <w:jc w:val="center"/>
        <w:rPr>
          <w:rFonts w:ascii="National" w:eastAsia="National" w:hAnsi="National" w:cs="National"/>
          <w:b/>
          <w:color w:val="1DBDC5"/>
          <w:sz w:val="36"/>
          <w:szCs w:val="36"/>
        </w:rPr>
      </w:pPr>
    </w:p>
    <w:p w14:paraId="00000005" w14:textId="77777777" w:rsidR="004D684C"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RADIOGRAFÍA DEL MERCADO DE LA VIVIENDA EN 2025</w:t>
      </w:r>
    </w:p>
    <w:p w14:paraId="00000006" w14:textId="77777777" w:rsidR="004D684C" w:rsidRDefault="00000000">
      <w:pPr>
        <w:jc w:val="center"/>
        <w:rPr>
          <w:rFonts w:ascii="Open Sans" w:eastAsia="Open Sans" w:hAnsi="Open Sans" w:cs="Open Sans"/>
          <w:color w:val="303AB2"/>
          <w:sz w:val="32"/>
          <w:szCs w:val="32"/>
        </w:rPr>
      </w:pPr>
      <w:r>
        <w:rPr>
          <w:rFonts w:ascii="National" w:eastAsia="National" w:hAnsi="National" w:cs="National"/>
          <w:b/>
          <w:color w:val="303AB2"/>
          <w:sz w:val="50"/>
          <w:szCs w:val="50"/>
        </w:rPr>
        <w:t>Aumenta el desequilibrio en el mercado inmobiliario en 2025: un 81% quiere comprar y solo un 12% vende</w:t>
      </w:r>
    </w:p>
    <w:p w14:paraId="00000007" w14:textId="77777777" w:rsidR="004D684C" w:rsidRDefault="004D684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0000008" w14:textId="77777777" w:rsidR="004D684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demanda de compra sube tres puntos: del 78 % en 2024 al 81 % en 2025</w:t>
      </w:r>
    </w:p>
    <w:p w14:paraId="00000009" w14:textId="77777777" w:rsidR="004D684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el lado contrario los oferentes han caído tres puntos porcentuales al pasar del 15% en 2024 al 12% en 2025</w:t>
      </w:r>
    </w:p>
    <w:p w14:paraId="0000000A" w14:textId="77777777" w:rsidR="004D684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7% están interactuando en ambos mercados, es decir, que quieren vender para poder comprar una vivienda</w:t>
      </w:r>
    </w:p>
    <w:p w14:paraId="0000000B" w14:textId="77777777" w:rsidR="004D684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Sólo un 1 % de los propietarios no ha logrado vender su vivienda, frente al 4 % habitual, lo que evidencia el fuerte dinamismo de la compraventa</w:t>
      </w:r>
    </w:p>
    <w:p w14:paraId="0000000C" w14:textId="77777777" w:rsidR="004D684C" w:rsidRDefault="004D684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D" w14:textId="77777777" w:rsidR="004D684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21 de mayo de 2025</w:t>
      </w:r>
    </w:p>
    <w:p w14:paraId="0000000E" w14:textId="77777777" w:rsidR="004D684C" w:rsidRDefault="004D684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F"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inmobiliario español arrastra desde hace años un importante desequilibrio entre la oferta y la demanda de compra, pero en 2025 esta brecha se ha acentuado aún más. La distancia entre el elevado número de personas interesadas en comprar vivienda y el reducido volumen de propietarios dispuestos a vender continúa ampliándose. Según los últimos datos, </w:t>
      </w:r>
      <w:r w:rsidRPr="00353AD4">
        <w:rPr>
          <w:rFonts w:ascii="Open Sans" w:eastAsia="Open Sans" w:hAnsi="Open Sans" w:cs="Open Sans"/>
          <w:b/>
          <w:bCs/>
        </w:rPr>
        <w:t>el 81 % de los participantes en el mercado son compradores o aspirantes a serlo, mientras que sólo un 12 % declara tener intención de vender</w:t>
      </w:r>
      <w:r>
        <w:rPr>
          <w:rFonts w:ascii="Open Sans" w:eastAsia="Open Sans" w:hAnsi="Open Sans" w:cs="Open Sans"/>
        </w:rPr>
        <w:t>. Además, un 7 % adicional afirma estar presente en ambos lados del mercado, ya que quiere vender para poder comprar otra vivienda. Esta es una de las conclusiones del informe es una de las principales conclusiones del informe “</w:t>
      </w:r>
      <w:hyperlink r:id="rId9">
        <w:r>
          <w:rPr>
            <w:rFonts w:ascii="Open Sans" w:eastAsia="Open Sans" w:hAnsi="Open Sans" w:cs="Open Sans"/>
            <w:b/>
            <w:i/>
            <w:color w:val="0000FF"/>
            <w:u w:val="single"/>
          </w:rPr>
          <w:t>Radiografía del mercado de la vivienda en el primer semestre de 2025</w:t>
        </w:r>
      </w:hyperlink>
      <w:r>
        <w:rPr>
          <w:rFonts w:ascii="Open Sans" w:eastAsia="Open Sans" w:hAnsi="Open Sans" w:cs="Open Sans"/>
        </w:rPr>
        <w:t xml:space="preserve">”, elaborado por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 xml:space="preserve">.  </w:t>
      </w:r>
    </w:p>
    <w:p w14:paraId="00000010"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11" w14:textId="4E766251" w:rsidR="004D684C"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“Tensión máxima en el mercado inmobiliario: 8 de cada 10 ciudadanos quieren comprar, pero sólo 1 de cada 10 pone su casa a la venta. Desde la pandemia, el mercado residencial viene registrando un interés muy intenso por la compra de </w:t>
      </w:r>
      <w:r>
        <w:rPr>
          <w:rFonts w:ascii="Open Sans" w:eastAsia="Open Sans" w:hAnsi="Open Sans" w:cs="Open Sans"/>
        </w:rPr>
        <w:lastRenderedPageBreak/>
        <w:t>vivienda, una tendencia que se ha intensificado en los últimos años debido a varios factores como las ofertas hipotecarias más competitivas, el peso creciente de los inversores y compradores extranjeros, y</w:t>
      </w:r>
      <w:r w:rsidR="0045120A">
        <w:rPr>
          <w:rFonts w:ascii="Open Sans" w:eastAsia="Open Sans" w:hAnsi="Open Sans" w:cs="Open Sans"/>
        </w:rPr>
        <w:t xml:space="preserve"> </w:t>
      </w:r>
      <w:r>
        <w:rPr>
          <w:rFonts w:ascii="Open Sans" w:eastAsia="Open Sans" w:hAnsi="Open Sans" w:cs="Open Sans"/>
        </w:rPr>
        <w:t xml:space="preserve">las medidas de estímulo impulsadas por la administración dirigidas a jóvenes y familias con menores a cargo. A esto se suma el crecimiento poblacional derivado de los flujos migratorios, que refuerza aún más la presión sobre la demanda. Mientras, la intensidad de la compraventa reduce progresivamente la vivienda disponible en el mercado, ya que la oferta no crece al mismo ritmo que la demanda, alimentando el desequilibrio estructural que vive actualmente el mercado”,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00000013"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14"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distribución actual del mercado de compraventa, con un 81 % de demandantes frente a sólo un 12 % de ofertantes, refleja una brecha que no deja de ampliarse. En 2024, el desequilibrio era ya notable —78 % frente a 15 %—, pero en solo un año la proporción de compradores ha aumentado tres puntos, mientras que la de vendedores se ha reducido en la misma medida. Esta evolución confirma que la tensión entre oferta y demanda sigue creciendo en el mercado residencial.</w:t>
      </w:r>
    </w:p>
    <w:p w14:paraId="00000015"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16"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extent cx="5760720" cy="3543300"/>
            <wp:effectExtent l="0" t="0" r="0" b="0"/>
            <wp:docPr id="2106180135"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10;&#10;El contenido generado por IA puede ser incorrecto."/>
                    <pic:cNvPicPr preferRelativeResize="0"/>
                  </pic:nvPicPr>
                  <pic:blipFill>
                    <a:blip r:embed="rId12"/>
                    <a:srcRect/>
                    <a:stretch>
                      <a:fillRect/>
                    </a:stretch>
                  </pic:blipFill>
                  <pic:spPr>
                    <a:xfrm>
                      <a:off x="0" y="0"/>
                      <a:ext cx="5760720" cy="3543300"/>
                    </a:xfrm>
                    <a:prstGeom prst="rect">
                      <a:avLst/>
                    </a:prstGeom>
                    <a:ln/>
                  </pic:spPr>
                </pic:pic>
              </a:graphicData>
            </a:graphic>
          </wp:inline>
        </w:drawing>
      </w:r>
    </w:p>
    <w:p w14:paraId="00000019"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1A"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1B" w14:textId="77777777" w:rsidR="004D684C" w:rsidRDefault="00000000">
      <w:pPr>
        <w:pBdr>
          <w:top w:val="nil"/>
          <w:left w:val="nil"/>
          <w:bottom w:val="nil"/>
          <w:right w:val="nil"/>
          <w:between w:val="nil"/>
        </w:pBdr>
        <w:spacing w:line="276" w:lineRule="auto"/>
        <w:jc w:val="center"/>
        <w:rPr>
          <w:rFonts w:ascii="Open Sans" w:eastAsia="Open Sans" w:hAnsi="Open Sans" w:cs="Open Sans"/>
        </w:rPr>
      </w:pPr>
      <w:r>
        <w:rPr>
          <w:noProof/>
        </w:rPr>
        <w:lastRenderedPageBreak/>
        <w:drawing>
          <wp:inline distT="0" distB="0" distL="0" distR="0">
            <wp:extent cx="5827357" cy="3163550"/>
            <wp:effectExtent l="0" t="0" r="0" b="0"/>
            <wp:docPr id="2106180134" name="image1.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10;&#10;El contenido generado por IA puede ser incorrecto."/>
                    <pic:cNvPicPr preferRelativeResize="0"/>
                  </pic:nvPicPr>
                  <pic:blipFill>
                    <a:blip r:embed="rId13"/>
                    <a:srcRect/>
                    <a:stretch>
                      <a:fillRect/>
                    </a:stretch>
                  </pic:blipFill>
                  <pic:spPr>
                    <a:xfrm>
                      <a:off x="0" y="0"/>
                      <a:ext cx="5827357" cy="3163550"/>
                    </a:xfrm>
                    <a:prstGeom prst="rect">
                      <a:avLst/>
                    </a:prstGeom>
                    <a:ln/>
                  </pic:spPr>
                </pic:pic>
              </a:graphicData>
            </a:graphic>
          </wp:inline>
        </w:drawing>
      </w:r>
    </w:p>
    <w:p w14:paraId="0000001C" w14:textId="77777777" w:rsidR="004D684C" w:rsidRDefault="004D684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1D" w14:textId="77777777" w:rsidR="004D684C" w:rsidRDefault="004D684C">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000001E" w14:textId="77777777" w:rsidR="004D684C" w:rsidRDefault="00000000">
      <w:pPr>
        <w:pBdr>
          <w:top w:val="nil"/>
          <w:left w:val="nil"/>
          <w:bottom w:val="nil"/>
          <w:right w:val="nil"/>
          <w:between w:val="nil"/>
        </w:pBdr>
        <w:spacing w:line="276" w:lineRule="auto"/>
        <w:jc w:val="both"/>
        <w:rPr>
          <w:rFonts w:ascii="Open Sans" w:eastAsia="Open Sans" w:hAnsi="Open Sans" w:cs="Open Sans"/>
          <w:b/>
          <w:color w:val="303AB2"/>
          <w:sz w:val="26"/>
          <w:szCs w:val="26"/>
        </w:rPr>
      </w:pPr>
      <w:r>
        <w:rPr>
          <w:rFonts w:ascii="Open Sans" w:eastAsia="Open Sans" w:hAnsi="Open Sans" w:cs="Open Sans"/>
          <w:b/>
          <w:color w:val="303AB2"/>
          <w:sz w:val="26"/>
          <w:szCs w:val="26"/>
        </w:rPr>
        <w:t>Sólo un 1% de propietarios no ha conseguido vender en el último año</w:t>
      </w:r>
    </w:p>
    <w:p w14:paraId="0000001F"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20"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estos datos se trasladan al global de la población española mayor de 18 años se observa que en el último año </w:t>
      </w:r>
      <w:r>
        <w:rPr>
          <w:rFonts w:ascii="Open Sans" w:eastAsia="Open Sans" w:hAnsi="Open Sans" w:cs="Open Sans"/>
          <w:b/>
        </w:rPr>
        <w:t>un 13% de españoles ha comprado o está intentando comprar vivienda frente al 3% de propietarios españoles que vende o está intentando vender</w:t>
      </w:r>
      <w:r>
        <w:rPr>
          <w:rFonts w:ascii="Open Sans" w:eastAsia="Open Sans" w:hAnsi="Open Sans" w:cs="Open Sans"/>
        </w:rPr>
        <w:t xml:space="preserve">. </w:t>
      </w:r>
    </w:p>
    <w:p w14:paraId="00000021" w14:textId="77777777" w:rsidR="004D684C" w:rsidRDefault="004D684C">
      <w:pPr>
        <w:pBdr>
          <w:top w:val="nil"/>
          <w:left w:val="nil"/>
          <w:bottom w:val="nil"/>
          <w:right w:val="nil"/>
          <w:between w:val="nil"/>
        </w:pBdr>
        <w:spacing w:line="276" w:lineRule="auto"/>
        <w:jc w:val="both"/>
        <w:rPr>
          <w:rFonts w:ascii="Open Sans" w:eastAsia="Open Sans" w:hAnsi="Open Sans" w:cs="Open Sans"/>
        </w:rPr>
      </w:pPr>
    </w:p>
    <w:p w14:paraId="00000022"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segundo grupo resulta especialmente interesante cómo sigue reduciéndose, de forma lenta pero constante, el porcentaje de particulares que han intentado vender un inmueble, pero no lo han conseguido: ya son únicamente un 1%, cuando lo habitual antes de la pandemia era que superase el 4%. Este reducido porcentaje de propietarios que no han vendido (1%) demuestra el gran dinamismo que existe en el mercado de compraventa español en estos momentos. </w:t>
      </w:r>
    </w:p>
    <w:p w14:paraId="00000023" w14:textId="77777777" w:rsidR="004D684C"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extent cx="5796929" cy="3333616"/>
            <wp:effectExtent l="0" t="0" r="0" b="0"/>
            <wp:docPr id="2106180136" name="image4.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10;&#10;El contenido generado por IA puede ser incorrecto."/>
                    <pic:cNvPicPr preferRelativeResize="0"/>
                  </pic:nvPicPr>
                  <pic:blipFill>
                    <a:blip r:embed="rId14"/>
                    <a:srcRect/>
                    <a:stretch>
                      <a:fillRect/>
                    </a:stretch>
                  </pic:blipFill>
                  <pic:spPr>
                    <a:xfrm>
                      <a:off x="0" y="0"/>
                      <a:ext cx="5796929" cy="3333616"/>
                    </a:xfrm>
                    <a:prstGeom prst="rect">
                      <a:avLst/>
                    </a:prstGeom>
                    <a:ln/>
                  </pic:spPr>
                </pic:pic>
              </a:graphicData>
            </a:graphic>
          </wp:inline>
        </w:drawing>
      </w:r>
    </w:p>
    <w:p w14:paraId="00000024" w14:textId="77777777" w:rsidR="004D684C" w:rsidRDefault="004D684C">
      <w:pPr>
        <w:spacing w:line="276" w:lineRule="auto"/>
        <w:jc w:val="right"/>
        <w:rPr>
          <w:rFonts w:ascii="Open Sans Light" w:eastAsia="Open Sans Light" w:hAnsi="Open Sans Light" w:cs="Open Sans Light"/>
          <w:b/>
          <w:color w:val="303AB2"/>
        </w:rPr>
      </w:pPr>
    </w:p>
    <w:p w14:paraId="00000025" w14:textId="77777777" w:rsidR="004D684C" w:rsidRDefault="004D684C">
      <w:pPr>
        <w:spacing w:line="276" w:lineRule="auto"/>
        <w:jc w:val="right"/>
        <w:rPr>
          <w:rFonts w:ascii="Open Sans Light" w:eastAsia="Open Sans Light" w:hAnsi="Open Sans Light" w:cs="Open Sans Light"/>
          <w:b/>
          <w:color w:val="303AB2"/>
        </w:rPr>
      </w:pPr>
    </w:p>
    <w:p w14:paraId="00000026" w14:textId="77777777" w:rsidR="004D68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27" w14:textId="77777777" w:rsidR="004D684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0000028" w14:textId="77777777" w:rsidR="004D684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0000029" w14:textId="77777777" w:rsidR="004D684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000002A" w14:textId="77777777" w:rsidR="004D68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000002B" w14:textId="77777777" w:rsidR="004D684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0000002C" w14:textId="77777777" w:rsidR="004D684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002D" w14:textId="77777777" w:rsidR="004D684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lastRenderedPageBreak/>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000002E" w14:textId="77777777" w:rsidR="004D684C" w:rsidRDefault="00000000">
      <w:pPr>
        <w:spacing w:before="143" w:after="200"/>
        <w:jc w:val="both"/>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0000002F" w14:textId="77777777" w:rsidR="004D684C" w:rsidRDefault="004D684C">
      <w:pPr>
        <w:spacing w:before="143" w:after="200"/>
        <w:jc w:val="both"/>
        <w:rPr>
          <w:rFonts w:ascii="Open Sans" w:eastAsia="Open Sans" w:hAnsi="Open Sans" w:cs="Open Sans"/>
        </w:rPr>
      </w:pPr>
    </w:p>
    <w:p w14:paraId="00000030" w14:textId="77777777" w:rsidR="004D684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31" w14:textId="77777777" w:rsidR="004D684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32" w14:textId="77777777" w:rsidR="004D684C"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0000033" w14:textId="77777777" w:rsidR="004D684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4D684C">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812D6" w14:textId="77777777" w:rsidR="00C74872" w:rsidRDefault="00C74872">
      <w:r>
        <w:separator/>
      </w:r>
    </w:p>
  </w:endnote>
  <w:endnote w:type="continuationSeparator" w:id="0">
    <w:p w14:paraId="1BE80563" w14:textId="77777777" w:rsidR="00C74872" w:rsidRDefault="00C7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2B6098-E655-4EB4-AB04-B24FF537E1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ED2BA1-1560-4F3C-B34F-AE39FC20F641}"/>
    <w:embedBold r:id="rId3" w:fontKey="{5CE2478A-9680-4A89-9CBF-65FB78041E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BCE1FC4-196D-4C90-9C90-F38F54356CB2}"/>
    <w:embedItalic r:id="rId5" w:fontKey="{6CB1C76C-A57F-4122-BC7F-982DE2739A2A}"/>
  </w:font>
  <w:font w:name="Cambria">
    <w:panose1 w:val="02040503050406030204"/>
    <w:charset w:val="00"/>
    <w:family w:val="roman"/>
    <w:pitch w:val="variable"/>
    <w:sig w:usb0="E00006FF" w:usb1="420024FF" w:usb2="02000000" w:usb3="00000000" w:csb0="0000019F" w:csb1="00000000"/>
    <w:embedRegular r:id="rId6" w:fontKey="{3F00256C-BFDC-4BBE-B8D1-C9F14319F87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83E319B-7129-4514-89F8-2E3C7D70C062}"/>
    <w:embedBold r:id="rId8" w:fontKey="{D87D4A22-8AF8-4C4D-AA48-2136FB5C8C82}"/>
    <w:embedBoldItalic r:id="rId9" w:fontKey="{0B45A129-A163-4C0A-A70F-25624422A420}"/>
  </w:font>
  <w:font w:name="Open Sans Light">
    <w:charset w:val="00"/>
    <w:family w:val="swiss"/>
    <w:pitch w:val="variable"/>
    <w:sig w:usb0="E00002EF" w:usb1="4000205B" w:usb2="00000028" w:usb3="00000000" w:csb0="0000019F" w:csb1="00000000"/>
    <w:embedRegular r:id="rId10" w:fontKey="{A588B3D7-2AEE-47DB-8D0A-396587A62806}"/>
    <w:embedBold r:id="rId11" w:fontKey="{339DB112-FC0F-40E2-9B3D-FA50953BA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4D684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-1068039</wp:posOffset>
          </wp:positionH>
          <wp:positionV relativeFrom="paragraph">
            <wp:posOffset>174608</wp:posOffset>
          </wp:positionV>
          <wp:extent cx="7670550" cy="451315"/>
          <wp:effectExtent l="0" t="0" r="0" b="0"/>
          <wp:wrapNone/>
          <wp:docPr id="21061801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287F" w14:textId="77777777" w:rsidR="00C74872" w:rsidRDefault="00C74872">
      <w:r>
        <w:separator/>
      </w:r>
    </w:p>
  </w:footnote>
  <w:footnote w:type="continuationSeparator" w:id="0">
    <w:p w14:paraId="7B84E905" w14:textId="77777777" w:rsidR="00C74872" w:rsidRDefault="00C74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92CDF"/>
    <w:multiLevelType w:val="multilevel"/>
    <w:tmpl w:val="3006A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1474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84C"/>
    <w:rsid w:val="002E0BE4"/>
    <w:rsid w:val="00353AD4"/>
    <w:rsid w:val="0045120A"/>
    <w:rsid w:val="004D684C"/>
    <w:rsid w:val="00C748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6DDA"/>
  <w15:docId w15:val="{99E1F9E8-0F6D-4C82-832C-643099C3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b"/>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5/Informe-Radiografia-del-mercado-de-la-vivienda-en-2025.pdf" TargetMode="External"/><Relationship Id="rId14" Type="http://schemas.openxmlformats.org/officeDocument/2006/relationships/image" Target="media/image4.png"/><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7Ewjgd98ShB9WZaQOOtLvZMkaw==">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923</Words>
  <Characters>5080</Characters>
  <Application>Microsoft Office Word</Application>
  <DocSecurity>0</DocSecurity>
  <Lines>42</Lines>
  <Paragraphs>11</Paragraphs>
  <ScaleCrop>false</ScaleCrop>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2025-05-13T14:03:00Z</dcterms:modified>
</cp:coreProperties>
</file>