
<file path=[Content_Types].xml><?xml version="1.0" encoding="utf-8"?>
<Types xmlns="http://schemas.openxmlformats.org/package/2006/content-types">
  <Default Extension="jpeg" ContentType="image/jpeg"/>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0000001" w14:textId="77777777" w:rsidR="007220B8" w:rsidRDefault="00000000">
      <w:r>
        <w:rPr>
          <w:noProof/>
        </w:rPr>
        <w:drawing>
          <wp:anchor distT="0" distB="0" distL="114300" distR="114300" simplePos="0" relativeHeight="251658240" behindDoc="0" locked="0" layoutInCell="1" hidden="0" allowOverlap="1" wp14:anchorId="21E9771E" wp14:editId="274470CB">
            <wp:simplePos x="0" y="0"/>
            <wp:positionH relativeFrom="page">
              <wp:align>left</wp:align>
            </wp:positionH>
            <wp:positionV relativeFrom="paragraph">
              <wp:posOffset>-509270</wp:posOffset>
            </wp:positionV>
            <wp:extent cx="7581265" cy="1019175"/>
            <wp:effectExtent l="0" t="0" r="635" b="9525"/>
            <wp:wrapNone/>
            <wp:docPr id="2106180131" name="image6.png"/>
            <wp:cNvGraphicFramePr/>
            <a:graphic xmlns:a="http://schemas.openxmlformats.org/drawingml/2006/main">
              <a:graphicData uri="http://schemas.openxmlformats.org/drawingml/2006/picture">
                <pic:pic xmlns:pic="http://schemas.openxmlformats.org/drawingml/2006/picture">
                  <pic:nvPicPr>
                    <pic:cNvPr id="0" name="image6.png"/>
                    <pic:cNvPicPr preferRelativeResize="0"/>
                  </pic:nvPicPr>
                  <pic:blipFill>
                    <a:blip r:embed="rId8"/>
                    <a:srcRect/>
                    <a:stretch>
                      <a:fillRect/>
                    </a:stretch>
                  </pic:blipFill>
                  <pic:spPr>
                    <a:xfrm>
                      <a:off x="0" y="0"/>
                      <a:ext cx="7581265" cy="1019175"/>
                    </a:xfrm>
                    <a:prstGeom prst="rect">
                      <a:avLst/>
                    </a:prstGeom>
                    <a:ln/>
                  </pic:spPr>
                </pic:pic>
              </a:graphicData>
            </a:graphic>
          </wp:anchor>
        </w:drawing>
      </w:r>
    </w:p>
    <w:p w14:paraId="00000002" w14:textId="77777777" w:rsidR="007220B8" w:rsidRDefault="007220B8">
      <w:pPr>
        <w:jc w:val="right"/>
        <w:rPr>
          <w:rFonts w:ascii="National" w:eastAsia="National" w:hAnsi="National" w:cs="National"/>
          <w:color w:val="303AB2"/>
          <w:sz w:val="36"/>
          <w:szCs w:val="36"/>
        </w:rPr>
      </w:pPr>
    </w:p>
    <w:p w14:paraId="1B59B9FB" w14:textId="77777777" w:rsidR="00266C0F" w:rsidRDefault="00266C0F">
      <w:pPr>
        <w:jc w:val="center"/>
        <w:rPr>
          <w:rFonts w:ascii="National" w:eastAsia="National" w:hAnsi="National" w:cs="National"/>
          <w:b/>
          <w:color w:val="1DBDC5"/>
          <w:sz w:val="36"/>
          <w:szCs w:val="36"/>
        </w:rPr>
      </w:pPr>
    </w:p>
    <w:p w14:paraId="6E64F025" w14:textId="77777777" w:rsidR="00266C0F" w:rsidRDefault="00266C0F">
      <w:pPr>
        <w:jc w:val="center"/>
        <w:rPr>
          <w:rFonts w:ascii="National" w:eastAsia="National" w:hAnsi="National" w:cs="National"/>
          <w:b/>
          <w:color w:val="1DBDC5"/>
          <w:sz w:val="36"/>
          <w:szCs w:val="36"/>
        </w:rPr>
      </w:pPr>
    </w:p>
    <w:p w14:paraId="00000004" w14:textId="721499B5" w:rsidR="007220B8" w:rsidRPr="00266C0F" w:rsidRDefault="00000000">
      <w:pPr>
        <w:jc w:val="center"/>
        <w:rPr>
          <w:rFonts w:ascii="National" w:eastAsia="National" w:hAnsi="National" w:cs="National"/>
          <w:b/>
          <w:color w:val="1DBDC5"/>
          <w:sz w:val="36"/>
          <w:szCs w:val="36"/>
        </w:rPr>
      </w:pPr>
      <w:r w:rsidRPr="00266C0F">
        <w:rPr>
          <w:rFonts w:ascii="National" w:eastAsia="National" w:hAnsi="National" w:cs="National"/>
          <w:b/>
          <w:color w:val="1DBDC5"/>
          <w:sz w:val="36"/>
          <w:szCs w:val="36"/>
        </w:rPr>
        <w:t>RADIOGRAFÍA DEL MERCADO DE LA VIVIENDA EN 2025</w:t>
      </w:r>
    </w:p>
    <w:p w14:paraId="00000005" w14:textId="77777777" w:rsidR="007220B8" w:rsidRPr="002B564E" w:rsidRDefault="00000000">
      <w:pPr>
        <w:jc w:val="center"/>
        <w:rPr>
          <w:rFonts w:ascii="Open Sans" w:eastAsia="Open Sans" w:hAnsi="Open Sans" w:cs="Open Sans"/>
          <w:color w:val="303AB2"/>
        </w:rPr>
      </w:pPr>
      <w:r w:rsidRPr="002B564E">
        <w:rPr>
          <w:rFonts w:ascii="National" w:eastAsia="National" w:hAnsi="National" w:cs="National"/>
          <w:b/>
          <w:color w:val="303AB2"/>
          <w:sz w:val="46"/>
          <w:szCs w:val="46"/>
        </w:rPr>
        <w:t>Por tercer año consecutivo, el interés por comprar vivienda supera al del alquiler: el 48% de la demanda busca comprar y el 41% alquilar</w:t>
      </w:r>
    </w:p>
    <w:p w14:paraId="00000006" w14:textId="77777777" w:rsidR="007220B8" w:rsidRDefault="007220B8">
      <w:pPr>
        <w:pBdr>
          <w:top w:val="nil"/>
          <w:left w:val="nil"/>
          <w:bottom w:val="nil"/>
          <w:right w:val="nil"/>
          <w:between w:val="nil"/>
        </w:pBdr>
        <w:spacing w:line="276" w:lineRule="auto"/>
        <w:jc w:val="both"/>
        <w:rPr>
          <w:rFonts w:ascii="Open Sans Light" w:eastAsia="Open Sans Light" w:hAnsi="Open Sans Light" w:cs="Open Sans Light"/>
          <w:b/>
          <w:color w:val="303AB2"/>
        </w:rPr>
      </w:pPr>
    </w:p>
    <w:p w14:paraId="4ACB2515" w14:textId="77777777" w:rsidR="00266C0F" w:rsidRDefault="00266C0F" w:rsidP="00266C0F">
      <w:pPr>
        <w:pBdr>
          <w:top w:val="nil"/>
          <w:left w:val="nil"/>
          <w:bottom w:val="nil"/>
          <w:right w:val="nil"/>
          <w:between w:val="nil"/>
        </w:pBdr>
        <w:spacing w:line="276" w:lineRule="auto"/>
        <w:ind w:left="720"/>
        <w:jc w:val="both"/>
        <w:rPr>
          <w:rFonts w:ascii="Open Sans Light" w:eastAsia="Open Sans Light" w:hAnsi="Open Sans Light" w:cs="Open Sans Light"/>
          <w:b/>
          <w:color w:val="303AB2"/>
        </w:rPr>
      </w:pPr>
    </w:p>
    <w:p w14:paraId="00000007" w14:textId="31C0C17A" w:rsidR="007220B8" w:rsidRPr="00266C0F" w:rsidRDefault="00000000" w:rsidP="00266C0F">
      <w:pPr>
        <w:numPr>
          <w:ilvl w:val="0"/>
          <w:numId w:val="1"/>
        </w:numPr>
        <w:pBdr>
          <w:top w:val="nil"/>
          <w:left w:val="nil"/>
          <w:bottom w:val="nil"/>
          <w:right w:val="nil"/>
          <w:between w:val="nil"/>
        </w:pBdr>
        <w:spacing w:line="276" w:lineRule="auto"/>
        <w:jc w:val="both"/>
        <w:rPr>
          <w:rFonts w:ascii="Open Sans Light" w:eastAsia="Open Sans Light" w:hAnsi="Open Sans Light" w:cs="Open Sans Light"/>
          <w:b/>
          <w:color w:val="303AB2"/>
        </w:rPr>
      </w:pPr>
      <w:r w:rsidRPr="00266C0F">
        <w:rPr>
          <w:rFonts w:ascii="Open Sans Light" w:eastAsia="Open Sans Light" w:hAnsi="Open Sans Light" w:cs="Open Sans Light"/>
          <w:b/>
          <w:color w:val="303AB2"/>
        </w:rPr>
        <w:t>La demanda de vivienda sigue siendo muy intensa: uno de cada cuatro españoles sigue activo en la búsqueda de vivienda en 2025</w:t>
      </w:r>
    </w:p>
    <w:p w14:paraId="00000008" w14:textId="77777777" w:rsidR="007220B8" w:rsidRDefault="00000000">
      <w:pPr>
        <w:numPr>
          <w:ilvl w:val="0"/>
          <w:numId w:val="1"/>
        </w:numPr>
        <w:pBdr>
          <w:top w:val="nil"/>
          <w:left w:val="nil"/>
          <w:bottom w:val="nil"/>
          <w:right w:val="nil"/>
          <w:between w:val="nil"/>
        </w:pBdr>
        <w:spacing w:line="276" w:lineRule="auto"/>
        <w:jc w:val="both"/>
        <w:rPr>
          <w:rFonts w:ascii="Open Sans Light" w:eastAsia="Open Sans Light" w:hAnsi="Open Sans Light" w:cs="Open Sans Light"/>
          <w:b/>
          <w:color w:val="303AB2"/>
        </w:rPr>
      </w:pPr>
      <w:r>
        <w:rPr>
          <w:rFonts w:ascii="Open Sans Light" w:eastAsia="Open Sans Light" w:hAnsi="Open Sans Light" w:cs="Open Sans Light"/>
          <w:b/>
          <w:color w:val="303AB2"/>
        </w:rPr>
        <w:t>Se contrae levemente el porcentaje de españoles que están interactuando en el mercado inmobiliario al pasar del 27% en 2024 al 26% en 2025</w:t>
      </w:r>
    </w:p>
    <w:p w14:paraId="00000009" w14:textId="77777777" w:rsidR="007220B8" w:rsidRDefault="00000000">
      <w:pPr>
        <w:numPr>
          <w:ilvl w:val="0"/>
          <w:numId w:val="1"/>
        </w:numPr>
        <w:pBdr>
          <w:top w:val="nil"/>
          <w:left w:val="nil"/>
          <w:bottom w:val="nil"/>
          <w:right w:val="nil"/>
          <w:between w:val="nil"/>
        </w:pBdr>
        <w:spacing w:line="276" w:lineRule="auto"/>
        <w:jc w:val="both"/>
        <w:rPr>
          <w:rFonts w:ascii="Open Sans Light" w:eastAsia="Open Sans Light" w:hAnsi="Open Sans Light" w:cs="Open Sans Light"/>
          <w:b/>
          <w:color w:val="303AB2"/>
        </w:rPr>
      </w:pPr>
      <w:r>
        <w:rPr>
          <w:rFonts w:ascii="Open Sans Light" w:eastAsia="Open Sans Light" w:hAnsi="Open Sans Light" w:cs="Open Sans Light"/>
          <w:b/>
          <w:color w:val="303AB2"/>
        </w:rPr>
        <w:t>El precio del alquiler, clave en el cambio de tendencia al desincentivar la participación de los inquilinos en el mercado</w:t>
      </w:r>
    </w:p>
    <w:p w14:paraId="0000000A" w14:textId="0CC0DCE3" w:rsidR="007220B8" w:rsidRPr="00266C0F" w:rsidRDefault="00266C0F">
      <w:pPr>
        <w:numPr>
          <w:ilvl w:val="0"/>
          <w:numId w:val="1"/>
        </w:numPr>
        <w:pBdr>
          <w:top w:val="nil"/>
          <w:left w:val="nil"/>
          <w:bottom w:val="nil"/>
          <w:right w:val="nil"/>
          <w:between w:val="nil"/>
        </w:pBdr>
        <w:spacing w:line="276" w:lineRule="auto"/>
        <w:jc w:val="both"/>
        <w:rPr>
          <w:rFonts w:ascii="Open Sans Light" w:eastAsia="Open Sans Light" w:hAnsi="Open Sans Light" w:cs="Open Sans Light"/>
          <w:b/>
          <w:color w:val="303AB2"/>
        </w:rPr>
      </w:pPr>
      <w:hyperlink r:id="rId9" w:history="1">
        <w:r w:rsidRPr="00266C0F">
          <w:rPr>
            <w:rStyle w:val="Hipervnculo"/>
            <w:rFonts w:ascii="Open Sans Light" w:eastAsia="Open Sans Light" w:hAnsi="Open Sans Light" w:cs="Open Sans Light"/>
            <w:b/>
          </w:rPr>
          <w:t>Aquí se puede ver un vídeo con la valoración de la directora de Estudios</w:t>
        </w:r>
      </w:hyperlink>
    </w:p>
    <w:p w14:paraId="0000000C" w14:textId="77777777" w:rsidR="007220B8" w:rsidRDefault="007220B8">
      <w:pPr>
        <w:pBdr>
          <w:top w:val="nil"/>
          <w:left w:val="nil"/>
          <w:bottom w:val="nil"/>
          <w:right w:val="nil"/>
          <w:between w:val="nil"/>
        </w:pBdr>
        <w:spacing w:line="276" w:lineRule="auto"/>
        <w:jc w:val="both"/>
        <w:rPr>
          <w:rFonts w:ascii="Open Sans Light" w:eastAsia="Open Sans Light" w:hAnsi="Open Sans Light" w:cs="Open Sans Light"/>
          <w:b/>
          <w:color w:val="303AB2"/>
        </w:rPr>
      </w:pPr>
    </w:p>
    <w:p w14:paraId="3FB6E532" w14:textId="77777777" w:rsidR="00266C0F" w:rsidRDefault="00266C0F">
      <w:pPr>
        <w:pBdr>
          <w:top w:val="nil"/>
          <w:left w:val="nil"/>
          <w:bottom w:val="nil"/>
          <w:right w:val="nil"/>
          <w:between w:val="nil"/>
        </w:pBdr>
        <w:spacing w:line="276" w:lineRule="auto"/>
        <w:jc w:val="both"/>
        <w:rPr>
          <w:rFonts w:ascii="Open Sans Light" w:eastAsia="Open Sans Light" w:hAnsi="Open Sans Light" w:cs="Open Sans Light"/>
          <w:b/>
          <w:color w:val="303AB2"/>
        </w:rPr>
      </w:pPr>
    </w:p>
    <w:p w14:paraId="0000000E" w14:textId="0A6592C1" w:rsidR="007220B8" w:rsidRDefault="00000000">
      <w:pPr>
        <w:pBdr>
          <w:top w:val="nil"/>
          <w:left w:val="nil"/>
          <w:bottom w:val="nil"/>
          <w:right w:val="nil"/>
          <w:between w:val="nil"/>
        </w:pBdr>
        <w:spacing w:line="276" w:lineRule="auto"/>
        <w:jc w:val="both"/>
        <w:rPr>
          <w:rFonts w:ascii="Open Sans Light" w:eastAsia="Open Sans Light" w:hAnsi="Open Sans Light" w:cs="Open Sans Light"/>
          <w:b/>
          <w:color w:val="303AB2"/>
        </w:rPr>
      </w:pPr>
      <w:r>
        <w:rPr>
          <w:rFonts w:ascii="Open Sans Light" w:eastAsia="Open Sans Light" w:hAnsi="Open Sans Light" w:cs="Open Sans Light"/>
          <w:b/>
          <w:color w:val="303AB2"/>
        </w:rPr>
        <w:t>Madrid, 12 de mayo de 2025</w:t>
      </w:r>
    </w:p>
    <w:p w14:paraId="6502AF45" w14:textId="77777777" w:rsidR="00266C0F" w:rsidRPr="00266C0F" w:rsidRDefault="00266C0F">
      <w:pPr>
        <w:pBdr>
          <w:top w:val="nil"/>
          <w:left w:val="nil"/>
          <w:bottom w:val="nil"/>
          <w:right w:val="nil"/>
          <w:between w:val="nil"/>
        </w:pBdr>
        <w:spacing w:line="276" w:lineRule="auto"/>
        <w:jc w:val="both"/>
        <w:rPr>
          <w:rFonts w:ascii="Open Sans Light" w:eastAsia="Open Sans Light" w:hAnsi="Open Sans Light" w:cs="Open Sans Light"/>
          <w:b/>
          <w:color w:val="303AB2"/>
        </w:rPr>
      </w:pPr>
    </w:p>
    <w:p w14:paraId="7194ABE5" w14:textId="77777777" w:rsidR="00266C0F" w:rsidRDefault="00000000">
      <w:pPr>
        <w:pBdr>
          <w:top w:val="nil"/>
          <w:left w:val="nil"/>
          <w:bottom w:val="nil"/>
          <w:right w:val="nil"/>
          <w:between w:val="nil"/>
        </w:pBdr>
        <w:spacing w:line="276" w:lineRule="auto"/>
        <w:jc w:val="both"/>
        <w:rPr>
          <w:rFonts w:ascii="Open Sans" w:eastAsia="Open Sans" w:hAnsi="Open Sans" w:cs="Open Sans"/>
        </w:rPr>
      </w:pPr>
      <w:r>
        <w:rPr>
          <w:rFonts w:ascii="Open Sans" w:eastAsia="Open Sans" w:hAnsi="Open Sans" w:cs="Open Sans"/>
        </w:rPr>
        <w:t xml:space="preserve">El apetito por comprar vivienda se consolida en España. De hecho, por tercer año consecutivo la demanda para comprar una vivienda supera a la demanda de alquiler. Y es que, </w:t>
      </w:r>
      <w:r w:rsidRPr="00266C0F">
        <w:rPr>
          <w:rFonts w:ascii="Open Sans" w:eastAsia="Open Sans" w:hAnsi="Open Sans" w:cs="Open Sans"/>
          <w:b/>
          <w:bCs/>
        </w:rPr>
        <w:t>en estos momentos, el 23% de los españoles mayores de 18 años se encuentra demandando vivienda</w:t>
      </w:r>
      <w:r>
        <w:rPr>
          <w:rFonts w:ascii="Open Sans" w:eastAsia="Open Sans" w:hAnsi="Open Sans" w:cs="Open Sans"/>
        </w:rPr>
        <w:t xml:space="preserve"> (tanto de compra como de alquiler). </w:t>
      </w:r>
    </w:p>
    <w:p w14:paraId="05DB8969" w14:textId="77777777" w:rsidR="00266C0F" w:rsidRDefault="00266C0F">
      <w:pPr>
        <w:pBdr>
          <w:top w:val="nil"/>
          <w:left w:val="nil"/>
          <w:bottom w:val="nil"/>
          <w:right w:val="nil"/>
          <w:between w:val="nil"/>
        </w:pBdr>
        <w:spacing w:line="276" w:lineRule="auto"/>
        <w:jc w:val="both"/>
        <w:rPr>
          <w:rFonts w:ascii="Open Sans" w:eastAsia="Open Sans" w:hAnsi="Open Sans" w:cs="Open Sans"/>
        </w:rPr>
      </w:pPr>
    </w:p>
    <w:p w14:paraId="09C5F1CA" w14:textId="77777777" w:rsidR="00A27970" w:rsidRDefault="00000000">
      <w:pPr>
        <w:pBdr>
          <w:top w:val="nil"/>
          <w:left w:val="nil"/>
          <w:bottom w:val="nil"/>
          <w:right w:val="nil"/>
          <w:between w:val="nil"/>
        </w:pBdr>
        <w:spacing w:line="276" w:lineRule="auto"/>
        <w:jc w:val="both"/>
        <w:rPr>
          <w:rFonts w:ascii="Open Sans" w:eastAsia="Open Sans" w:hAnsi="Open Sans" w:cs="Open Sans"/>
        </w:rPr>
      </w:pPr>
      <w:r>
        <w:rPr>
          <w:rFonts w:ascii="Open Sans" w:eastAsia="Open Sans" w:hAnsi="Open Sans" w:cs="Open Sans"/>
        </w:rPr>
        <w:t xml:space="preserve">Si desgranamos este porcentaje de demanda el resultado es que </w:t>
      </w:r>
      <w:r>
        <w:rPr>
          <w:rFonts w:ascii="Open Sans" w:eastAsia="Open Sans" w:hAnsi="Open Sans" w:cs="Open Sans"/>
          <w:b/>
        </w:rPr>
        <w:t>el 13% de los españoles está demandando vivienda para comprar y el 12% lo hace para alquilar</w:t>
      </w:r>
      <w:r>
        <w:rPr>
          <w:rFonts w:ascii="Open Sans" w:eastAsia="Open Sans" w:hAnsi="Open Sans" w:cs="Open Sans"/>
        </w:rPr>
        <w:t xml:space="preserve"> (y un 2% de ellos interactúa en ambos mercados a la vez). Esta es una de las conclusiones del informe es una de las principales conclusiones del informe</w:t>
      </w:r>
    </w:p>
    <w:p w14:paraId="00000011" w14:textId="67F0DD75" w:rsidR="007220B8" w:rsidRDefault="00000000">
      <w:pPr>
        <w:pBdr>
          <w:top w:val="nil"/>
          <w:left w:val="nil"/>
          <w:bottom w:val="nil"/>
          <w:right w:val="nil"/>
          <w:between w:val="nil"/>
        </w:pBdr>
        <w:spacing w:line="276" w:lineRule="auto"/>
        <w:jc w:val="both"/>
        <w:rPr>
          <w:rFonts w:ascii="Open Sans" w:eastAsia="Open Sans" w:hAnsi="Open Sans" w:cs="Open Sans"/>
        </w:rPr>
      </w:pPr>
      <w:r>
        <w:rPr>
          <w:rFonts w:ascii="Open Sans" w:eastAsia="Open Sans" w:hAnsi="Open Sans" w:cs="Open Sans"/>
        </w:rPr>
        <w:t xml:space="preserve"> </w:t>
      </w:r>
      <w:r w:rsidR="00A27970">
        <w:rPr>
          <w:rFonts w:ascii="Open Sans" w:eastAsia="Open Sans" w:hAnsi="Open Sans" w:cs="Open Sans"/>
        </w:rPr>
        <w:t>“</w:t>
      </w:r>
      <w:hyperlink r:id="rId10" w:history="1">
        <w:r w:rsidRPr="00A27970">
          <w:rPr>
            <w:rStyle w:val="Hipervnculo"/>
            <w:rFonts w:ascii="Open Sans" w:eastAsia="Open Sans" w:hAnsi="Open Sans" w:cs="Open Sans"/>
            <w:b/>
            <w:bCs/>
            <w:i/>
          </w:rPr>
          <w:t>Radiografía del mercado de la vivienda en el primer semestre de 2025</w:t>
        </w:r>
      </w:hyperlink>
      <w:r w:rsidRPr="00A27970">
        <w:rPr>
          <w:rFonts w:ascii="Open Sans" w:eastAsia="Open Sans" w:hAnsi="Open Sans" w:cs="Open Sans"/>
        </w:rPr>
        <w:t>”, elaborado</w:t>
      </w:r>
      <w:r>
        <w:rPr>
          <w:rFonts w:ascii="Open Sans" w:eastAsia="Open Sans" w:hAnsi="Open Sans" w:cs="Open Sans"/>
        </w:rPr>
        <w:t xml:space="preserve"> por </w:t>
      </w:r>
      <w:hyperlink r:id="rId11">
        <w:r w:rsidR="007220B8">
          <w:rPr>
            <w:rFonts w:ascii="Open Sans" w:eastAsia="Open Sans" w:hAnsi="Open Sans" w:cs="Open Sans"/>
            <w:b/>
            <w:color w:val="0000FF"/>
            <w:u w:val="single"/>
          </w:rPr>
          <w:t xml:space="preserve">Fotocasa </w:t>
        </w:r>
        <w:proofErr w:type="spellStart"/>
        <w:r w:rsidR="007220B8">
          <w:rPr>
            <w:rFonts w:ascii="Open Sans" w:eastAsia="Open Sans" w:hAnsi="Open Sans" w:cs="Open Sans"/>
            <w:b/>
            <w:color w:val="0000FF"/>
            <w:u w:val="single"/>
          </w:rPr>
          <w:t>Research</w:t>
        </w:r>
        <w:proofErr w:type="spellEnd"/>
      </w:hyperlink>
      <w:r>
        <w:rPr>
          <w:rFonts w:ascii="Open Sans" w:eastAsia="Open Sans" w:hAnsi="Open Sans" w:cs="Open Sans"/>
        </w:rPr>
        <w:t xml:space="preserve">.  </w:t>
      </w:r>
    </w:p>
    <w:p w14:paraId="00000012" w14:textId="77777777" w:rsidR="007220B8" w:rsidRDefault="00000000" w:rsidP="00266C0F">
      <w:pPr>
        <w:pBdr>
          <w:top w:val="nil"/>
          <w:left w:val="nil"/>
          <w:bottom w:val="nil"/>
          <w:right w:val="nil"/>
          <w:between w:val="nil"/>
        </w:pBdr>
        <w:spacing w:line="276" w:lineRule="auto"/>
        <w:jc w:val="center"/>
        <w:rPr>
          <w:rFonts w:ascii="Open Sans" w:eastAsia="Open Sans" w:hAnsi="Open Sans" w:cs="Open Sans"/>
        </w:rPr>
      </w:pPr>
      <w:r>
        <w:rPr>
          <w:noProof/>
        </w:rPr>
        <w:lastRenderedPageBreak/>
        <w:drawing>
          <wp:inline distT="0" distB="0" distL="0" distR="0" wp14:anchorId="148B78EB" wp14:editId="2FFFC4CD">
            <wp:extent cx="5715000" cy="3314700"/>
            <wp:effectExtent l="0" t="0" r="0" b="0"/>
            <wp:docPr id="2106180133" name="image2.png" descr="Gráfico, Gráfico de líneas&#10;&#10;El contenido generado por IA puede ser incorrecto."/>
            <wp:cNvGraphicFramePr/>
            <a:graphic xmlns:a="http://schemas.openxmlformats.org/drawingml/2006/main">
              <a:graphicData uri="http://schemas.openxmlformats.org/drawingml/2006/picture">
                <pic:pic xmlns:pic="http://schemas.openxmlformats.org/drawingml/2006/picture">
                  <pic:nvPicPr>
                    <pic:cNvPr id="0" name="image2.png" descr="Gráfico, Gráfico de líneas&#10;&#10;El contenido generado por IA puede ser incorrecto."/>
                    <pic:cNvPicPr preferRelativeResize="0"/>
                  </pic:nvPicPr>
                  <pic:blipFill>
                    <a:blip r:embed="rId12"/>
                    <a:srcRect/>
                    <a:stretch>
                      <a:fillRect/>
                    </a:stretch>
                  </pic:blipFill>
                  <pic:spPr>
                    <a:xfrm>
                      <a:off x="0" y="0"/>
                      <a:ext cx="5715948" cy="3315250"/>
                    </a:xfrm>
                    <a:prstGeom prst="rect">
                      <a:avLst/>
                    </a:prstGeom>
                    <a:ln/>
                  </pic:spPr>
                </pic:pic>
              </a:graphicData>
            </a:graphic>
          </wp:inline>
        </w:drawing>
      </w:r>
    </w:p>
    <w:p w14:paraId="00000013" w14:textId="77777777" w:rsidR="007220B8" w:rsidRDefault="007220B8">
      <w:pPr>
        <w:pBdr>
          <w:top w:val="nil"/>
          <w:left w:val="nil"/>
          <w:bottom w:val="nil"/>
          <w:right w:val="nil"/>
          <w:between w:val="nil"/>
        </w:pBdr>
        <w:spacing w:line="276" w:lineRule="auto"/>
        <w:jc w:val="both"/>
        <w:rPr>
          <w:rFonts w:ascii="Open Sans" w:eastAsia="Open Sans" w:hAnsi="Open Sans" w:cs="Open Sans"/>
        </w:rPr>
      </w:pPr>
    </w:p>
    <w:p w14:paraId="00000014" w14:textId="022DB322" w:rsidR="007220B8" w:rsidRDefault="00000000">
      <w:pPr>
        <w:pBdr>
          <w:top w:val="nil"/>
          <w:left w:val="nil"/>
          <w:bottom w:val="nil"/>
          <w:right w:val="nil"/>
          <w:between w:val="nil"/>
        </w:pBdr>
        <w:spacing w:line="276" w:lineRule="auto"/>
        <w:jc w:val="both"/>
        <w:rPr>
          <w:rFonts w:ascii="Open Sans" w:eastAsia="Open Sans" w:hAnsi="Open Sans" w:cs="Open Sans"/>
          <w:b/>
        </w:rPr>
      </w:pPr>
      <w:r>
        <w:rPr>
          <w:rFonts w:ascii="Open Sans" w:eastAsia="Open Sans" w:hAnsi="Open Sans" w:cs="Open Sans"/>
        </w:rPr>
        <w:t xml:space="preserve">“Uno de cada cuatro españoles sigue demandando vivienda, bien para comprar o bien para alquilar. Esto indica un alto dinamismo en el mercado de la vivienda y una gran presión de la demanda sobre la escasa oferta. Tras los últimos cambios macroeconómicos, sociales y legislativos en España, la compra de vivienda se ha consolidado como la auténtica protagonista del inmobiliario. El mercado del alquiler, cada vez más reducido y con precios máximos, sufre un desgaste significativo, lo que favorece y refuerza el interés de los ciudadanos en la compraventa. Uno de los datos más llamativos de este informe es que cada vez contamos con más ciudadanos insatisfechos en ambos mercados, por lo que encontrar la vivienda ideal es un reto cada vez mayor”, </w:t>
      </w:r>
      <w:r>
        <w:rPr>
          <w:rFonts w:ascii="Open Sans" w:eastAsia="Open Sans" w:hAnsi="Open Sans" w:cs="Open Sans"/>
          <w:b/>
        </w:rPr>
        <w:t xml:space="preserve">comenta María Matos, directora de Estudios y portavoz de </w:t>
      </w:r>
      <w:hyperlink r:id="rId13">
        <w:r w:rsidR="007220B8">
          <w:rPr>
            <w:rFonts w:ascii="Open Sans" w:eastAsia="Open Sans" w:hAnsi="Open Sans" w:cs="Open Sans"/>
            <w:b/>
            <w:color w:val="1155CC"/>
            <w:u w:val="single"/>
          </w:rPr>
          <w:t>Fotocasa</w:t>
        </w:r>
      </w:hyperlink>
      <w:r>
        <w:rPr>
          <w:rFonts w:ascii="Open Sans" w:eastAsia="Open Sans" w:hAnsi="Open Sans" w:cs="Open Sans"/>
          <w:b/>
        </w:rPr>
        <w:t xml:space="preserve">. </w:t>
      </w:r>
    </w:p>
    <w:p w14:paraId="0BA07E43" w14:textId="77777777" w:rsidR="00266C0F" w:rsidRDefault="00266C0F">
      <w:pPr>
        <w:pBdr>
          <w:top w:val="nil"/>
          <w:left w:val="nil"/>
          <w:bottom w:val="nil"/>
          <w:right w:val="nil"/>
          <w:between w:val="nil"/>
        </w:pBdr>
        <w:spacing w:line="276" w:lineRule="auto"/>
        <w:jc w:val="both"/>
        <w:rPr>
          <w:rFonts w:ascii="Open Sans" w:eastAsia="Open Sans" w:hAnsi="Open Sans" w:cs="Open Sans"/>
          <w:b/>
        </w:rPr>
      </w:pPr>
    </w:p>
    <w:p w14:paraId="70B0564B" w14:textId="77777777" w:rsidR="00266C0F" w:rsidRDefault="00266C0F" w:rsidP="00266C0F">
      <w:pPr>
        <w:pBdr>
          <w:top w:val="nil"/>
          <w:left w:val="nil"/>
          <w:bottom w:val="nil"/>
          <w:right w:val="nil"/>
          <w:between w:val="nil"/>
        </w:pBdr>
        <w:spacing w:line="276" w:lineRule="auto"/>
        <w:jc w:val="both"/>
        <w:rPr>
          <w:rFonts w:ascii="Open Sans Light" w:eastAsia="Open Sans Light" w:hAnsi="Open Sans Light" w:cs="Open Sans Light"/>
          <w:b/>
          <w:color w:val="303AB2"/>
          <w:sz w:val="26"/>
          <w:szCs w:val="26"/>
        </w:rPr>
      </w:pPr>
      <w:r>
        <w:rPr>
          <w:rFonts w:ascii="Open Sans Light" w:eastAsia="Open Sans Light" w:hAnsi="Open Sans Light" w:cs="Open Sans Light"/>
          <w:b/>
          <w:color w:val="303AB2"/>
          <w:sz w:val="26"/>
          <w:szCs w:val="26"/>
        </w:rPr>
        <w:t xml:space="preserve">La demanda de compra supera a la del alquiler </w:t>
      </w:r>
    </w:p>
    <w:p w14:paraId="37EB699E" w14:textId="77777777" w:rsidR="00266C0F" w:rsidRDefault="00266C0F" w:rsidP="00266C0F">
      <w:pPr>
        <w:pBdr>
          <w:top w:val="nil"/>
          <w:left w:val="nil"/>
          <w:bottom w:val="nil"/>
          <w:right w:val="nil"/>
          <w:between w:val="nil"/>
        </w:pBdr>
        <w:spacing w:line="276" w:lineRule="auto"/>
        <w:jc w:val="both"/>
        <w:rPr>
          <w:rFonts w:ascii="Open Sans" w:eastAsia="Open Sans" w:hAnsi="Open Sans" w:cs="Open Sans"/>
        </w:rPr>
      </w:pPr>
    </w:p>
    <w:p w14:paraId="5D3F9B4D" w14:textId="77777777" w:rsidR="00266C0F" w:rsidRDefault="00266C0F" w:rsidP="00266C0F">
      <w:pPr>
        <w:pBdr>
          <w:top w:val="nil"/>
          <w:left w:val="nil"/>
          <w:bottom w:val="nil"/>
          <w:right w:val="nil"/>
          <w:between w:val="nil"/>
        </w:pBdr>
        <w:spacing w:line="276" w:lineRule="auto"/>
        <w:jc w:val="both"/>
        <w:rPr>
          <w:rFonts w:ascii="Open Sans" w:eastAsia="Open Sans" w:hAnsi="Open Sans" w:cs="Open Sans"/>
        </w:rPr>
      </w:pPr>
      <w:r>
        <w:rPr>
          <w:rFonts w:ascii="Open Sans" w:eastAsia="Open Sans" w:hAnsi="Open Sans" w:cs="Open Sans"/>
        </w:rPr>
        <w:t xml:space="preserve">Es interesante mirar estos datos de demanda de vivienda como un conjunto único y comprobar cómo se reparten entre ambos mercados (venta y alquiler). Así, en estos momentos </w:t>
      </w:r>
      <w:r>
        <w:rPr>
          <w:rFonts w:ascii="Open Sans" w:eastAsia="Open Sans" w:hAnsi="Open Sans" w:cs="Open Sans"/>
          <w:b/>
        </w:rPr>
        <w:t>el 48% de los demandantes de vivienda quiere comprar frente al 41% que busca vivienda para alquilar</w:t>
      </w:r>
      <w:r>
        <w:rPr>
          <w:rFonts w:ascii="Open Sans" w:eastAsia="Open Sans" w:hAnsi="Open Sans" w:cs="Open Sans"/>
        </w:rPr>
        <w:t xml:space="preserve">. Y otro 11% está interactuando a la vez en los dos mercados. </w:t>
      </w:r>
    </w:p>
    <w:p w14:paraId="6C35CF0F" w14:textId="77777777" w:rsidR="00266C0F" w:rsidRDefault="00266C0F" w:rsidP="00266C0F">
      <w:pPr>
        <w:pBdr>
          <w:top w:val="nil"/>
          <w:left w:val="nil"/>
          <w:bottom w:val="nil"/>
          <w:right w:val="nil"/>
          <w:between w:val="nil"/>
        </w:pBdr>
        <w:spacing w:line="276" w:lineRule="auto"/>
        <w:jc w:val="both"/>
        <w:rPr>
          <w:rFonts w:ascii="Open Sans" w:eastAsia="Open Sans" w:hAnsi="Open Sans" w:cs="Open Sans"/>
        </w:rPr>
      </w:pPr>
    </w:p>
    <w:p w14:paraId="63C135F9" w14:textId="77777777" w:rsidR="00266C0F" w:rsidRDefault="00266C0F" w:rsidP="00266C0F">
      <w:pPr>
        <w:pBdr>
          <w:top w:val="nil"/>
          <w:left w:val="nil"/>
          <w:bottom w:val="nil"/>
          <w:right w:val="nil"/>
          <w:between w:val="nil"/>
        </w:pBdr>
        <w:spacing w:line="276" w:lineRule="auto"/>
        <w:jc w:val="both"/>
        <w:rPr>
          <w:rFonts w:ascii="Open Sans" w:eastAsia="Open Sans" w:hAnsi="Open Sans" w:cs="Open Sans"/>
        </w:rPr>
      </w:pPr>
    </w:p>
    <w:p w14:paraId="6755567A" w14:textId="77777777" w:rsidR="00266C0F" w:rsidRDefault="00266C0F" w:rsidP="00266C0F">
      <w:pPr>
        <w:pBdr>
          <w:top w:val="nil"/>
          <w:left w:val="nil"/>
          <w:bottom w:val="nil"/>
          <w:right w:val="nil"/>
          <w:between w:val="nil"/>
        </w:pBdr>
        <w:spacing w:line="276" w:lineRule="auto"/>
        <w:jc w:val="both"/>
        <w:rPr>
          <w:rFonts w:ascii="Open Sans" w:eastAsia="Open Sans" w:hAnsi="Open Sans" w:cs="Open Sans"/>
        </w:rPr>
      </w:pPr>
      <w:r>
        <w:rPr>
          <w:rFonts w:ascii="Open Sans" w:eastAsia="Open Sans" w:hAnsi="Open Sans" w:cs="Open Sans"/>
        </w:rPr>
        <w:lastRenderedPageBreak/>
        <w:t>Estos datos muestran, una vez más, la consolidación del cambio de tendencia de la demanda que empezó a apreciarse en 2022, cuando la demanda de vivienda en propiedad superó por primera vez a la del alquiler. Además, este cambio de tendencia responde a los precios al alza de los alquileres, en máximos en casi todo el país, a pesar de que la compra de vivienda también está viviendo un gran incremento del precio, a pesar del descenso del Euríbor. Cabe volver a recordar, en cualquier caso, que hay mucha distancia entre las intenciones de compra y la consolidación real de ese objetivo.</w:t>
      </w:r>
    </w:p>
    <w:p w14:paraId="71ED6173" w14:textId="77777777" w:rsidR="00266C0F" w:rsidRDefault="00266C0F">
      <w:pPr>
        <w:pBdr>
          <w:top w:val="nil"/>
          <w:left w:val="nil"/>
          <w:bottom w:val="nil"/>
          <w:right w:val="nil"/>
          <w:between w:val="nil"/>
        </w:pBdr>
        <w:spacing w:line="276" w:lineRule="auto"/>
        <w:jc w:val="both"/>
        <w:rPr>
          <w:rFonts w:ascii="Open Sans" w:eastAsia="Open Sans" w:hAnsi="Open Sans" w:cs="Open Sans"/>
          <w:b/>
        </w:rPr>
      </w:pPr>
    </w:p>
    <w:p w14:paraId="75A8177F" w14:textId="7C62075C" w:rsidR="00266C0F" w:rsidRDefault="00266C0F" w:rsidP="00266C0F">
      <w:pPr>
        <w:pBdr>
          <w:top w:val="nil"/>
          <w:left w:val="nil"/>
          <w:bottom w:val="nil"/>
          <w:right w:val="nil"/>
          <w:between w:val="nil"/>
        </w:pBdr>
        <w:spacing w:line="276" w:lineRule="auto"/>
        <w:jc w:val="center"/>
        <w:rPr>
          <w:rFonts w:ascii="Open Sans" w:eastAsia="Open Sans" w:hAnsi="Open Sans" w:cs="Open Sans"/>
          <w:b/>
        </w:rPr>
      </w:pPr>
      <w:r>
        <w:rPr>
          <w:noProof/>
        </w:rPr>
        <w:drawing>
          <wp:inline distT="0" distB="0" distL="0" distR="0" wp14:anchorId="57C15AFE" wp14:editId="229240F9">
            <wp:extent cx="5554980" cy="3101340"/>
            <wp:effectExtent l="0" t="0" r="7620" b="3810"/>
            <wp:docPr id="2106180132" name="image4.png" descr="Gráfico, Gráfico de líneas&#10;&#10;El contenido generado por IA puede ser incorrecto."/>
            <wp:cNvGraphicFramePr/>
            <a:graphic xmlns:a="http://schemas.openxmlformats.org/drawingml/2006/main">
              <a:graphicData uri="http://schemas.openxmlformats.org/drawingml/2006/picture">
                <pic:pic xmlns:pic="http://schemas.openxmlformats.org/drawingml/2006/picture">
                  <pic:nvPicPr>
                    <pic:cNvPr id="0" name="image4.png" descr="Gráfico, Gráfico de líneas&#10;&#10;El contenido generado por IA puede ser incorrecto."/>
                    <pic:cNvPicPr preferRelativeResize="0"/>
                  </pic:nvPicPr>
                  <pic:blipFill>
                    <a:blip r:embed="rId14"/>
                    <a:srcRect/>
                    <a:stretch>
                      <a:fillRect/>
                    </a:stretch>
                  </pic:blipFill>
                  <pic:spPr>
                    <a:xfrm>
                      <a:off x="0" y="0"/>
                      <a:ext cx="5555425" cy="3101588"/>
                    </a:xfrm>
                    <a:prstGeom prst="rect">
                      <a:avLst/>
                    </a:prstGeom>
                    <a:ln/>
                  </pic:spPr>
                </pic:pic>
              </a:graphicData>
            </a:graphic>
          </wp:inline>
        </w:drawing>
      </w:r>
    </w:p>
    <w:p w14:paraId="5701F375" w14:textId="77777777" w:rsidR="00266C0F" w:rsidRDefault="00266C0F">
      <w:pPr>
        <w:pBdr>
          <w:top w:val="nil"/>
          <w:left w:val="nil"/>
          <w:bottom w:val="nil"/>
          <w:right w:val="nil"/>
          <w:between w:val="nil"/>
        </w:pBdr>
        <w:spacing w:line="276" w:lineRule="auto"/>
        <w:jc w:val="both"/>
        <w:rPr>
          <w:rFonts w:ascii="Open Sans" w:eastAsia="Open Sans" w:hAnsi="Open Sans" w:cs="Open Sans"/>
          <w:b/>
        </w:rPr>
      </w:pPr>
    </w:p>
    <w:p w14:paraId="65CDE913" w14:textId="18204B6A" w:rsidR="00266C0F" w:rsidRDefault="00266C0F" w:rsidP="00266C0F">
      <w:pPr>
        <w:pBdr>
          <w:top w:val="nil"/>
          <w:left w:val="nil"/>
          <w:bottom w:val="nil"/>
          <w:right w:val="nil"/>
          <w:between w:val="nil"/>
        </w:pBdr>
        <w:spacing w:line="276" w:lineRule="auto"/>
        <w:jc w:val="center"/>
        <w:rPr>
          <w:rFonts w:ascii="Open Sans" w:eastAsia="Open Sans" w:hAnsi="Open Sans" w:cs="Open Sans"/>
          <w:b/>
        </w:rPr>
      </w:pPr>
      <w:hyperlink r:id="rId15" w:history="1">
        <w:r w:rsidRPr="00266C0F">
          <w:rPr>
            <w:rStyle w:val="Hipervnculo"/>
            <w:rFonts w:ascii="Open Sans" w:eastAsia="Open Sans" w:hAnsi="Open Sans" w:cs="Open Sans"/>
            <w:b/>
          </w:rPr>
          <w:t>Declaraciones de María Matos, directora de Estudios de Fotocasa</w:t>
        </w:r>
      </w:hyperlink>
    </w:p>
    <w:p w14:paraId="00000015" w14:textId="77777777" w:rsidR="007220B8" w:rsidRDefault="007220B8">
      <w:pPr>
        <w:pBdr>
          <w:top w:val="nil"/>
          <w:left w:val="nil"/>
          <w:bottom w:val="nil"/>
          <w:right w:val="nil"/>
          <w:between w:val="nil"/>
        </w:pBdr>
        <w:spacing w:line="276" w:lineRule="auto"/>
        <w:jc w:val="both"/>
        <w:rPr>
          <w:rFonts w:ascii="Open Sans" w:eastAsia="Open Sans" w:hAnsi="Open Sans" w:cs="Open Sans"/>
        </w:rPr>
      </w:pPr>
    </w:p>
    <w:p w14:paraId="607C4D23" w14:textId="7A590687" w:rsidR="00266C0F" w:rsidRPr="00266C0F" w:rsidRDefault="00266C0F" w:rsidP="00266C0F">
      <w:pPr>
        <w:pBdr>
          <w:top w:val="nil"/>
          <w:left w:val="nil"/>
          <w:bottom w:val="nil"/>
          <w:right w:val="nil"/>
          <w:between w:val="nil"/>
        </w:pBdr>
        <w:spacing w:line="276" w:lineRule="auto"/>
        <w:jc w:val="center"/>
        <w:rPr>
          <w:rFonts w:ascii="Open Sans" w:eastAsia="Open Sans" w:hAnsi="Open Sans" w:cs="Open Sans"/>
          <w:lang w:val="es-ES"/>
        </w:rPr>
      </w:pPr>
      <w:r w:rsidRPr="00266C0F">
        <w:rPr>
          <w:rFonts w:ascii="Open Sans" w:eastAsia="Open Sans" w:hAnsi="Open Sans" w:cs="Open Sans"/>
          <w:noProof/>
          <w:lang w:val="es-ES"/>
        </w:rPr>
        <w:drawing>
          <wp:inline distT="0" distB="0" distL="0" distR="0" wp14:anchorId="43CE6819" wp14:editId="1E6CBFA7">
            <wp:extent cx="5440680" cy="2888861"/>
            <wp:effectExtent l="0" t="0" r="7620" b="6985"/>
            <wp:docPr id="1549106866" name="Imagen 2" descr="Interfaz de usuario gráfica, Aplicación, Sitio web&#10;&#10;El contenido generado por IA puede ser incorrecto.">
              <a:hlinkClick xmlns:a="http://schemas.openxmlformats.org/drawingml/2006/main" r:id="rId1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49106866" name="Imagen 2" descr="Interfaz de usuario gráfica, Aplicación, Sitio web&#10;&#10;El contenido generado por IA puede ser incorrecto.">
                      <a:hlinkClick r:id="rId15"/>
                    </pic:cNvPr>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5485528" cy="2912674"/>
                    </a:xfrm>
                    <a:prstGeom prst="rect">
                      <a:avLst/>
                    </a:prstGeom>
                    <a:noFill/>
                    <a:ln>
                      <a:noFill/>
                    </a:ln>
                  </pic:spPr>
                </pic:pic>
              </a:graphicData>
            </a:graphic>
          </wp:inline>
        </w:drawing>
      </w:r>
    </w:p>
    <w:p w14:paraId="00000021" w14:textId="77777777" w:rsidR="007220B8" w:rsidRDefault="00000000">
      <w:pPr>
        <w:pBdr>
          <w:top w:val="nil"/>
          <w:left w:val="nil"/>
          <w:bottom w:val="nil"/>
          <w:right w:val="nil"/>
          <w:between w:val="nil"/>
        </w:pBdr>
        <w:spacing w:line="276" w:lineRule="auto"/>
        <w:jc w:val="both"/>
        <w:rPr>
          <w:rFonts w:ascii="Open Sans Light" w:eastAsia="Open Sans Light" w:hAnsi="Open Sans Light" w:cs="Open Sans Light"/>
          <w:b/>
          <w:color w:val="303AB2"/>
          <w:sz w:val="26"/>
          <w:szCs w:val="26"/>
        </w:rPr>
      </w:pPr>
      <w:r>
        <w:rPr>
          <w:rFonts w:ascii="Open Sans Light" w:eastAsia="Open Sans Light" w:hAnsi="Open Sans Light" w:cs="Open Sans Light"/>
          <w:b/>
          <w:color w:val="303AB2"/>
          <w:sz w:val="26"/>
          <w:szCs w:val="26"/>
        </w:rPr>
        <w:lastRenderedPageBreak/>
        <w:t xml:space="preserve">El mercado inmobiliario tiende a la estabilización </w:t>
      </w:r>
    </w:p>
    <w:p w14:paraId="00000022" w14:textId="77777777" w:rsidR="007220B8" w:rsidRDefault="007220B8">
      <w:pPr>
        <w:pBdr>
          <w:top w:val="nil"/>
          <w:left w:val="nil"/>
          <w:bottom w:val="nil"/>
          <w:right w:val="nil"/>
          <w:between w:val="nil"/>
        </w:pBdr>
        <w:spacing w:line="276" w:lineRule="auto"/>
        <w:rPr>
          <w:rFonts w:ascii="Open Sans" w:eastAsia="Open Sans" w:hAnsi="Open Sans" w:cs="Open Sans"/>
        </w:rPr>
      </w:pPr>
    </w:p>
    <w:p w14:paraId="00000023" w14:textId="77777777" w:rsidR="007220B8" w:rsidRDefault="00000000">
      <w:pPr>
        <w:pBdr>
          <w:top w:val="nil"/>
          <w:left w:val="nil"/>
          <w:bottom w:val="nil"/>
          <w:right w:val="nil"/>
          <w:between w:val="nil"/>
        </w:pBdr>
        <w:spacing w:line="276" w:lineRule="auto"/>
        <w:jc w:val="both"/>
        <w:rPr>
          <w:rFonts w:ascii="Open Sans" w:eastAsia="Open Sans" w:hAnsi="Open Sans" w:cs="Open Sans"/>
        </w:rPr>
      </w:pPr>
      <w:r>
        <w:rPr>
          <w:rFonts w:ascii="Open Sans" w:eastAsia="Open Sans" w:hAnsi="Open Sans" w:cs="Open Sans"/>
        </w:rPr>
        <w:t xml:space="preserve">La participación de particulares en el mercado de la vivienda en el arranque de 2025 </w:t>
      </w:r>
      <w:r>
        <w:rPr>
          <w:rFonts w:ascii="Open Sans" w:eastAsia="Open Sans" w:hAnsi="Open Sans" w:cs="Open Sans"/>
          <w:b/>
        </w:rPr>
        <w:t>se mantiene en niveles muy similares a los registrados un año antes</w:t>
      </w:r>
      <w:r>
        <w:rPr>
          <w:rFonts w:ascii="Open Sans" w:eastAsia="Open Sans" w:hAnsi="Open Sans" w:cs="Open Sans"/>
        </w:rPr>
        <w:t xml:space="preserve">, aunque las tensiones provocadas por las subidas de precios en algunos territorios están forzando una leve, pero continuada, tendencia a la baja. Así, la participación de los españoles en el mercado inmobiliario se contrae hasta el 26% (un punto porcentual menos que el 27% de un año antes) de los mayores de 18 años que han llevado a cabo alguna acción inmobiliaria en los últimos doce meses (tanto desde la demanda como desde la oferta). </w:t>
      </w:r>
    </w:p>
    <w:p w14:paraId="00000024" w14:textId="77777777" w:rsidR="007220B8" w:rsidRDefault="007220B8">
      <w:pPr>
        <w:pBdr>
          <w:top w:val="nil"/>
          <w:left w:val="nil"/>
          <w:bottom w:val="nil"/>
          <w:right w:val="nil"/>
          <w:between w:val="nil"/>
        </w:pBdr>
        <w:spacing w:line="276" w:lineRule="auto"/>
        <w:jc w:val="both"/>
        <w:rPr>
          <w:rFonts w:ascii="Open Sans" w:eastAsia="Open Sans" w:hAnsi="Open Sans" w:cs="Open Sans"/>
        </w:rPr>
      </w:pPr>
    </w:p>
    <w:p w14:paraId="00000025" w14:textId="77777777" w:rsidR="007220B8" w:rsidRDefault="00000000">
      <w:pPr>
        <w:pBdr>
          <w:top w:val="nil"/>
          <w:left w:val="nil"/>
          <w:bottom w:val="nil"/>
          <w:right w:val="nil"/>
          <w:between w:val="nil"/>
        </w:pBdr>
        <w:spacing w:line="276" w:lineRule="auto"/>
        <w:jc w:val="center"/>
        <w:rPr>
          <w:rFonts w:ascii="Open Sans" w:eastAsia="Open Sans" w:hAnsi="Open Sans" w:cs="Open Sans"/>
        </w:rPr>
      </w:pPr>
      <w:r>
        <w:rPr>
          <w:noProof/>
        </w:rPr>
        <w:drawing>
          <wp:inline distT="0" distB="0" distL="0" distR="0" wp14:anchorId="45AA79A1" wp14:editId="2BED3599">
            <wp:extent cx="5623560" cy="2857500"/>
            <wp:effectExtent l="0" t="0" r="0" b="0"/>
            <wp:docPr id="2106180135" name="image3.png" descr="Gráfico, Gráfico de líneas&#10;&#10;El contenido generado por IA puede ser incorrecto."/>
            <wp:cNvGraphicFramePr/>
            <a:graphic xmlns:a="http://schemas.openxmlformats.org/drawingml/2006/main">
              <a:graphicData uri="http://schemas.openxmlformats.org/drawingml/2006/picture">
                <pic:pic xmlns:pic="http://schemas.openxmlformats.org/drawingml/2006/picture">
                  <pic:nvPicPr>
                    <pic:cNvPr id="0" name="image3.png" descr="Gráfico, Gráfico de líneas&#10;&#10;El contenido generado por IA puede ser incorrecto."/>
                    <pic:cNvPicPr preferRelativeResize="0"/>
                  </pic:nvPicPr>
                  <pic:blipFill>
                    <a:blip r:embed="rId17"/>
                    <a:srcRect/>
                    <a:stretch>
                      <a:fillRect/>
                    </a:stretch>
                  </pic:blipFill>
                  <pic:spPr>
                    <a:xfrm>
                      <a:off x="0" y="0"/>
                      <a:ext cx="5624150" cy="2857800"/>
                    </a:xfrm>
                    <a:prstGeom prst="rect">
                      <a:avLst/>
                    </a:prstGeom>
                    <a:ln/>
                  </pic:spPr>
                </pic:pic>
              </a:graphicData>
            </a:graphic>
          </wp:inline>
        </w:drawing>
      </w:r>
    </w:p>
    <w:p w14:paraId="46804A56" w14:textId="77777777" w:rsidR="00266C0F" w:rsidRDefault="00266C0F">
      <w:pPr>
        <w:pBdr>
          <w:top w:val="nil"/>
          <w:left w:val="nil"/>
          <w:bottom w:val="nil"/>
          <w:right w:val="nil"/>
          <w:between w:val="nil"/>
        </w:pBdr>
        <w:spacing w:line="276" w:lineRule="auto"/>
        <w:jc w:val="both"/>
        <w:rPr>
          <w:rFonts w:ascii="Open Sans" w:eastAsia="Open Sans" w:hAnsi="Open Sans" w:cs="Open Sans"/>
        </w:rPr>
      </w:pPr>
    </w:p>
    <w:p w14:paraId="00000026" w14:textId="63581DE8" w:rsidR="007220B8" w:rsidRDefault="00000000">
      <w:pPr>
        <w:pBdr>
          <w:top w:val="nil"/>
          <w:left w:val="nil"/>
          <w:bottom w:val="nil"/>
          <w:right w:val="nil"/>
          <w:between w:val="nil"/>
        </w:pBdr>
        <w:spacing w:line="276" w:lineRule="auto"/>
        <w:jc w:val="both"/>
        <w:rPr>
          <w:rFonts w:ascii="Open Sans" w:eastAsia="Open Sans" w:hAnsi="Open Sans" w:cs="Open Sans"/>
        </w:rPr>
      </w:pPr>
      <w:r>
        <w:rPr>
          <w:rFonts w:ascii="Open Sans" w:eastAsia="Open Sans" w:hAnsi="Open Sans" w:cs="Open Sans"/>
        </w:rPr>
        <w:t xml:space="preserve">Estos datos también pueden desglosarse en función de los mercados en los que están actuando ese 26% de españoles que actualmente están interactuando en el mercado inmobiliario. Así, </w:t>
      </w:r>
      <w:r>
        <w:rPr>
          <w:rFonts w:ascii="Open Sans" w:eastAsia="Open Sans" w:hAnsi="Open Sans" w:cs="Open Sans"/>
          <w:b/>
        </w:rPr>
        <w:t>el porcentaje de quienes han realizado una acción de oferta o de demanda en la compraventa</w:t>
      </w:r>
      <w:r>
        <w:rPr>
          <w:rFonts w:ascii="Open Sans" w:eastAsia="Open Sans" w:hAnsi="Open Sans" w:cs="Open Sans"/>
        </w:rPr>
        <w:t xml:space="preserve"> se sitúa en 2025 en el 15% frente al 16% de 2024. </w:t>
      </w:r>
    </w:p>
    <w:p w14:paraId="00000027" w14:textId="77777777" w:rsidR="007220B8" w:rsidRDefault="007220B8">
      <w:pPr>
        <w:pBdr>
          <w:top w:val="nil"/>
          <w:left w:val="nil"/>
          <w:bottom w:val="nil"/>
          <w:right w:val="nil"/>
          <w:between w:val="nil"/>
        </w:pBdr>
        <w:spacing w:line="276" w:lineRule="auto"/>
        <w:jc w:val="both"/>
        <w:rPr>
          <w:rFonts w:ascii="Open Sans" w:eastAsia="Open Sans" w:hAnsi="Open Sans" w:cs="Open Sans"/>
        </w:rPr>
      </w:pPr>
    </w:p>
    <w:p w14:paraId="00000028" w14:textId="77777777" w:rsidR="007220B8" w:rsidRDefault="00000000">
      <w:pPr>
        <w:spacing w:line="276" w:lineRule="auto"/>
        <w:ind w:right="4"/>
        <w:jc w:val="both"/>
        <w:rPr>
          <w:rFonts w:ascii="Open Sans" w:eastAsia="Open Sans" w:hAnsi="Open Sans" w:cs="Open Sans"/>
        </w:rPr>
      </w:pPr>
      <w:r>
        <w:rPr>
          <w:rFonts w:ascii="Open Sans" w:eastAsia="Open Sans" w:hAnsi="Open Sans" w:cs="Open Sans"/>
        </w:rPr>
        <w:t xml:space="preserve">En cuanto </w:t>
      </w:r>
      <w:r>
        <w:rPr>
          <w:rFonts w:ascii="Open Sans" w:eastAsia="Open Sans" w:hAnsi="Open Sans" w:cs="Open Sans"/>
          <w:b/>
        </w:rPr>
        <w:t>al mercado del alquiler</w:t>
      </w:r>
      <w:r>
        <w:rPr>
          <w:rFonts w:ascii="Open Sans" w:eastAsia="Open Sans" w:hAnsi="Open Sans" w:cs="Open Sans"/>
        </w:rPr>
        <w:t xml:space="preserve">, vemos el mismo comportamiento que en el mercado de compraventa: </w:t>
      </w:r>
      <w:r>
        <w:rPr>
          <w:rFonts w:ascii="Open Sans" w:eastAsia="Open Sans" w:hAnsi="Open Sans" w:cs="Open Sans"/>
          <w:b/>
        </w:rPr>
        <w:t xml:space="preserve">desciende un punto porcentual </w:t>
      </w:r>
      <w:r>
        <w:rPr>
          <w:rFonts w:ascii="Open Sans" w:eastAsia="Open Sans" w:hAnsi="Open Sans" w:cs="Open Sans"/>
        </w:rPr>
        <w:t xml:space="preserve">los españoles que interactúan en el mercado del alquiler al pasar del 14% de 2024 al 15% de 2025. </w:t>
      </w:r>
    </w:p>
    <w:p w14:paraId="00000029" w14:textId="77777777" w:rsidR="007220B8" w:rsidRDefault="007220B8">
      <w:pPr>
        <w:spacing w:line="276" w:lineRule="auto"/>
        <w:ind w:right="4"/>
        <w:jc w:val="both"/>
        <w:rPr>
          <w:rFonts w:ascii="Open Sans" w:eastAsia="Open Sans" w:hAnsi="Open Sans" w:cs="Open Sans"/>
        </w:rPr>
      </w:pPr>
    </w:p>
    <w:p w14:paraId="0000002A" w14:textId="77777777" w:rsidR="007220B8" w:rsidRDefault="00000000">
      <w:pPr>
        <w:spacing w:line="276" w:lineRule="auto"/>
        <w:ind w:right="4"/>
        <w:jc w:val="both"/>
        <w:rPr>
          <w:rFonts w:ascii="Open Sans" w:eastAsia="Open Sans" w:hAnsi="Open Sans" w:cs="Open Sans"/>
        </w:rPr>
      </w:pPr>
      <w:r>
        <w:rPr>
          <w:noProof/>
        </w:rPr>
        <w:lastRenderedPageBreak/>
        <w:drawing>
          <wp:inline distT="0" distB="0" distL="0" distR="0" wp14:anchorId="38090069" wp14:editId="4C619DB3">
            <wp:extent cx="5760720" cy="2858135"/>
            <wp:effectExtent l="0" t="0" r="0" b="0"/>
            <wp:docPr id="2106180134" name="image5.png" descr="Gráfico&#10;&#10;El contenido generado por IA puede ser incorrecto."/>
            <wp:cNvGraphicFramePr/>
            <a:graphic xmlns:a="http://schemas.openxmlformats.org/drawingml/2006/main">
              <a:graphicData uri="http://schemas.openxmlformats.org/drawingml/2006/picture">
                <pic:pic xmlns:pic="http://schemas.openxmlformats.org/drawingml/2006/picture">
                  <pic:nvPicPr>
                    <pic:cNvPr id="0" name="image5.png" descr="Gráfico&#10;&#10;El contenido generado por IA puede ser incorrecto."/>
                    <pic:cNvPicPr preferRelativeResize="0"/>
                  </pic:nvPicPr>
                  <pic:blipFill>
                    <a:blip r:embed="rId18"/>
                    <a:srcRect/>
                    <a:stretch>
                      <a:fillRect/>
                    </a:stretch>
                  </pic:blipFill>
                  <pic:spPr>
                    <a:xfrm>
                      <a:off x="0" y="0"/>
                      <a:ext cx="5760720" cy="2858135"/>
                    </a:xfrm>
                    <a:prstGeom prst="rect">
                      <a:avLst/>
                    </a:prstGeom>
                    <a:ln/>
                  </pic:spPr>
                </pic:pic>
              </a:graphicData>
            </a:graphic>
          </wp:inline>
        </w:drawing>
      </w:r>
    </w:p>
    <w:p w14:paraId="0000002B" w14:textId="77777777" w:rsidR="007220B8" w:rsidRDefault="007220B8">
      <w:pPr>
        <w:spacing w:line="276" w:lineRule="auto"/>
        <w:ind w:right="4"/>
        <w:jc w:val="both"/>
        <w:rPr>
          <w:rFonts w:ascii="Open Sans" w:eastAsia="Open Sans" w:hAnsi="Open Sans" w:cs="Open Sans"/>
        </w:rPr>
      </w:pPr>
    </w:p>
    <w:p w14:paraId="0000002C" w14:textId="77777777" w:rsidR="007220B8" w:rsidRDefault="007220B8">
      <w:pPr>
        <w:pBdr>
          <w:top w:val="nil"/>
          <w:left w:val="nil"/>
          <w:bottom w:val="nil"/>
          <w:right w:val="nil"/>
          <w:between w:val="nil"/>
        </w:pBdr>
        <w:spacing w:line="276" w:lineRule="auto"/>
        <w:jc w:val="both"/>
        <w:rPr>
          <w:rFonts w:ascii="Open Sans" w:eastAsia="Open Sans" w:hAnsi="Open Sans" w:cs="Open Sans"/>
        </w:rPr>
      </w:pPr>
    </w:p>
    <w:p w14:paraId="00000033" w14:textId="711AAEA2" w:rsidR="007220B8" w:rsidRDefault="00000000">
      <w:pPr>
        <w:spacing w:line="276" w:lineRule="auto"/>
        <w:jc w:val="right"/>
        <w:rPr>
          <w:rFonts w:ascii="Open Sans Light" w:eastAsia="Open Sans Light" w:hAnsi="Open Sans Light" w:cs="Open Sans Light"/>
          <w:b/>
          <w:color w:val="303AB2"/>
        </w:rPr>
      </w:pPr>
      <w:r>
        <w:rPr>
          <w:rFonts w:ascii="Open Sans Light" w:eastAsia="Open Sans Light" w:hAnsi="Open Sans Light" w:cs="Open Sans Light"/>
          <w:b/>
          <w:color w:val="303AB2"/>
        </w:rPr>
        <w:t>Sobre Fotocasa</w:t>
      </w:r>
    </w:p>
    <w:p w14:paraId="00000034" w14:textId="77777777" w:rsidR="007220B8" w:rsidRDefault="00000000">
      <w:pPr>
        <w:shd w:val="clear" w:color="auto" w:fill="FFFFFF"/>
        <w:spacing w:before="280" w:after="280" w:line="276" w:lineRule="auto"/>
        <w:jc w:val="both"/>
        <w:rPr>
          <w:rFonts w:ascii="Open Sans" w:eastAsia="Open Sans" w:hAnsi="Open Sans" w:cs="Open Sans"/>
          <w:sz w:val="22"/>
          <w:szCs w:val="22"/>
        </w:rPr>
      </w:pPr>
      <w:r>
        <w:rPr>
          <w:rFonts w:ascii="Open Sans" w:eastAsia="Open Sans" w:hAnsi="Open Sans" w:cs="Open Sans"/>
          <w:sz w:val="22"/>
          <w:szCs w:val="22"/>
        </w:rPr>
        <w:t>Portal inmobiliario que cuenta con inmuebles de segunda mano, promociones de obra nueva y viviendas de alquiler. Cada mes genera un tráfico de 34 millones de visitas (75% a través de dispositivos móviles). Mensualmente elabora el </w:t>
      </w:r>
      <w:hyperlink r:id="rId19">
        <w:r w:rsidR="007220B8">
          <w:rPr>
            <w:rFonts w:ascii="Open Sans" w:eastAsia="Open Sans" w:hAnsi="Open Sans" w:cs="Open Sans"/>
            <w:color w:val="0000FF"/>
            <w:sz w:val="22"/>
            <w:szCs w:val="22"/>
            <w:u w:val="single"/>
          </w:rPr>
          <w:t>índice inmobiliario Fotocasa</w:t>
        </w:r>
      </w:hyperlink>
      <w:r>
        <w:rPr>
          <w:rFonts w:ascii="Open Sans" w:eastAsia="Open Sans" w:hAnsi="Open Sans" w:cs="Open Sans"/>
          <w:sz w:val="22"/>
          <w:szCs w:val="22"/>
        </w:rPr>
        <w:t xml:space="preserve">, un informe de referencia sobre la evolución del precio medio de la vivienda en España, tanto en venta como en alquiler. </w:t>
      </w:r>
    </w:p>
    <w:p w14:paraId="00000035" w14:textId="77777777" w:rsidR="007220B8" w:rsidRDefault="00000000">
      <w:pPr>
        <w:shd w:val="clear" w:color="auto" w:fill="FFFFFF"/>
        <w:spacing w:before="280" w:after="280" w:line="276" w:lineRule="auto"/>
        <w:jc w:val="both"/>
        <w:rPr>
          <w:rFonts w:ascii="Open Sans" w:eastAsia="Open Sans" w:hAnsi="Open Sans" w:cs="Open Sans"/>
          <w:sz w:val="22"/>
          <w:szCs w:val="22"/>
        </w:rPr>
      </w:pPr>
      <w:r>
        <w:rPr>
          <w:rFonts w:ascii="Open Sans" w:eastAsia="Open Sans" w:hAnsi="Open Sans" w:cs="Open Sans"/>
          <w:sz w:val="22"/>
          <w:szCs w:val="22"/>
        </w:rPr>
        <w:t xml:space="preserve">Toda nuestra información la puedes encontrar en nuestra </w:t>
      </w:r>
      <w:hyperlink r:id="rId20">
        <w:r w:rsidR="007220B8">
          <w:rPr>
            <w:rFonts w:ascii="Open Sans" w:eastAsia="Open Sans" w:hAnsi="Open Sans" w:cs="Open Sans"/>
            <w:color w:val="0000FF"/>
            <w:sz w:val="22"/>
            <w:szCs w:val="22"/>
            <w:u w:val="single"/>
          </w:rPr>
          <w:t>Sala de Prensa</w:t>
        </w:r>
      </w:hyperlink>
      <w:r>
        <w:rPr>
          <w:rFonts w:ascii="Open Sans" w:eastAsia="Open Sans" w:hAnsi="Open Sans" w:cs="Open Sans"/>
          <w:sz w:val="22"/>
          <w:szCs w:val="22"/>
        </w:rPr>
        <w:t xml:space="preserve">. </w:t>
      </w:r>
    </w:p>
    <w:bookmarkStart w:id="0" w:name="_heading=h.2s8eyo1" w:colFirst="0" w:colLast="0"/>
    <w:bookmarkEnd w:id="0"/>
    <w:p w14:paraId="00000036" w14:textId="77777777" w:rsidR="007220B8" w:rsidRDefault="00000000">
      <w:pPr>
        <w:shd w:val="clear" w:color="auto" w:fill="FFFFFF"/>
        <w:spacing w:before="280" w:after="280" w:line="276" w:lineRule="auto"/>
        <w:jc w:val="both"/>
        <w:rPr>
          <w:rFonts w:ascii="Open Sans" w:eastAsia="Open Sans" w:hAnsi="Open Sans" w:cs="Open Sans"/>
          <w:sz w:val="22"/>
          <w:szCs w:val="22"/>
        </w:rPr>
      </w:pPr>
      <w:r>
        <w:fldChar w:fldCharType="begin"/>
      </w:r>
      <w:r>
        <w:instrText>HYPERLINK "https://www.fotocasa.es/es/quienes-somos/" \h</w:instrText>
      </w:r>
      <w:r>
        <w:fldChar w:fldCharType="separate"/>
      </w:r>
      <w:r>
        <w:rPr>
          <w:rFonts w:ascii="Open Sans" w:eastAsia="Open Sans" w:hAnsi="Open Sans" w:cs="Open Sans"/>
          <w:color w:val="0000FF"/>
          <w:sz w:val="22"/>
          <w:szCs w:val="22"/>
          <w:u w:val="single"/>
        </w:rPr>
        <w:t>Más información sobre Fotocasa</w:t>
      </w:r>
      <w:r>
        <w:fldChar w:fldCharType="end"/>
      </w:r>
      <w:r>
        <w:rPr>
          <w:rFonts w:ascii="Open Sans" w:eastAsia="Open Sans" w:hAnsi="Open Sans" w:cs="Open Sans"/>
          <w:sz w:val="22"/>
          <w:szCs w:val="22"/>
        </w:rPr>
        <w:t xml:space="preserve">. </w:t>
      </w:r>
    </w:p>
    <w:p w14:paraId="00000037" w14:textId="77777777" w:rsidR="007220B8" w:rsidRDefault="00000000">
      <w:pPr>
        <w:spacing w:line="276" w:lineRule="auto"/>
        <w:jc w:val="right"/>
        <w:rPr>
          <w:rFonts w:ascii="Open Sans Light" w:eastAsia="Open Sans Light" w:hAnsi="Open Sans Light" w:cs="Open Sans Light"/>
          <w:b/>
          <w:color w:val="303AB2"/>
        </w:rPr>
      </w:pPr>
      <w:r>
        <w:rPr>
          <w:rFonts w:ascii="Open Sans Light" w:eastAsia="Open Sans Light" w:hAnsi="Open Sans Light" w:cs="Open Sans Light"/>
          <w:b/>
          <w:color w:val="303AB2"/>
        </w:rPr>
        <w:t xml:space="preserve">Sobre </w:t>
      </w:r>
      <w:proofErr w:type="spellStart"/>
      <w:r>
        <w:rPr>
          <w:rFonts w:ascii="Open Sans Light" w:eastAsia="Open Sans Light" w:hAnsi="Open Sans Light" w:cs="Open Sans Light"/>
          <w:b/>
          <w:color w:val="303AB2"/>
        </w:rPr>
        <w:t>Adevinta</w:t>
      </w:r>
      <w:proofErr w:type="spellEnd"/>
    </w:p>
    <w:p w14:paraId="00000038" w14:textId="77777777" w:rsidR="007220B8" w:rsidRDefault="00000000">
      <w:pPr>
        <w:spacing w:before="143" w:after="200"/>
        <w:jc w:val="both"/>
        <w:rPr>
          <w:rFonts w:ascii="Open Sans" w:eastAsia="Open Sans" w:hAnsi="Open Sans" w:cs="Open Sans"/>
        </w:rPr>
      </w:pPr>
      <w:proofErr w:type="spellStart"/>
      <w:r>
        <w:rPr>
          <w:rFonts w:ascii="Open Sans" w:eastAsia="Open Sans" w:hAnsi="Open Sans" w:cs="Open Sans"/>
          <w:sz w:val="22"/>
          <w:szCs w:val="22"/>
        </w:rPr>
        <w:t>Adevinta</w:t>
      </w:r>
      <w:proofErr w:type="spellEnd"/>
      <w:r>
        <w:rPr>
          <w:rFonts w:ascii="Open Sans" w:eastAsia="Open Sans" w:hAnsi="Open Sans" w:cs="Open Sans"/>
          <w:sz w:val="22"/>
          <w:szCs w:val="22"/>
        </w:rPr>
        <w:t xml:space="preserve"> es un grupo de empresas líder en </w:t>
      </w:r>
      <w:proofErr w:type="spellStart"/>
      <w:r>
        <w:rPr>
          <w:rFonts w:ascii="Open Sans" w:eastAsia="Open Sans" w:hAnsi="Open Sans" w:cs="Open Sans"/>
          <w:sz w:val="22"/>
          <w:szCs w:val="22"/>
        </w:rPr>
        <w:t>marketplaces</w:t>
      </w:r>
      <w:proofErr w:type="spellEnd"/>
      <w:r>
        <w:rPr>
          <w:rFonts w:ascii="Open Sans" w:eastAsia="Open Sans" w:hAnsi="Open Sans" w:cs="Open Sans"/>
          <w:sz w:val="22"/>
          <w:szCs w:val="22"/>
        </w:rPr>
        <w:t xml:space="preserve"> digitales y una de las principales empresas del sector tecnológico del país, con más de 18 millones de usuarios únicos al mes en sus plataformas de los sectores inmobiliario (</w:t>
      </w:r>
      <w:hyperlink r:id="rId21">
        <w:r w:rsidR="007220B8">
          <w:rPr>
            <w:rFonts w:ascii="Open Sans" w:eastAsia="Open Sans" w:hAnsi="Open Sans" w:cs="Open Sans"/>
            <w:color w:val="1155CC"/>
            <w:sz w:val="22"/>
            <w:szCs w:val="22"/>
            <w:u w:val="single"/>
          </w:rPr>
          <w:t>Fotocasa</w:t>
        </w:r>
      </w:hyperlink>
      <w:r>
        <w:rPr>
          <w:rFonts w:ascii="Open Sans" w:eastAsia="Open Sans" w:hAnsi="Open Sans" w:cs="Open Sans"/>
          <w:color w:val="231F20"/>
          <w:sz w:val="22"/>
          <w:szCs w:val="22"/>
        </w:rPr>
        <w:t xml:space="preserve"> </w:t>
      </w:r>
      <w:r>
        <w:rPr>
          <w:rFonts w:ascii="Open Sans" w:eastAsia="Open Sans" w:hAnsi="Open Sans" w:cs="Open Sans"/>
          <w:sz w:val="22"/>
          <w:szCs w:val="22"/>
        </w:rPr>
        <w:t>y</w:t>
      </w:r>
      <w:r>
        <w:rPr>
          <w:rFonts w:ascii="Open Sans" w:eastAsia="Open Sans" w:hAnsi="Open Sans" w:cs="Open Sans"/>
          <w:color w:val="231F20"/>
          <w:sz w:val="22"/>
          <w:szCs w:val="22"/>
        </w:rPr>
        <w:t xml:space="preserve"> </w:t>
      </w:r>
      <w:hyperlink r:id="rId22">
        <w:proofErr w:type="spellStart"/>
        <w:r w:rsidR="007220B8">
          <w:rPr>
            <w:rFonts w:ascii="Open Sans" w:eastAsia="Open Sans" w:hAnsi="Open Sans" w:cs="Open Sans"/>
            <w:color w:val="1155CC"/>
            <w:sz w:val="22"/>
            <w:szCs w:val="22"/>
            <w:u w:val="single"/>
          </w:rPr>
          <w:t>habitaclia</w:t>
        </w:r>
        <w:proofErr w:type="spellEnd"/>
      </w:hyperlink>
      <w:r>
        <w:rPr>
          <w:rFonts w:ascii="Open Sans" w:eastAsia="Open Sans" w:hAnsi="Open Sans" w:cs="Open Sans"/>
          <w:sz w:val="22"/>
          <w:szCs w:val="22"/>
        </w:rPr>
        <w:t>), empleo (</w:t>
      </w:r>
      <w:hyperlink r:id="rId23">
        <w:r w:rsidR="007220B8">
          <w:rPr>
            <w:rFonts w:ascii="Open Sans" w:eastAsia="Open Sans" w:hAnsi="Open Sans" w:cs="Open Sans"/>
            <w:color w:val="1155CC"/>
            <w:sz w:val="22"/>
            <w:szCs w:val="22"/>
            <w:u w:val="single"/>
          </w:rPr>
          <w:t>InfoJobs</w:t>
        </w:r>
      </w:hyperlink>
      <w:r>
        <w:rPr>
          <w:rFonts w:ascii="Open Sans" w:eastAsia="Open Sans" w:hAnsi="Open Sans" w:cs="Open Sans"/>
          <w:sz w:val="22"/>
          <w:szCs w:val="22"/>
        </w:rPr>
        <w:t>), motor (</w:t>
      </w:r>
      <w:hyperlink r:id="rId24">
        <w:r w:rsidR="007220B8">
          <w:rPr>
            <w:rFonts w:ascii="Open Sans" w:eastAsia="Open Sans" w:hAnsi="Open Sans" w:cs="Open Sans"/>
            <w:color w:val="1155CC"/>
            <w:sz w:val="22"/>
            <w:szCs w:val="22"/>
            <w:u w:val="single"/>
          </w:rPr>
          <w:t>coches.net</w:t>
        </w:r>
      </w:hyperlink>
      <w:r>
        <w:rPr>
          <w:rFonts w:ascii="Open Sans" w:eastAsia="Open Sans" w:hAnsi="Open Sans" w:cs="Open Sans"/>
          <w:color w:val="231F20"/>
          <w:sz w:val="22"/>
          <w:szCs w:val="22"/>
        </w:rPr>
        <w:t xml:space="preserve"> </w:t>
      </w:r>
      <w:r>
        <w:rPr>
          <w:rFonts w:ascii="Open Sans" w:eastAsia="Open Sans" w:hAnsi="Open Sans" w:cs="Open Sans"/>
          <w:sz w:val="22"/>
          <w:szCs w:val="22"/>
        </w:rPr>
        <w:t>y</w:t>
      </w:r>
      <w:r>
        <w:rPr>
          <w:rFonts w:ascii="Open Sans" w:eastAsia="Open Sans" w:hAnsi="Open Sans" w:cs="Open Sans"/>
          <w:color w:val="231F20"/>
          <w:sz w:val="22"/>
          <w:szCs w:val="22"/>
        </w:rPr>
        <w:t xml:space="preserve"> </w:t>
      </w:r>
      <w:hyperlink r:id="rId25">
        <w:r w:rsidR="007220B8">
          <w:rPr>
            <w:rFonts w:ascii="Open Sans" w:eastAsia="Open Sans" w:hAnsi="Open Sans" w:cs="Open Sans"/>
            <w:color w:val="1155CC"/>
            <w:sz w:val="22"/>
            <w:szCs w:val="22"/>
            <w:u w:val="single"/>
          </w:rPr>
          <w:t>motos.net</w:t>
        </w:r>
      </w:hyperlink>
      <w:r>
        <w:rPr>
          <w:rFonts w:ascii="Open Sans" w:eastAsia="Open Sans" w:hAnsi="Open Sans" w:cs="Open Sans"/>
          <w:sz w:val="22"/>
          <w:szCs w:val="22"/>
        </w:rPr>
        <w:t>) y compraventa de artículos de segunda mano (</w:t>
      </w:r>
      <w:proofErr w:type="spellStart"/>
      <w:r>
        <w:fldChar w:fldCharType="begin"/>
      </w:r>
      <w:r>
        <w:instrText>HYPERLINK "https://www.milanuncios.com/" \h</w:instrText>
      </w:r>
      <w:r>
        <w:fldChar w:fldCharType="separate"/>
      </w:r>
      <w:r>
        <w:rPr>
          <w:rFonts w:ascii="Open Sans" w:eastAsia="Open Sans" w:hAnsi="Open Sans" w:cs="Open Sans"/>
          <w:color w:val="1155CC"/>
          <w:sz w:val="22"/>
          <w:szCs w:val="22"/>
          <w:u w:val="single"/>
        </w:rPr>
        <w:t>Milanuncios</w:t>
      </w:r>
      <w:proofErr w:type="spellEnd"/>
      <w:r>
        <w:fldChar w:fldCharType="end"/>
      </w:r>
      <w:r>
        <w:rPr>
          <w:rFonts w:ascii="Open Sans" w:eastAsia="Open Sans" w:hAnsi="Open Sans" w:cs="Open Sans"/>
          <w:sz w:val="22"/>
          <w:szCs w:val="22"/>
        </w:rPr>
        <w:t>).</w:t>
      </w:r>
    </w:p>
    <w:p w14:paraId="00000039" w14:textId="77777777" w:rsidR="007220B8" w:rsidRDefault="00000000">
      <w:pPr>
        <w:spacing w:before="143" w:after="200"/>
        <w:jc w:val="both"/>
        <w:rPr>
          <w:rFonts w:ascii="Open Sans" w:eastAsia="Open Sans" w:hAnsi="Open Sans" w:cs="Open Sans"/>
          <w:sz w:val="22"/>
          <w:szCs w:val="22"/>
        </w:rPr>
      </w:pPr>
      <w:r>
        <w:rPr>
          <w:rFonts w:ascii="Open Sans" w:eastAsia="Open Sans" w:hAnsi="Open Sans" w:cs="Open Sans"/>
          <w:sz w:val="22"/>
          <w:szCs w:val="22"/>
        </w:rPr>
        <w:t xml:space="preserve">Los negocios de </w:t>
      </w:r>
      <w:proofErr w:type="spellStart"/>
      <w:r>
        <w:rPr>
          <w:rFonts w:ascii="Open Sans" w:eastAsia="Open Sans" w:hAnsi="Open Sans" w:cs="Open Sans"/>
          <w:sz w:val="22"/>
          <w:szCs w:val="22"/>
        </w:rPr>
        <w:t>Adevinta</w:t>
      </w:r>
      <w:proofErr w:type="spellEnd"/>
      <w:r>
        <w:rPr>
          <w:rFonts w:ascii="Open Sans" w:eastAsia="Open Sans" w:hAnsi="Open Sans" w:cs="Open Sans"/>
          <w:sz w:val="22"/>
          <w:szCs w:val="22"/>
        </w:rPr>
        <w:t xml:space="preserve"> han evolucionado del papel al online a lo largo de más de 40 años de trayectoria en España, convirtiéndose en referentes de Internet. Con sede en Barcelona, la compañía cuenta con una plantilla de más de 1.000 personas comprometidas con fomentar un cambio positivo en el mundo a través de tecnología innovadora, otorgando una nueva oportunidad a quienes la están buscando y dando a las cosas una segunda vida.</w:t>
      </w:r>
    </w:p>
    <w:p w14:paraId="0000003A" w14:textId="77777777" w:rsidR="007220B8" w:rsidRDefault="00000000">
      <w:pPr>
        <w:spacing w:before="143" w:after="200"/>
        <w:jc w:val="both"/>
        <w:rPr>
          <w:rFonts w:ascii="Open Sans" w:eastAsia="Open Sans" w:hAnsi="Open Sans" w:cs="Open Sans"/>
          <w:sz w:val="22"/>
          <w:szCs w:val="22"/>
        </w:rPr>
      </w:pPr>
      <w:proofErr w:type="spellStart"/>
      <w:r>
        <w:rPr>
          <w:rFonts w:ascii="Open Sans" w:eastAsia="Open Sans" w:hAnsi="Open Sans" w:cs="Open Sans"/>
          <w:sz w:val="22"/>
          <w:szCs w:val="22"/>
        </w:rPr>
        <w:lastRenderedPageBreak/>
        <w:t>Adevinta</w:t>
      </w:r>
      <w:proofErr w:type="spellEnd"/>
      <w:r>
        <w:rPr>
          <w:rFonts w:ascii="Open Sans" w:eastAsia="Open Sans" w:hAnsi="Open Sans" w:cs="Open Sans"/>
          <w:sz w:val="22"/>
          <w:szCs w:val="22"/>
        </w:rPr>
        <w:t xml:space="preserve"> tiene presencia mundial en 10 países. El conjunto de sus plataformas locales recibe un promedio de 2.500 millones de visitas cada mes. </w:t>
      </w:r>
    </w:p>
    <w:p w14:paraId="0000003B" w14:textId="77777777" w:rsidR="007220B8" w:rsidRDefault="00000000">
      <w:pPr>
        <w:spacing w:before="143" w:after="200"/>
        <w:jc w:val="both"/>
      </w:pPr>
      <w:r>
        <w:rPr>
          <w:rFonts w:ascii="Open Sans" w:eastAsia="Open Sans" w:hAnsi="Open Sans" w:cs="Open Sans"/>
          <w:sz w:val="22"/>
          <w:szCs w:val="22"/>
        </w:rPr>
        <w:t xml:space="preserve">Más información en </w:t>
      </w:r>
      <w:hyperlink r:id="rId26">
        <w:r w:rsidR="007220B8">
          <w:rPr>
            <w:rFonts w:ascii="Open Sans" w:eastAsia="Open Sans" w:hAnsi="Open Sans" w:cs="Open Sans"/>
            <w:color w:val="1155CC"/>
            <w:sz w:val="22"/>
            <w:szCs w:val="22"/>
            <w:u w:val="single"/>
          </w:rPr>
          <w:t>adevinta.es</w:t>
        </w:r>
      </w:hyperlink>
    </w:p>
    <w:p w14:paraId="0000003C" w14:textId="77777777" w:rsidR="007220B8" w:rsidRDefault="007220B8">
      <w:pPr>
        <w:spacing w:before="143" w:after="200"/>
        <w:jc w:val="both"/>
        <w:rPr>
          <w:rFonts w:ascii="Open Sans" w:eastAsia="Open Sans" w:hAnsi="Open Sans" w:cs="Open Sans"/>
        </w:rPr>
      </w:pPr>
    </w:p>
    <w:p w14:paraId="0000003D" w14:textId="77777777" w:rsidR="007220B8" w:rsidRDefault="00000000">
      <w:pPr>
        <w:spacing w:line="276" w:lineRule="auto"/>
        <w:rPr>
          <w:rFonts w:ascii="Open Sans Light" w:eastAsia="Open Sans Light" w:hAnsi="Open Sans Light" w:cs="Open Sans Light"/>
          <w:b/>
          <w:color w:val="303AB2"/>
          <w:sz w:val="22"/>
          <w:szCs w:val="22"/>
        </w:rPr>
      </w:pPr>
      <w:r>
        <w:rPr>
          <w:rFonts w:ascii="Open Sans Light" w:eastAsia="Open Sans Light" w:hAnsi="Open Sans Light" w:cs="Open Sans Light"/>
          <w:b/>
          <w:color w:val="303AB2"/>
          <w:sz w:val="22"/>
          <w:szCs w:val="22"/>
        </w:rPr>
        <w:t>Departamento Comunicación Fotocasa</w:t>
      </w:r>
    </w:p>
    <w:p w14:paraId="0000003E" w14:textId="77777777" w:rsidR="007220B8" w:rsidRDefault="00000000">
      <w:pPr>
        <w:shd w:val="clear" w:color="auto" w:fill="FFFFFF"/>
        <w:spacing w:line="276" w:lineRule="auto"/>
        <w:rPr>
          <w:rFonts w:ascii="Open Sans" w:eastAsia="Open Sans" w:hAnsi="Open Sans" w:cs="Open Sans"/>
          <w:b/>
          <w:color w:val="000000"/>
          <w:sz w:val="22"/>
          <w:szCs w:val="22"/>
        </w:rPr>
      </w:pPr>
      <w:r>
        <w:rPr>
          <w:rFonts w:ascii="Open Sans" w:eastAsia="Open Sans" w:hAnsi="Open Sans" w:cs="Open Sans"/>
          <w:b/>
          <w:color w:val="000000"/>
          <w:sz w:val="22"/>
          <w:szCs w:val="22"/>
        </w:rPr>
        <w:t>Anaïs López</w:t>
      </w:r>
    </w:p>
    <w:p w14:paraId="0000003F" w14:textId="77777777" w:rsidR="007220B8" w:rsidRDefault="007220B8">
      <w:pPr>
        <w:shd w:val="clear" w:color="auto" w:fill="FFFFFF"/>
        <w:spacing w:line="276" w:lineRule="auto"/>
        <w:rPr>
          <w:rFonts w:ascii="Open Sans" w:eastAsia="Open Sans" w:hAnsi="Open Sans" w:cs="Open Sans"/>
          <w:color w:val="0000FF"/>
          <w:sz w:val="22"/>
          <w:szCs w:val="22"/>
          <w:u w:val="single"/>
        </w:rPr>
      </w:pPr>
      <w:hyperlink r:id="rId27">
        <w:r>
          <w:rPr>
            <w:rFonts w:ascii="Open Sans" w:eastAsia="Open Sans" w:hAnsi="Open Sans" w:cs="Open Sans"/>
            <w:color w:val="0000FF"/>
            <w:sz w:val="22"/>
            <w:szCs w:val="22"/>
            <w:u w:val="single"/>
          </w:rPr>
          <w:t>comunicacion@fotocasa.es</w:t>
        </w:r>
      </w:hyperlink>
    </w:p>
    <w:p w14:paraId="00000040" w14:textId="77777777" w:rsidR="007220B8" w:rsidRDefault="00000000">
      <w:pPr>
        <w:shd w:val="clear" w:color="auto" w:fill="FFFFFF"/>
        <w:spacing w:line="276" w:lineRule="auto"/>
        <w:rPr>
          <w:rFonts w:ascii="Open Sans" w:eastAsia="Open Sans" w:hAnsi="Open Sans" w:cs="Open Sans"/>
          <w:color w:val="000000"/>
          <w:sz w:val="22"/>
          <w:szCs w:val="22"/>
        </w:rPr>
      </w:pPr>
      <w:r>
        <w:rPr>
          <w:rFonts w:ascii="Open Sans" w:eastAsia="Open Sans" w:hAnsi="Open Sans" w:cs="Open Sans"/>
          <w:color w:val="000000"/>
          <w:sz w:val="22"/>
          <w:szCs w:val="22"/>
        </w:rPr>
        <w:t>620 66 29 26</w:t>
      </w:r>
    </w:p>
    <w:sectPr w:rsidR="007220B8">
      <w:footerReference w:type="default" r:id="rId28"/>
      <w:pgSz w:w="11900" w:h="16840"/>
      <w:pgMar w:top="1417" w:right="1127" w:bottom="1417" w:left="1701" w:header="708"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E435187" w14:textId="77777777" w:rsidR="005244E3" w:rsidRDefault="005244E3">
      <w:r>
        <w:separator/>
      </w:r>
    </w:p>
  </w:endnote>
  <w:endnote w:type="continuationSeparator" w:id="0">
    <w:p w14:paraId="28D1B33A" w14:textId="77777777" w:rsidR="005244E3" w:rsidRDefault="005244E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Noto Sans Symbols">
    <w:charset w:val="00"/>
    <w:family w:val="auto"/>
    <w:pitch w:val="default"/>
    <w:embedRegular r:id="rId1" w:fontKey="{E09F4C45-36E0-4440-8EA1-75964F4C1242}"/>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embedRegular r:id="rId2" w:fontKey="{9FBA3586-EA0D-42F6-BCB1-A44DD549F4A2}"/>
    <w:embedBold r:id="rId3" w:fontKey="{A834E39B-0418-4F66-AE63-87BAFD850B93}"/>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embedRegular r:id="rId4" w:fontKey="{A6E25E5B-EA83-4B23-B803-D9910F65A4AD}"/>
    <w:embedItalic r:id="rId5" w:fontKey="{42B06742-B559-4330-88F1-93C5F8E550B8}"/>
  </w:font>
  <w:font w:name="Cambria">
    <w:panose1 w:val="02040503050406030204"/>
    <w:charset w:val="00"/>
    <w:family w:val="roman"/>
    <w:pitch w:val="variable"/>
    <w:sig w:usb0="E00006FF" w:usb1="420024FF" w:usb2="02000000" w:usb3="00000000" w:csb0="0000019F" w:csb1="00000000"/>
    <w:embedRegular r:id="rId6" w:fontKey="{7D101D05-0BE4-47C3-861F-D2BFC5982A23}"/>
  </w:font>
  <w:font w:name="National">
    <w:altName w:val="Calibri"/>
    <w:charset w:val="00"/>
    <w:family w:val="auto"/>
    <w:pitch w:val="default"/>
  </w:font>
  <w:font w:name="Open Sans">
    <w:charset w:val="00"/>
    <w:family w:val="swiss"/>
    <w:pitch w:val="variable"/>
    <w:sig w:usb0="E00002EF" w:usb1="4000205B" w:usb2="00000028" w:usb3="00000000" w:csb0="0000019F" w:csb1="00000000"/>
    <w:embedRegular r:id="rId7" w:fontKey="{C83F87D8-9567-4675-984A-111F5558FD45}"/>
    <w:embedBold r:id="rId8" w:fontKey="{4D7B815D-807A-4A3B-B7AE-333080643382}"/>
    <w:embedBoldItalic r:id="rId9" w:fontKey="{37B3A5D7-4ED4-48F8-BD6F-27269D5320AA}"/>
  </w:font>
  <w:font w:name="Open Sans Light">
    <w:charset w:val="00"/>
    <w:family w:val="swiss"/>
    <w:pitch w:val="variable"/>
    <w:sig w:usb0="E00002EF" w:usb1="4000205B" w:usb2="00000028" w:usb3="00000000" w:csb0="0000019F" w:csb1="00000000"/>
    <w:embedRegular r:id="rId10" w:fontKey="{A879A7D4-3198-4624-9D4B-00DDF7CAFF5D}"/>
    <w:embedBold r:id="rId11" w:fontKey="{F84561F1-23AC-410E-9539-1CF7EB2EAFF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000041" w14:textId="77777777" w:rsidR="007220B8" w:rsidRDefault="00000000">
    <w:pPr>
      <w:pBdr>
        <w:top w:val="nil"/>
        <w:left w:val="nil"/>
        <w:bottom w:val="nil"/>
        <w:right w:val="nil"/>
        <w:between w:val="nil"/>
      </w:pBdr>
      <w:tabs>
        <w:tab w:val="center" w:pos="4252"/>
        <w:tab w:val="right" w:pos="8504"/>
      </w:tabs>
      <w:rPr>
        <w:color w:val="000000"/>
      </w:rPr>
    </w:pPr>
    <w:r>
      <w:rPr>
        <w:noProof/>
      </w:rPr>
      <w:drawing>
        <wp:anchor distT="0" distB="0" distL="0" distR="0" simplePos="0" relativeHeight="251658240" behindDoc="1" locked="0" layoutInCell="1" hidden="0" allowOverlap="1" wp14:anchorId="53AA4E68" wp14:editId="478ECC70">
          <wp:simplePos x="0" y="0"/>
          <wp:positionH relativeFrom="column">
            <wp:posOffset>-1068040</wp:posOffset>
          </wp:positionH>
          <wp:positionV relativeFrom="paragraph">
            <wp:posOffset>174608</wp:posOffset>
          </wp:positionV>
          <wp:extent cx="7670550" cy="451315"/>
          <wp:effectExtent l="0" t="0" r="0" b="0"/>
          <wp:wrapNone/>
          <wp:docPr id="2106180130"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7670550" cy="451315"/>
                  </a:xfrm>
                  <a:prstGeom prst="rect">
                    <a:avLst/>
                  </a:prstGeom>
                  <a:ln/>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B5FB37A" w14:textId="77777777" w:rsidR="005244E3" w:rsidRDefault="005244E3">
      <w:r>
        <w:separator/>
      </w:r>
    </w:p>
  </w:footnote>
  <w:footnote w:type="continuationSeparator" w:id="0">
    <w:p w14:paraId="2CEE740D" w14:textId="77777777" w:rsidR="005244E3" w:rsidRDefault="005244E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44B3271"/>
    <w:multiLevelType w:val="multilevel"/>
    <w:tmpl w:val="D078161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16cid:durableId="90637536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TrueTypeFonts/>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220B8"/>
    <w:rsid w:val="00046FB3"/>
    <w:rsid w:val="00266C0F"/>
    <w:rsid w:val="002B564E"/>
    <w:rsid w:val="003E22FE"/>
    <w:rsid w:val="00410B9E"/>
    <w:rsid w:val="005244E3"/>
    <w:rsid w:val="007220B8"/>
    <w:rsid w:val="00A27970"/>
    <w:rsid w:val="00A455BF"/>
    <w:rsid w:val="00A84757"/>
    <w:rsid w:val="00CC730E"/>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E488CA"/>
  <w15:docId w15:val="{E35B7AF0-BB0B-4F56-A479-1557B5F355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Calibri"/>
        <w:sz w:val="24"/>
        <w:szCs w:val="24"/>
        <w:lang w:val="es-ES_tradnl" w:eastAsia="es-E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uiPriority w:val="9"/>
    <w:qFormat/>
    <w:pPr>
      <w:keepNext/>
      <w:keepLines/>
      <w:spacing w:before="480" w:after="120"/>
      <w:outlineLvl w:val="0"/>
    </w:pPr>
    <w:rPr>
      <w:b/>
      <w:sz w:val="48"/>
      <w:szCs w:val="48"/>
    </w:rPr>
  </w:style>
  <w:style w:type="paragraph" w:styleId="Ttulo2">
    <w:name w:val="heading 2"/>
    <w:basedOn w:val="Normal"/>
    <w:next w:val="Normal"/>
    <w:uiPriority w:val="9"/>
    <w:semiHidden/>
    <w:unhideWhenUsed/>
    <w:qFormat/>
    <w:pPr>
      <w:keepNext/>
      <w:keepLines/>
      <w:spacing w:before="360" w:after="80"/>
      <w:outlineLvl w:val="1"/>
    </w:pPr>
    <w:rPr>
      <w:b/>
      <w:sz w:val="36"/>
      <w:szCs w:val="36"/>
    </w:rPr>
  </w:style>
  <w:style w:type="paragraph" w:styleId="Ttulo3">
    <w:name w:val="heading 3"/>
    <w:basedOn w:val="Normal"/>
    <w:next w:val="Normal"/>
    <w:uiPriority w:val="9"/>
    <w:semiHidden/>
    <w:unhideWhenUsed/>
    <w:qFormat/>
    <w:pPr>
      <w:keepNext/>
      <w:keepLines/>
      <w:spacing w:before="280" w:after="80"/>
      <w:outlineLvl w:val="2"/>
    </w:pPr>
    <w:rPr>
      <w:b/>
      <w:sz w:val="28"/>
      <w:szCs w:val="28"/>
    </w:rPr>
  </w:style>
  <w:style w:type="paragraph" w:styleId="Ttulo4">
    <w:name w:val="heading 4"/>
    <w:basedOn w:val="Normal"/>
    <w:next w:val="Normal"/>
    <w:uiPriority w:val="9"/>
    <w:semiHidden/>
    <w:unhideWhenUsed/>
    <w:qFormat/>
    <w:pPr>
      <w:keepNext/>
      <w:keepLines/>
      <w:spacing w:before="240" w:after="40"/>
      <w:outlineLvl w:val="3"/>
    </w:pPr>
    <w:rPr>
      <w:b/>
    </w:rPr>
  </w:style>
  <w:style w:type="paragraph" w:styleId="Ttulo5">
    <w:name w:val="heading 5"/>
    <w:basedOn w:val="Normal"/>
    <w:next w:val="Normal"/>
    <w:uiPriority w:val="9"/>
    <w:semiHidden/>
    <w:unhideWhenUsed/>
    <w:qFormat/>
    <w:pPr>
      <w:keepNext/>
      <w:keepLines/>
      <w:spacing w:before="220" w:after="40"/>
      <w:outlineLvl w:val="4"/>
    </w:pPr>
    <w:rPr>
      <w:b/>
      <w:sz w:val="22"/>
      <w:szCs w:val="22"/>
    </w:rPr>
  </w:style>
  <w:style w:type="paragraph" w:styleId="Ttulo6">
    <w:name w:val="heading 6"/>
    <w:basedOn w:val="Normal"/>
    <w:next w:val="Normal"/>
    <w:uiPriority w:val="9"/>
    <w:semiHidden/>
    <w:unhideWhenUsed/>
    <w:qFormat/>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uiPriority w:val="10"/>
    <w:qFormat/>
    <w:pPr>
      <w:keepNext/>
      <w:keepLines/>
      <w:spacing w:before="480" w:after="120"/>
    </w:pPr>
    <w:rPr>
      <w:b/>
      <w:sz w:val="72"/>
      <w:szCs w:val="72"/>
    </w:rPr>
  </w:style>
  <w:style w:type="table" w:customStyle="1" w:styleId="TableNormal0">
    <w:name w:val="Table Normal"/>
    <w:tblPr>
      <w:tblCellMar>
        <w:top w:w="0" w:type="dxa"/>
        <w:left w:w="0" w:type="dxa"/>
        <w:bottom w:w="0" w:type="dxa"/>
        <w:right w:w="0" w:type="dxa"/>
      </w:tblCellMar>
    </w:tblPr>
  </w:style>
  <w:style w:type="table" w:customStyle="1" w:styleId="TableNormal1">
    <w:name w:val="Table Normal"/>
    <w:tblPr>
      <w:tblCellMar>
        <w:top w:w="0" w:type="dxa"/>
        <w:left w:w="0" w:type="dxa"/>
        <w:bottom w:w="0" w:type="dxa"/>
        <w:right w:w="0" w:type="dxa"/>
      </w:tblCellMar>
    </w:tblPr>
  </w:style>
  <w:style w:type="table" w:customStyle="1" w:styleId="TableNormal2">
    <w:name w:val="Table Normal"/>
    <w:tblPr>
      <w:tblCellMar>
        <w:top w:w="0" w:type="dxa"/>
        <w:left w:w="0" w:type="dxa"/>
        <w:bottom w:w="0" w:type="dxa"/>
        <w:right w:w="0" w:type="dxa"/>
      </w:tblCellMar>
    </w:tblPr>
  </w:style>
  <w:style w:type="table" w:customStyle="1" w:styleId="TableNormal3">
    <w:name w:val="Table Normal"/>
    <w:tblPr>
      <w:tblCellMar>
        <w:top w:w="0" w:type="dxa"/>
        <w:left w:w="0" w:type="dxa"/>
        <w:bottom w:w="0" w:type="dxa"/>
        <w:right w:w="0" w:type="dxa"/>
      </w:tblCellMar>
    </w:tblPr>
  </w:style>
  <w:style w:type="table" w:customStyle="1" w:styleId="TableNormal4">
    <w:name w:val="Table Normal"/>
    <w:tblPr>
      <w:tblCellMar>
        <w:top w:w="0" w:type="dxa"/>
        <w:left w:w="0" w:type="dxa"/>
        <w:bottom w:w="0" w:type="dxa"/>
        <w:right w:w="0" w:type="dxa"/>
      </w:tblCellMar>
    </w:tblPr>
  </w:style>
  <w:style w:type="table" w:customStyle="1" w:styleId="TableNormal5">
    <w:name w:val="Table Normal"/>
    <w:tblPr>
      <w:tblCellMar>
        <w:top w:w="0" w:type="dxa"/>
        <w:left w:w="0" w:type="dxa"/>
        <w:bottom w:w="0" w:type="dxa"/>
        <w:right w:w="0" w:type="dxa"/>
      </w:tblCellMar>
    </w:tblPr>
  </w:style>
  <w:style w:type="table" w:customStyle="1" w:styleId="TableNormal6">
    <w:name w:val="Table Normal"/>
    <w:tblPr>
      <w:tblCellMar>
        <w:top w:w="0" w:type="dxa"/>
        <w:left w:w="0" w:type="dxa"/>
        <w:bottom w:w="0" w:type="dxa"/>
        <w:right w:w="0" w:type="dxa"/>
      </w:tblCellMar>
    </w:tblPr>
  </w:style>
  <w:style w:type="table" w:customStyle="1" w:styleId="TableNormal7">
    <w:name w:val="Table Normal"/>
    <w:tblPr>
      <w:tblCellMar>
        <w:top w:w="0" w:type="dxa"/>
        <w:left w:w="0" w:type="dxa"/>
        <w:bottom w:w="0" w:type="dxa"/>
        <w:right w:w="0" w:type="dxa"/>
      </w:tblCellMar>
    </w:tblPr>
  </w:style>
  <w:style w:type="table" w:customStyle="1" w:styleId="TableNormal8">
    <w:name w:val="Table Normal"/>
    <w:tblPr>
      <w:tblCellMar>
        <w:top w:w="0" w:type="dxa"/>
        <w:left w:w="0" w:type="dxa"/>
        <w:bottom w:w="0" w:type="dxa"/>
        <w:right w:w="0" w:type="dxa"/>
      </w:tblCellMar>
    </w:tblPr>
  </w:style>
  <w:style w:type="table" w:customStyle="1" w:styleId="TableNormal9">
    <w:name w:val="Table Normal"/>
    <w:tblPr>
      <w:tblCellMar>
        <w:top w:w="0" w:type="dxa"/>
        <w:left w:w="0" w:type="dxa"/>
        <w:bottom w:w="0" w:type="dxa"/>
        <w:right w:w="0" w:type="dxa"/>
      </w:tblCellMar>
    </w:tblPr>
  </w:style>
  <w:style w:type="table" w:customStyle="1" w:styleId="TableNormala">
    <w:name w:val="Table Normal"/>
    <w:tblPr>
      <w:tblCellMar>
        <w:top w:w="0" w:type="dxa"/>
        <w:left w:w="0" w:type="dxa"/>
        <w:bottom w:w="0" w:type="dxa"/>
        <w:right w:w="0" w:type="dxa"/>
      </w:tblCellMar>
    </w:tblPr>
  </w:style>
  <w:style w:type="table" w:customStyle="1" w:styleId="TableNormalb">
    <w:name w:val="Table Normal"/>
    <w:tblPr>
      <w:tblCellMar>
        <w:top w:w="0" w:type="dxa"/>
        <w:left w:w="0" w:type="dxa"/>
        <w:bottom w:w="0" w:type="dxa"/>
        <w:right w:w="0" w:type="dxa"/>
      </w:tblCellMar>
    </w:tblPr>
  </w:style>
  <w:style w:type="table" w:customStyle="1" w:styleId="TableNormalc">
    <w:name w:val="Table Normal"/>
    <w:tblPr>
      <w:tblCellMar>
        <w:top w:w="0" w:type="dxa"/>
        <w:left w:w="0" w:type="dxa"/>
        <w:bottom w:w="0" w:type="dxa"/>
        <w:right w:w="0" w:type="dxa"/>
      </w:tblCellMar>
    </w:tblPr>
  </w:style>
  <w:style w:type="table" w:customStyle="1" w:styleId="TableNormald">
    <w:name w:val="Table Normal"/>
    <w:tblPr>
      <w:tblCellMar>
        <w:top w:w="0" w:type="dxa"/>
        <w:left w:w="0" w:type="dxa"/>
        <w:bottom w:w="0" w:type="dxa"/>
        <w:right w:w="0" w:type="dxa"/>
      </w:tblCellMar>
    </w:tblPr>
  </w:style>
  <w:style w:type="table" w:customStyle="1" w:styleId="TableNormale">
    <w:name w:val="Table Normal"/>
    <w:tblPr>
      <w:tblCellMar>
        <w:top w:w="0" w:type="dxa"/>
        <w:left w:w="0" w:type="dxa"/>
        <w:bottom w:w="0" w:type="dxa"/>
        <w:right w:w="0" w:type="dxa"/>
      </w:tblCellMar>
    </w:tblPr>
  </w:style>
  <w:style w:type="table" w:customStyle="1" w:styleId="TableNormalf">
    <w:name w:val="Table Normal"/>
    <w:tblPr>
      <w:tblCellMar>
        <w:top w:w="0" w:type="dxa"/>
        <w:left w:w="0" w:type="dxa"/>
        <w:bottom w:w="0" w:type="dxa"/>
        <w:right w:w="0" w:type="dxa"/>
      </w:tblCellMar>
    </w:tblPr>
  </w:style>
  <w:style w:type="table" w:customStyle="1" w:styleId="TableNormalf0">
    <w:name w:val="Table Normal"/>
    <w:tblPr>
      <w:tblCellMar>
        <w:top w:w="0" w:type="dxa"/>
        <w:left w:w="0" w:type="dxa"/>
        <w:bottom w:w="0" w:type="dxa"/>
        <w:right w:w="0" w:type="dxa"/>
      </w:tblCellMar>
    </w:tblPr>
  </w:style>
  <w:style w:type="table" w:customStyle="1" w:styleId="TableNormalf1">
    <w:name w:val="Table Normal"/>
    <w:tblPr>
      <w:tblCellMar>
        <w:top w:w="0" w:type="dxa"/>
        <w:left w:w="0" w:type="dxa"/>
        <w:bottom w:w="0" w:type="dxa"/>
        <w:right w:w="0" w:type="dxa"/>
      </w:tblCellMar>
    </w:tblPr>
  </w:style>
  <w:style w:type="table" w:customStyle="1" w:styleId="TableNormalf2">
    <w:name w:val="Table Normal"/>
    <w:tblPr>
      <w:tblCellMar>
        <w:top w:w="0" w:type="dxa"/>
        <w:left w:w="0" w:type="dxa"/>
        <w:bottom w:w="0" w:type="dxa"/>
        <w:right w:w="0" w:type="dxa"/>
      </w:tblCellMar>
    </w:tblPr>
  </w:style>
  <w:style w:type="table" w:customStyle="1" w:styleId="TableNormalf3">
    <w:name w:val="Table Normal"/>
    <w:tblPr>
      <w:tblCellMar>
        <w:top w:w="0" w:type="dxa"/>
        <w:left w:w="0" w:type="dxa"/>
        <w:bottom w:w="0" w:type="dxa"/>
        <w:right w:w="0" w:type="dxa"/>
      </w:tblCellMar>
    </w:tblPr>
  </w:style>
  <w:style w:type="table" w:customStyle="1" w:styleId="TableNormalf4">
    <w:name w:val="Table Normal"/>
    <w:tblPr>
      <w:tblCellMar>
        <w:top w:w="0" w:type="dxa"/>
        <w:left w:w="0" w:type="dxa"/>
        <w:bottom w:w="0" w:type="dxa"/>
        <w:right w:w="0" w:type="dxa"/>
      </w:tblCellMar>
    </w:tblPr>
  </w:style>
  <w:style w:type="table" w:customStyle="1" w:styleId="TableNormalf5">
    <w:name w:val="Table Normal"/>
    <w:tblPr>
      <w:tblCellMar>
        <w:top w:w="0" w:type="dxa"/>
        <w:left w:w="0" w:type="dxa"/>
        <w:bottom w:w="0" w:type="dxa"/>
        <w:right w:w="0" w:type="dxa"/>
      </w:tblCellMar>
    </w:tblPr>
  </w:style>
  <w:style w:type="table" w:customStyle="1" w:styleId="TableNormalf6">
    <w:name w:val="Table Normal"/>
    <w:tblPr>
      <w:tblCellMar>
        <w:top w:w="0" w:type="dxa"/>
        <w:left w:w="0" w:type="dxa"/>
        <w:bottom w:w="0" w:type="dxa"/>
        <w:right w:w="0" w:type="dxa"/>
      </w:tblCellMar>
    </w:tblPr>
  </w:style>
  <w:style w:type="table" w:customStyle="1" w:styleId="TableNormalf7">
    <w:name w:val="Table Normal"/>
    <w:tblPr>
      <w:tblCellMar>
        <w:top w:w="0" w:type="dxa"/>
        <w:left w:w="0" w:type="dxa"/>
        <w:bottom w:w="0" w:type="dxa"/>
        <w:right w:w="0" w:type="dxa"/>
      </w:tblCellMar>
    </w:tblPr>
  </w:style>
  <w:style w:type="table" w:customStyle="1" w:styleId="TableNormalf8">
    <w:name w:val="Table Normal"/>
    <w:tblPr>
      <w:tblCellMar>
        <w:top w:w="0" w:type="dxa"/>
        <w:left w:w="0" w:type="dxa"/>
        <w:bottom w:w="0" w:type="dxa"/>
        <w:right w:w="0" w:type="dxa"/>
      </w:tblCellMar>
    </w:tblPr>
  </w:style>
  <w:style w:type="paragraph" w:styleId="Subttulo">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f8"/>
    <w:tblPr>
      <w:tblStyleRowBandSize w:val="1"/>
      <w:tblStyleColBandSize w:val="1"/>
      <w:tblCellMar>
        <w:left w:w="115" w:type="dxa"/>
        <w:right w:w="115" w:type="dxa"/>
      </w:tblCellMar>
    </w:tblPr>
    <w:tcPr>
      <w:shd w:val="clear" w:color="auto" w:fill="EDEDED"/>
    </w:tcPr>
    <w:tblStylePr w:type="firstRow">
      <w:rPr>
        <w:b/>
        <w:color w:val="FFFFFF"/>
      </w:rPr>
      <w:tblPr/>
      <w:tcPr>
        <w:tcBorders>
          <w:top w:val="single" w:sz="4" w:space="0" w:color="FFFFFF"/>
          <w:left w:val="single" w:sz="4" w:space="0" w:color="FFFFFF"/>
          <w:right w:val="single" w:sz="4" w:space="0" w:color="FFFFFF"/>
          <w:insideH w:val="nil"/>
          <w:insideV w:val="nil"/>
        </w:tcBorders>
        <w:shd w:val="clear" w:color="auto" w:fill="A5A5A5"/>
      </w:tcPr>
    </w:tblStylePr>
    <w:tblStylePr w:type="lastRow">
      <w:rPr>
        <w:b/>
        <w:color w:val="FFFFFF"/>
      </w:rPr>
      <w:tblPr/>
      <w:tcPr>
        <w:tcBorders>
          <w:left w:val="single" w:sz="4" w:space="0" w:color="FFFFFF"/>
          <w:bottom w:val="single" w:sz="4" w:space="0" w:color="FFFFFF"/>
          <w:right w:val="single" w:sz="4" w:space="0" w:color="FFFFFF"/>
          <w:insideH w:val="nil"/>
          <w:insideV w:val="nil"/>
        </w:tcBorders>
        <w:shd w:val="clear" w:color="auto" w:fill="A5A5A5"/>
      </w:tcPr>
    </w:tblStylePr>
    <w:tblStylePr w:type="firstCol">
      <w:rPr>
        <w:b/>
        <w:color w:val="FFFFFF"/>
      </w:rPr>
      <w:tblPr/>
      <w:tcPr>
        <w:tcBorders>
          <w:top w:val="single" w:sz="4" w:space="0" w:color="FFFFFF"/>
          <w:left w:val="single" w:sz="4" w:space="0" w:color="FFFFFF"/>
          <w:bottom w:val="single" w:sz="4" w:space="0" w:color="FFFFFF"/>
          <w:insideV w:val="nil"/>
        </w:tcBorders>
        <w:shd w:val="clear" w:color="auto" w:fill="A5A5A5"/>
      </w:tcPr>
    </w:tblStylePr>
    <w:tblStylePr w:type="lastCol">
      <w:rPr>
        <w:b/>
        <w:color w:val="FFFFFF"/>
      </w:rPr>
      <w:tblPr/>
      <w:tcPr>
        <w:tcBorders>
          <w:top w:val="single" w:sz="4" w:space="0" w:color="FFFFFF"/>
          <w:bottom w:val="single" w:sz="4" w:space="0" w:color="FFFFFF"/>
          <w:right w:val="single" w:sz="4" w:space="0" w:color="FFFFFF"/>
          <w:insideV w:val="nil"/>
        </w:tcBorders>
        <w:shd w:val="clear" w:color="auto" w:fill="A5A5A5"/>
      </w:tcPr>
    </w:tblStylePr>
    <w:tblStylePr w:type="band1Vert">
      <w:tblPr/>
      <w:tcPr>
        <w:shd w:val="clear" w:color="auto" w:fill="DBDBDB"/>
      </w:tcPr>
    </w:tblStylePr>
    <w:tblStylePr w:type="band1Horz">
      <w:tblPr/>
      <w:tcPr>
        <w:shd w:val="clear" w:color="auto" w:fill="DBDBDB"/>
      </w:tcPr>
    </w:tblStylePr>
  </w:style>
  <w:style w:type="table" w:customStyle="1" w:styleId="a0">
    <w:basedOn w:val="TableNormalf8"/>
    <w:tblPr>
      <w:tblStyleRowBandSize w:val="1"/>
      <w:tblStyleColBandSize w:val="1"/>
      <w:tblCellMar>
        <w:left w:w="115" w:type="dxa"/>
        <w:right w:w="115" w:type="dxa"/>
      </w:tblCellMar>
    </w:tblPr>
    <w:tcPr>
      <w:shd w:val="clear" w:color="auto" w:fill="EDEDED"/>
    </w:tcPr>
    <w:tblStylePr w:type="firstRow">
      <w:rPr>
        <w:b/>
        <w:color w:val="FFFFFF"/>
      </w:rPr>
      <w:tblPr/>
      <w:tcPr>
        <w:tcBorders>
          <w:top w:val="single" w:sz="4" w:space="0" w:color="FFFFFF"/>
          <w:left w:val="single" w:sz="4" w:space="0" w:color="FFFFFF"/>
          <w:right w:val="single" w:sz="4" w:space="0" w:color="FFFFFF"/>
          <w:insideH w:val="nil"/>
          <w:insideV w:val="nil"/>
        </w:tcBorders>
        <w:shd w:val="clear" w:color="auto" w:fill="A5A5A5"/>
      </w:tcPr>
    </w:tblStylePr>
    <w:tblStylePr w:type="lastRow">
      <w:rPr>
        <w:b/>
        <w:color w:val="FFFFFF"/>
      </w:rPr>
      <w:tblPr/>
      <w:tcPr>
        <w:tcBorders>
          <w:left w:val="single" w:sz="4" w:space="0" w:color="FFFFFF"/>
          <w:bottom w:val="single" w:sz="4" w:space="0" w:color="FFFFFF"/>
          <w:right w:val="single" w:sz="4" w:space="0" w:color="FFFFFF"/>
          <w:insideH w:val="nil"/>
          <w:insideV w:val="nil"/>
        </w:tcBorders>
        <w:shd w:val="clear" w:color="auto" w:fill="A5A5A5"/>
      </w:tcPr>
    </w:tblStylePr>
    <w:tblStylePr w:type="firstCol">
      <w:rPr>
        <w:b/>
        <w:color w:val="FFFFFF"/>
      </w:rPr>
      <w:tblPr/>
      <w:tcPr>
        <w:tcBorders>
          <w:top w:val="single" w:sz="4" w:space="0" w:color="FFFFFF"/>
          <w:left w:val="single" w:sz="4" w:space="0" w:color="FFFFFF"/>
          <w:bottom w:val="single" w:sz="4" w:space="0" w:color="FFFFFF"/>
          <w:insideV w:val="nil"/>
        </w:tcBorders>
        <w:shd w:val="clear" w:color="auto" w:fill="A5A5A5"/>
      </w:tcPr>
    </w:tblStylePr>
    <w:tblStylePr w:type="lastCol">
      <w:rPr>
        <w:b/>
        <w:color w:val="FFFFFF"/>
      </w:rPr>
      <w:tblPr/>
      <w:tcPr>
        <w:tcBorders>
          <w:top w:val="single" w:sz="4" w:space="0" w:color="FFFFFF"/>
          <w:bottom w:val="single" w:sz="4" w:space="0" w:color="FFFFFF"/>
          <w:right w:val="single" w:sz="4" w:space="0" w:color="FFFFFF"/>
          <w:insideV w:val="nil"/>
        </w:tcBorders>
        <w:shd w:val="clear" w:color="auto" w:fill="A5A5A5"/>
      </w:tcPr>
    </w:tblStylePr>
    <w:tblStylePr w:type="band1Vert">
      <w:tblPr/>
      <w:tcPr>
        <w:shd w:val="clear" w:color="auto" w:fill="DBDBDB"/>
      </w:tcPr>
    </w:tblStylePr>
    <w:tblStylePr w:type="band1Horz">
      <w:tblPr/>
      <w:tcPr>
        <w:shd w:val="clear" w:color="auto" w:fill="DBDBDB"/>
      </w:tcPr>
    </w:tblStylePr>
  </w:style>
  <w:style w:type="character" w:styleId="Hipervnculo">
    <w:name w:val="Hyperlink"/>
    <w:basedOn w:val="Fuentedeprrafopredeter"/>
    <w:uiPriority w:val="99"/>
    <w:unhideWhenUsed/>
    <w:rsid w:val="00FE7DB6"/>
    <w:rPr>
      <w:color w:val="0000FF" w:themeColor="hyperlink"/>
      <w:u w:val="single"/>
    </w:rPr>
  </w:style>
  <w:style w:type="character" w:styleId="Mencinsinresolver">
    <w:name w:val="Unresolved Mention"/>
    <w:basedOn w:val="Fuentedeprrafopredeter"/>
    <w:uiPriority w:val="99"/>
    <w:semiHidden/>
    <w:unhideWhenUsed/>
    <w:rsid w:val="00FE7DB6"/>
    <w:rPr>
      <w:color w:val="605E5C"/>
      <w:shd w:val="clear" w:color="auto" w:fill="E1DFDD"/>
    </w:rPr>
  </w:style>
  <w:style w:type="paragraph" w:styleId="NormalWeb">
    <w:name w:val="Normal (Web)"/>
    <w:basedOn w:val="Normal"/>
    <w:uiPriority w:val="99"/>
    <w:unhideWhenUsed/>
    <w:rsid w:val="003D48F5"/>
    <w:pPr>
      <w:spacing w:before="100" w:beforeAutospacing="1" w:after="100" w:afterAutospacing="1"/>
    </w:pPr>
    <w:rPr>
      <w:rFonts w:ascii="Times New Roman" w:eastAsia="Times New Roman" w:hAnsi="Times New Roman" w:cs="Times New Roman"/>
      <w:lang w:val="es-ES"/>
    </w:rPr>
  </w:style>
  <w:style w:type="paragraph" w:styleId="Textocomentario">
    <w:name w:val="annotation text"/>
    <w:basedOn w:val="Normal"/>
    <w:link w:val="TextocomentarioCar"/>
    <w:uiPriority w:val="99"/>
    <w:unhideWhenUsed/>
    <w:rPr>
      <w:sz w:val="20"/>
      <w:szCs w:val="20"/>
    </w:rPr>
  </w:style>
  <w:style w:type="character" w:customStyle="1" w:styleId="TextocomentarioCar">
    <w:name w:val="Texto comentario Car"/>
    <w:basedOn w:val="Fuentedeprrafopredeter"/>
    <w:link w:val="Textocomentario"/>
    <w:uiPriority w:val="99"/>
    <w:rPr>
      <w:sz w:val="20"/>
      <w:szCs w:val="20"/>
    </w:rPr>
  </w:style>
  <w:style w:type="character" w:styleId="Refdecomentario">
    <w:name w:val="annotation reference"/>
    <w:basedOn w:val="Fuentedeprrafopredeter"/>
    <w:uiPriority w:val="99"/>
    <w:semiHidden/>
    <w:unhideWhenUsed/>
    <w:rPr>
      <w:sz w:val="16"/>
      <w:szCs w:val="16"/>
    </w:rPr>
  </w:style>
  <w:style w:type="character" w:customStyle="1" w:styleId="normaltextrun">
    <w:name w:val="normaltextrun"/>
    <w:basedOn w:val="Fuentedeprrafopredeter"/>
    <w:rsid w:val="00A35D58"/>
  </w:style>
  <w:style w:type="table" w:styleId="Tablaconcuadrcula">
    <w:name w:val="Table Grid"/>
    <w:basedOn w:val="Tablanormal"/>
    <w:uiPriority w:val="39"/>
    <w:rsid w:val="00A35D58"/>
    <w:rPr>
      <w:rFonts w:asciiTheme="minorHAnsi" w:eastAsiaTheme="minorHAnsi" w:hAnsiTheme="minorHAnsi" w:cstheme="minorBidi"/>
      <w:kern w:val="2"/>
      <w:sz w:val="22"/>
      <w:szCs w:val="22"/>
      <w:lang w:val="es-E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1">
    <w:basedOn w:val="TableNormalf5"/>
    <w:rPr>
      <w:rFonts w:ascii="Cambria" w:eastAsia="Cambria" w:hAnsi="Cambria" w:cs="Cambria"/>
      <w:sz w:val="22"/>
      <w:szCs w:val="22"/>
    </w:rPr>
    <w:tblPr>
      <w:tblStyleRowBandSize w:val="1"/>
      <w:tblStyleColBandSize w:val="1"/>
      <w:tblCellMar>
        <w:left w:w="108" w:type="dxa"/>
        <w:right w:w="108" w:type="dxa"/>
      </w:tblCellMar>
    </w:tblPr>
  </w:style>
  <w:style w:type="table" w:customStyle="1" w:styleId="a2">
    <w:basedOn w:val="TableNormalf5"/>
    <w:rPr>
      <w:rFonts w:ascii="Cambria" w:eastAsia="Cambria" w:hAnsi="Cambria" w:cs="Cambria"/>
      <w:sz w:val="22"/>
      <w:szCs w:val="22"/>
    </w:rPr>
    <w:tblPr>
      <w:tblStyleRowBandSize w:val="1"/>
      <w:tblStyleColBandSize w:val="1"/>
      <w:tblCellMar>
        <w:left w:w="108" w:type="dxa"/>
        <w:right w:w="108" w:type="dxa"/>
      </w:tblCellMar>
    </w:tblPr>
  </w:style>
  <w:style w:type="paragraph" w:styleId="Asuntodelcomentario">
    <w:name w:val="annotation subject"/>
    <w:basedOn w:val="Textocomentario"/>
    <w:next w:val="Textocomentario"/>
    <w:link w:val="AsuntodelcomentarioCar"/>
    <w:uiPriority w:val="99"/>
    <w:semiHidden/>
    <w:unhideWhenUsed/>
    <w:rsid w:val="00534008"/>
    <w:rPr>
      <w:b/>
      <w:bCs/>
    </w:rPr>
  </w:style>
  <w:style w:type="character" w:customStyle="1" w:styleId="AsuntodelcomentarioCar">
    <w:name w:val="Asunto del comentario Car"/>
    <w:basedOn w:val="TextocomentarioCar"/>
    <w:link w:val="Asuntodelcomentario"/>
    <w:uiPriority w:val="99"/>
    <w:semiHidden/>
    <w:rsid w:val="00534008"/>
    <w:rPr>
      <w:b/>
      <w:bCs/>
      <w:sz w:val="20"/>
      <w:szCs w:val="20"/>
    </w:rPr>
  </w:style>
  <w:style w:type="paragraph" w:styleId="Prrafodelista">
    <w:name w:val="List Paragraph"/>
    <w:basedOn w:val="Normal"/>
    <w:uiPriority w:val="34"/>
    <w:qFormat/>
    <w:rsid w:val="004C3974"/>
    <w:pPr>
      <w:ind w:left="720"/>
      <w:contextualSpacing/>
    </w:pPr>
  </w:style>
  <w:style w:type="character" w:styleId="Referenciaintensa">
    <w:name w:val="Intense Reference"/>
    <w:basedOn w:val="Fuentedeprrafopredeter"/>
    <w:uiPriority w:val="32"/>
    <w:qFormat/>
    <w:rsid w:val="00A775CB"/>
    <w:rPr>
      <w:b/>
      <w:bCs/>
      <w:smallCaps/>
      <w:color w:val="365F91" w:themeColor="accent1" w:themeShade="BF"/>
      <w:spacing w:val="5"/>
    </w:rPr>
  </w:style>
  <w:style w:type="table" w:customStyle="1" w:styleId="a3">
    <w:basedOn w:val="TableNormala"/>
    <w:tblPr>
      <w:tblStyleRowBandSize w:val="1"/>
      <w:tblStyleColBandSize w:val="1"/>
      <w:tblCellMar>
        <w:left w:w="108" w:type="dxa"/>
        <w:right w:w="108" w:type="dxa"/>
      </w:tblCellMar>
    </w:tblPr>
    <w:tblStylePr w:type="firstRow">
      <w:rPr>
        <w:b/>
        <w:color w:val="FFFFFF"/>
      </w:rPr>
      <w:tblPr/>
      <w:tcPr>
        <w:tcBorders>
          <w:top w:val="single" w:sz="4" w:space="0" w:color="39D9CD"/>
          <w:left w:val="single" w:sz="4" w:space="0" w:color="39D9CD"/>
          <w:bottom w:val="single" w:sz="4" w:space="0" w:color="39D9CD"/>
          <w:right w:val="single" w:sz="4" w:space="0" w:color="39D9CD"/>
          <w:insideH w:val="nil"/>
          <w:insideV w:val="nil"/>
        </w:tcBorders>
        <w:shd w:val="clear" w:color="auto" w:fill="39D9CD"/>
      </w:tcPr>
    </w:tblStylePr>
    <w:tblStylePr w:type="lastRow">
      <w:rPr>
        <w:b/>
      </w:rPr>
      <w:tblPr/>
      <w:tcPr>
        <w:tcBorders>
          <w:top w:val="single" w:sz="4" w:space="0" w:color="39D9CD"/>
        </w:tcBorders>
      </w:tcPr>
    </w:tblStylePr>
    <w:tblStylePr w:type="firstCol">
      <w:rPr>
        <w:b/>
      </w:rPr>
    </w:tblStylePr>
    <w:tblStylePr w:type="lastCol">
      <w:rPr>
        <w:b/>
      </w:rPr>
    </w:tblStylePr>
    <w:tblStylePr w:type="band1Vert">
      <w:tblPr/>
      <w:tcPr>
        <w:shd w:val="clear" w:color="auto" w:fill="D7F7F4"/>
      </w:tcPr>
    </w:tblStylePr>
    <w:tblStylePr w:type="band1Horz">
      <w:tblPr/>
      <w:tcPr>
        <w:shd w:val="clear" w:color="auto" w:fill="D7F7F4"/>
      </w:tcPr>
    </w:tblStylePr>
  </w:style>
  <w:style w:type="character" w:styleId="Hipervnculovisitado">
    <w:name w:val="FollowedHyperlink"/>
    <w:basedOn w:val="Fuentedeprrafopredeter"/>
    <w:uiPriority w:val="99"/>
    <w:semiHidden/>
    <w:unhideWhenUsed/>
    <w:rsid w:val="009B09EE"/>
    <w:rPr>
      <w:color w:val="800080" w:themeColor="followedHyperlink"/>
      <w:u w:val="single"/>
    </w:rPr>
  </w:style>
  <w:style w:type="table" w:styleId="Tablaconcuadrcula5oscura-nfasis1">
    <w:name w:val="Grid Table 5 Dark Accent 1"/>
    <w:basedOn w:val="Tablanormal"/>
    <w:uiPriority w:val="50"/>
    <w:rsid w:val="00B77683"/>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BE5F1"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F81BD"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F81BD"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F81BD"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F81BD" w:themeFill="accent1"/>
      </w:tcPr>
    </w:tblStylePr>
    <w:tblStylePr w:type="band1Vert">
      <w:tblPr/>
      <w:tcPr>
        <w:shd w:val="clear" w:color="auto" w:fill="B8CCE4" w:themeFill="accent1" w:themeFillTint="66"/>
      </w:tcPr>
    </w:tblStylePr>
    <w:tblStylePr w:type="band1Horz">
      <w:tblPr/>
      <w:tcPr>
        <w:shd w:val="clear" w:color="auto" w:fill="B8CCE4" w:themeFill="accent1" w:themeFillTint="66"/>
      </w:tcPr>
    </w:tblStylePr>
  </w:style>
  <w:style w:type="table" w:styleId="Tablaconcuadrcula5oscura-nfasis5">
    <w:name w:val="Grid Table 5 Dark Accent 5"/>
    <w:basedOn w:val="Tablanormal"/>
    <w:uiPriority w:val="50"/>
    <w:rsid w:val="002827A1"/>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AEEF3"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BACC6"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BACC6"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BACC6"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BACC6" w:themeFill="accent5"/>
      </w:tcPr>
    </w:tblStylePr>
    <w:tblStylePr w:type="band1Vert">
      <w:tblPr/>
      <w:tcPr>
        <w:shd w:val="clear" w:color="auto" w:fill="B6DDE8" w:themeFill="accent5" w:themeFillTint="66"/>
      </w:tcPr>
    </w:tblStylePr>
    <w:tblStylePr w:type="band1Horz">
      <w:tblPr/>
      <w:tcPr>
        <w:shd w:val="clear" w:color="auto" w:fill="B6DDE8" w:themeFill="accent5" w:themeFillTint="66"/>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22148990">
      <w:bodyDiv w:val="1"/>
      <w:marLeft w:val="0"/>
      <w:marRight w:val="0"/>
      <w:marTop w:val="0"/>
      <w:marBottom w:val="0"/>
      <w:divBdr>
        <w:top w:val="none" w:sz="0" w:space="0" w:color="auto"/>
        <w:left w:val="none" w:sz="0" w:space="0" w:color="auto"/>
        <w:bottom w:val="none" w:sz="0" w:space="0" w:color="auto"/>
        <w:right w:val="none" w:sz="0" w:space="0" w:color="auto"/>
      </w:divBdr>
    </w:div>
    <w:div w:id="57285399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www.fotocasa.es/es/" TargetMode="External"/><Relationship Id="rId18" Type="http://schemas.openxmlformats.org/officeDocument/2006/relationships/image" Target="media/image6.png"/><Relationship Id="rId26" Type="http://schemas.openxmlformats.org/officeDocument/2006/relationships/hyperlink" Target="http://adevinta.es" TargetMode="External"/><Relationship Id="rId3" Type="http://schemas.openxmlformats.org/officeDocument/2006/relationships/styles" Target="styles.xml"/><Relationship Id="rId21" Type="http://schemas.openxmlformats.org/officeDocument/2006/relationships/hyperlink" Target="https://www.fotocasa.es/es/" TargetMode="External"/><Relationship Id="rId7" Type="http://schemas.openxmlformats.org/officeDocument/2006/relationships/endnotes" Target="endnotes.xml"/><Relationship Id="rId12" Type="http://schemas.openxmlformats.org/officeDocument/2006/relationships/image" Target="media/image2.png"/><Relationship Id="rId17" Type="http://schemas.openxmlformats.org/officeDocument/2006/relationships/image" Target="media/image5.png"/><Relationship Id="rId25" Type="http://schemas.openxmlformats.org/officeDocument/2006/relationships/hyperlink" Target="https://motos.coches.net/" TargetMode="External"/><Relationship Id="rId2" Type="http://schemas.openxmlformats.org/officeDocument/2006/relationships/numbering" Target="numbering.xml"/><Relationship Id="rId16" Type="http://schemas.openxmlformats.org/officeDocument/2006/relationships/image" Target="media/image4.jpeg"/><Relationship Id="rId20" Type="http://schemas.openxmlformats.org/officeDocument/2006/relationships/hyperlink" Target="http://prensa.fotocasa.es"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research.fotocasa.es/" TargetMode="External"/><Relationship Id="rId24" Type="http://schemas.openxmlformats.org/officeDocument/2006/relationships/hyperlink" Target="https://www.coches.net/" TargetMode="External"/><Relationship Id="rId5" Type="http://schemas.openxmlformats.org/officeDocument/2006/relationships/webSettings" Target="webSettings.xml"/><Relationship Id="rId15" Type="http://schemas.openxmlformats.org/officeDocument/2006/relationships/hyperlink" Target="https://youtu.be/UYt3FSzwFhg" TargetMode="External"/><Relationship Id="rId23" Type="http://schemas.openxmlformats.org/officeDocument/2006/relationships/hyperlink" Target="https://www.infojobs.net/" TargetMode="External"/><Relationship Id="rId28" Type="http://schemas.openxmlformats.org/officeDocument/2006/relationships/footer" Target="footer1.xml"/><Relationship Id="rId10" Type="http://schemas.openxmlformats.org/officeDocument/2006/relationships/hyperlink" Target="https://s36360.pcdn.co/wp-content/uploads/2025/05/Informe-Radiografia-del-mercado-de-la-vivienda-en-2025.pdf" TargetMode="External"/><Relationship Id="rId19" Type="http://schemas.openxmlformats.org/officeDocument/2006/relationships/hyperlink" Target="https://www.fotocasa.es/indice/" TargetMode="External"/><Relationship Id="rId4" Type="http://schemas.openxmlformats.org/officeDocument/2006/relationships/settings" Target="settings.xml"/><Relationship Id="rId9" Type="http://schemas.openxmlformats.org/officeDocument/2006/relationships/hyperlink" Target="https://youtu.be/UYt3FSzwFhg" TargetMode="External"/><Relationship Id="rId14" Type="http://schemas.openxmlformats.org/officeDocument/2006/relationships/image" Target="media/image3.png"/><Relationship Id="rId22" Type="http://schemas.openxmlformats.org/officeDocument/2006/relationships/hyperlink" Target="https://www.habitaclia.com/" TargetMode="External"/><Relationship Id="rId27" Type="http://schemas.openxmlformats.org/officeDocument/2006/relationships/hyperlink" Target="mailto:comunicacion@fotocasa.es" TargetMode="External"/><Relationship Id="rId30" Type="http://schemas.openxmlformats.org/officeDocument/2006/relationships/theme" Target="theme/theme1.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11" Type="http://schemas.openxmlformats.org/officeDocument/2006/relationships/font" Target="fonts/font11.odttf"/><Relationship Id="rId5" Type="http://schemas.openxmlformats.org/officeDocument/2006/relationships/font" Target="fonts/font5.odttf"/><Relationship Id="rId10" Type="http://schemas.openxmlformats.org/officeDocument/2006/relationships/font" Target="fonts/font10.odttf"/><Relationship Id="rId4" Type="http://schemas.openxmlformats.org/officeDocument/2006/relationships/font" Target="fonts/font4.odttf"/><Relationship Id="rId9" Type="http://schemas.openxmlformats.org/officeDocument/2006/relationships/font" Target="fonts/font9.odttf"/></Relationships>
</file>

<file path=word/_rels/footer1.xml.rels><?xml version="1.0" encoding="UTF-8" standalone="yes"?>
<Relationships xmlns="http://schemas.openxmlformats.org/package/2006/relationships"><Relationship Id="rId1" Type="http://schemas.openxmlformats.org/officeDocument/2006/relationships/image" Target="media/image7.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0/iRi2/7mAam0KRAPIokdsOrTUQ==">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</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6</Pages>
  <Words>1056</Words>
  <Characters>5812</Characters>
  <Application>Microsoft Office Word</Application>
  <DocSecurity>0</DocSecurity>
  <Lines>48</Lines>
  <Paragraphs>13</Paragraphs>
  <ScaleCrop>false</ScaleCrop>
  <Company/>
  <LinksUpToDate>false</LinksUpToDate>
  <CharactersWithSpaces>6855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Anaïs López García</cp:lastModifiedBy>
  <cp:revision>6</cp:revision>
  <dcterms:created xsi:type="dcterms:W3CDTF">2024-02-06T13:46:00Z</dcterms:created>
  <dcterms:modified xsi:type="dcterms:W3CDTF">2025-05-09T12:11:00Z</dcterms:modified>
</cp:coreProperties>
</file>