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CB61B" w14:textId="1BBFEA59" w:rsidR="00B7098B"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781FE5FC" w14:textId="77777777" w:rsidR="00511AC7" w:rsidRDefault="00511AC7">
      <w:pPr>
        <w:spacing w:line="240" w:lineRule="auto"/>
        <w:rPr>
          <w:rFonts w:ascii="Calibri" w:eastAsia="Calibri" w:hAnsi="Calibri" w:cs="Calibri"/>
          <w:sz w:val="24"/>
          <w:szCs w:val="24"/>
        </w:rPr>
      </w:pPr>
    </w:p>
    <w:p w14:paraId="52FBF680" w14:textId="396175FB" w:rsidR="00B7098B" w:rsidRPr="00A05DB9" w:rsidRDefault="00000000">
      <w:pPr>
        <w:pBdr>
          <w:top w:val="nil"/>
          <w:left w:val="nil"/>
          <w:bottom w:val="nil"/>
          <w:right w:val="nil"/>
          <w:between w:val="nil"/>
        </w:pBdr>
        <w:shd w:val="clear" w:color="auto" w:fill="FFFFFF"/>
        <w:spacing w:after="225"/>
        <w:ind w:right="-135"/>
        <w:jc w:val="center"/>
        <w:rPr>
          <w:rFonts w:ascii="National" w:eastAsia="National" w:hAnsi="National" w:cs="National"/>
          <w:b/>
          <w:color w:val="303AB2"/>
          <w:sz w:val="56"/>
          <w:szCs w:val="56"/>
        </w:rPr>
      </w:pPr>
      <w:r w:rsidRPr="00A05DB9">
        <w:rPr>
          <w:rFonts w:ascii="National" w:eastAsia="National" w:hAnsi="National" w:cs="National"/>
          <w:b/>
          <w:color w:val="303AB2"/>
          <w:sz w:val="56"/>
          <w:szCs w:val="56"/>
        </w:rPr>
        <w:t xml:space="preserve">“La compraventa de vivienda se afianza con un ritmo constante y </w:t>
      </w:r>
      <w:r w:rsidR="00A05DB9" w:rsidRPr="00A05DB9">
        <w:rPr>
          <w:rFonts w:ascii="National" w:eastAsia="National" w:hAnsi="National" w:cs="National"/>
          <w:b/>
          <w:color w:val="303AB2"/>
          <w:sz w:val="56"/>
          <w:szCs w:val="56"/>
        </w:rPr>
        <w:t xml:space="preserve">una </w:t>
      </w:r>
      <w:r w:rsidRPr="00A05DB9">
        <w:rPr>
          <w:rFonts w:ascii="National" w:eastAsia="National" w:hAnsi="National" w:cs="National"/>
          <w:b/>
          <w:color w:val="303AB2"/>
          <w:sz w:val="56"/>
          <w:szCs w:val="56"/>
        </w:rPr>
        <w:t>demanda muy activa”</w:t>
      </w:r>
    </w:p>
    <w:p w14:paraId="272C5EB3" w14:textId="6AF7FAB8" w:rsidR="00B7098B" w:rsidRDefault="00000000">
      <w:pPr>
        <w:pBdr>
          <w:top w:val="nil"/>
          <w:left w:val="nil"/>
          <w:bottom w:val="nil"/>
          <w:right w:val="nil"/>
          <w:between w:val="nil"/>
        </w:pBdr>
        <w:shd w:val="clear" w:color="auto" w:fill="FFFFFF"/>
        <w:spacing w:after="225"/>
        <w:jc w:val="both"/>
        <w:rPr>
          <w:rFonts w:ascii="Open Sans" w:eastAsia="Open Sans" w:hAnsi="Open Sans" w:cs="Open Sans"/>
          <w:b/>
          <w:color w:val="303AB2"/>
        </w:rPr>
      </w:pPr>
      <w:r>
        <w:rPr>
          <w:rFonts w:ascii="Open Sans" w:eastAsia="Open Sans" w:hAnsi="Open Sans" w:cs="Open Sans"/>
          <w:b/>
          <w:color w:val="303AB2"/>
        </w:rPr>
        <w:t>Madrid, 19 de junio de 2025</w:t>
      </w:r>
    </w:p>
    <w:p w14:paraId="6C39B677" w14:textId="158C76FE" w:rsidR="00B7098B" w:rsidRPr="00D11DFE"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El</w:t>
      </w:r>
      <w:r>
        <w:rPr>
          <w:rFonts w:ascii="Open Sans" w:eastAsia="Open Sans" w:hAnsi="Open Sans" w:cs="Open Sans"/>
          <w:color w:val="000000"/>
          <w:sz w:val="21"/>
          <w:szCs w:val="21"/>
        </w:rPr>
        <w:t xml:space="preserve"> dat</w:t>
      </w:r>
      <w:r>
        <w:rPr>
          <w:rFonts w:ascii="Open Sans" w:eastAsia="Open Sans" w:hAnsi="Open Sans" w:cs="Open Sans"/>
          <w:sz w:val="21"/>
          <w:szCs w:val="21"/>
        </w:rPr>
        <w:t>o</w:t>
      </w:r>
      <w:r>
        <w:rPr>
          <w:rFonts w:ascii="Open Sans" w:eastAsia="Open Sans" w:hAnsi="Open Sans" w:cs="Open Sans"/>
          <w:color w:val="000000"/>
          <w:sz w:val="21"/>
          <w:szCs w:val="21"/>
        </w:rPr>
        <w:t xml:space="preserve"> de transacciones inmobiliarias correspon</w:t>
      </w:r>
      <w:r>
        <w:rPr>
          <w:rFonts w:ascii="Open Sans" w:eastAsia="Open Sans" w:hAnsi="Open Sans" w:cs="Open Sans"/>
          <w:sz w:val="21"/>
          <w:szCs w:val="21"/>
        </w:rPr>
        <w:t>d</w:t>
      </w:r>
      <w:r>
        <w:rPr>
          <w:rFonts w:ascii="Open Sans" w:eastAsia="Open Sans" w:hAnsi="Open Sans" w:cs="Open Sans"/>
          <w:color w:val="000000"/>
          <w:sz w:val="21"/>
          <w:szCs w:val="21"/>
        </w:rPr>
        <w:t xml:space="preserve">iente al </w:t>
      </w:r>
      <w:r>
        <w:rPr>
          <w:rFonts w:ascii="Open Sans" w:eastAsia="Open Sans" w:hAnsi="Open Sans" w:cs="Open Sans"/>
          <w:sz w:val="21"/>
          <w:szCs w:val="21"/>
        </w:rPr>
        <w:t xml:space="preserve">cuarto mes de </w:t>
      </w:r>
      <w:r>
        <w:rPr>
          <w:rFonts w:ascii="Open Sans" w:eastAsia="Open Sans" w:hAnsi="Open Sans" w:cs="Open Sans"/>
          <w:color w:val="000000"/>
          <w:sz w:val="21"/>
          <w:szCs w:val="21"/>
        </w:rPr>
        <w:t>202</w:t>
      </w:r>
      <w:r>
        <w:rPr>
          <w:rFonts w:ascii="Open Sans" w:eastAsia="Open Sans" w:hAnsi="Open Sans" w:cs="Open Sans"/>
          <w:sz w:val="21"/>
          <w:szCs w:val="21"/>
        </w:rPr>
        <w:t>5</w:t>
      </w:r>
      <w:r>
        <w:rPr>
          <w:rFonts w:ascii="Open Sans" w:eastAsia="Open Sans" w:hAnsi="Open Sans" w:cs="Open Sans"/>
          <w:color w:val="000000"/>
          <w:sz w:val="21"/>
          <w:szCs w:val="21"/>
        </w:rPr>
        <w:t xml:space="preserve"> dado a conocer hoy por el INE </w:t>
      </w:r>
      <w:r>
        <w:rPr>
          <w:rFonts w:ascii="Open Sans" w:eastAsia="Open Sans" w:hAnsi="Open Sans" w:cs="Open Sans"/>
          <w:sz w:val="21"/>
          <w:szCs w:val="21"/>
        </w:rPr>
        <w:t xml:space="preserve">refleja un </w:t>
      </w:r>
      <w:r w:rsidR="00D11DFE">
        <w:rPr>
          <w:rFonts w:ascii="Open Sans" w:eastAsia="Open Sans" w:hAnsi="Open Sans" w:cs="Open Sans"/>
          <w:sz w:val="21"/>
          <w:szCs w:val="21"/>
        </w:rPr>
        <w:t>descenso</w:t>
      </w:r>
      <w:r>
        <w:rPr>
          <w:rFonts w:ascii="Open Sans" w:eastAsia="Open Sans" w:hAnsi="Open Sans" w:cs="Open Sans"/>
          <w:sz w:val="21"/>
          <w:szCs w:val="21"/>
        </w:rPr>
        <w:t xml:space="preserve"> mensual de</w:t>
      </w:r>
      <w:r>
        <w:rPr>
          <w:rFonts w:ascii="Open Sans" w:eastAsia="Open Sans" w:hAnsi="Open Sans" w:cs="Open Sans"/>
          <w:sz w:val="21"/>
          <w:szCs w:val="21"/>
          <w:highlight w:val="white"/>
        </w:rPr>
        <w:t>l</w:t>
      </w:r>
      <w:r>
        <w:rPr>
          <w:rFonts w:ascii="Open Sans" w:eastAsia="Open Sans" w:hAnsi="Open Sans" w:cs="Open Sans"/>
          <w:sz w:val="21"/>
          <w:szCs w:val="21"/>
        </w:rPr>
        <w:t xml:space="preserve"> </w:t>
      </w:r>
      <w:r w:rsidR="00D11DFE">
        <w:rPr>
          <w:rFonts w:ascii="Open Sans" w:eastAsia="Open Sans" w:hAnsi="Open Sans" w:cs="Open Sans"/>
          <w:sz w:val="21"/>
          <w:szCs w:val="21"/>
        </w:rPr>
        <w:t>-13,5%</w:t>
      </w:r>
      <w:r>
        <w:rPr>
          <w:rFonts w:ascii="Open Sans" w:eastAsia="Open Sans" w:hAnsi="Open Sans" w:cs="Open Sans"/>
          <w:sz w:val="21"/>
          <w:szCs w:val="21"/>
        </w:rPr>
        <w:t xml:space="preserve"> y un incremento interanual </w:t>
      </w:r>
      <w:r>
        <w:rPr>
          <w:rFonts w:ascii="Open Sans" w:eastAsia="Open Sans" w:hAnsi="Open Sans" w:cs="Open Sans"/>
          <w:sz w:val="21"/>
          <w:szCs w:val="21"/>
          <w:highlight w:val="white"/>
        </w:rPr>
        <w:t xml:space="preserve">del </w:t>
      </w:r>
      <w:r w:rsidR="00D11DFE">
        <w:rPr>
          <w:rFonts w:ascii="Open Sans" w:eastAsia="Open Sans" w:hAnsi="Open Sans" w:cs="Open Sans"/>
          <w:sz w:val="21"/>
          <w:szCs w:val="21"/>
        </w:rPr>
        <w:t>2,3%.</w:t>
      </w:r>
      <w:r>
        <w:rPr>
          <w:rFonts w:ascii="Open Sans" w:eastAsia="Open Sans" w:hAnsi="Open Sans" w:cs="Open Sans"/>
          <w:sz w:val="21"/>
          <w:szCs w:val="21"/>
        </w:rPr>
        <w:t xml:space="preserve"> “</w:t>
      </w:r>
      <w:r w:rsidR="00D11DFE">
        <w:rPr>
          <w:rFonts w:ascii="Open Sans" w:eastAsia="Open Sans" w:hAnsi="Open Sans" w:cs="Open Sans"/>
          <w:sz w:val="21"/>
          <w:szCs w:val="21"/>
        </w:rPr>
        <w:t xml:space="preserve">Aunque a nivel mensual se produzca una caída y la comparativa interanual muestra un leve incremento hay que tener en cuenta que los datos coincidieron con las festividades de Semana Santa y esto hace que muchas operaciones quedaran paralizadas durante unos días. Igualmente, los datos de compraventa siguen siendo muy elevados y es </w:t>
      </w:r>
      <w:proofErr w:type="gramStart"/>
      <w:r w:rsidR="00D11DFE">
        <w:rPr>
          <w:rFonts w:ascii="Open Sans" w:eastAsia="Open Sans" w:hAnsi="Open Sans" w:cs="Open Sans"/>
          <w:sz w:val="21"/>
          <w:szCs w:val="21"/>
        </w:rPr>
        <w:t>que</w:t>
      </w:r>
      <w:proofErr w:type="gramEnd"/>
      <w:r w:rsidR="00D11DFE">
        <w:rPr>
          <w:rFonts w:ascii="Open Sans" w:eastAsia="Open Sans" w:hAnsi="Open Sans" w:cs="Open Sans"/>
          <w:sz w:val="21"/>
          <w:szCs w:val="21"/>
        </w:rPr>
        <w:t xml:space="preserve"> tras </w:t>
      </w:r>
      <w:r>
        <w:rPr>
          <w:rFonts w:ascii="Open Sans" w:eastAsia="Open Sans" w:hAnsi="Open Sans" w:cs="Open Sans"/>
          <w:sz w:val="21"/>
          <w:szCs w:val="21"/>
        </w:rPr>
        <w:t xml:space="preserve">el cambio de ciclo hipotecario impulsado por la desescalada de los tipos de interés, en la que factores como </w:t>
      </w:r>
      <w:r>
        <w:rPr>
          <w:rFonts w:ascii="Open Sans" w:eastAsia="Open Sans" w:hAnsi="Open Sans" w:cs="Open Sans"/>
          <w:b/>
          <w:sz w:val="21"/>
          <w:szCs w:val="21"/>
        </w:rPr>
        <w:t xml:space="preserve">el optimismo y la confianza del comprador en el mercado, sumados a un aumento en la tasa de ahorro de los hogares y a las condiciones hipotecarias más atractivas </w:t>
      </w:r>
      <w:r>
        <w:rPr>
          <w:rFonts w:ascii="Open Sans" w:eastAsia="Open Sans" w:hAnsi="Open Sans" w:cs="Open Sans"/>
          <w:sz w:val="21"/>
          <w:szCs w:val="21"/>
        </w:rPr>
        <w:t xml:space="preserve">con un Euríbor a la baja, han hecho que 2025 cuente con viento de cola para mostrar una actividad dinámica durante todo el año. Se confirma que </w:t>
      </w:r>
      <w:r>
        <w:rPr>
          <w:rFonts w:ascii="Open Sans" w:eastAsia="Open Sans" w:hAnsi="Open Sans" w:cs="Open Sans"/>
          <w:b/>
          <w:sz w:val="21"/>
          <w:szCs w:val="21"/>
        </w:rPr>
        <w:t xml:space="preserve">la reactivación de la demanda está estrechamente ligada al giro en la política monetaria </w:t>
      </w:r>
      <w:r>
        <w:rPr>
          <w:rFonts w:ascii="Open Sans" w:eastAsia="Open Sans" w:hAnsi="Open Sans" w:cs="Open Sans"/>
          <w:sz w:val="21"/>
          <w:szCs w:val="21"/>
        </w:rPr>
        <w:t xml:space="preserve">del BCE y que </w:t>
      </w:r>
      <w:r>
        <w:rPr>
          <w:rFonts w:ascii="Open Sans" w:eastAsia="Open Sans" w:hAnsi="Open Sans" w:cs="Open Sans"/>
          <w:b/>
          <w:sz w:val="21"/>
          <w:szCs w:val="21"/>
        </w:rPr>
        <w:t>está actuando como palanca para muchos ciudadanos que, hasta ahora, habían permanecido fuera del mercado, concretamente para el 21%</w:t>
      </w:r>
      <w:r>
        <w:rPr>
          <w:rFonts w:ascii="Open Sans" w:eastAsia="Open Sans" w:hAnsi="Open Sans" w:cs="Open Sans"/>
          <w:sz w:val="21"/>
          <w:szCs w:val="21"/>
        </w:rPr>
        <w:t>.</w:t>
      </w:r>
      <w:r>
        <w:rPr>
          <w:rFonts w:ascii="Open Sans" w:eastAsia="Open Sans" w:hAnsi="Open Sans" w:cs="Open Sans"/>
          <w:b/>
          <w:sz w:val="21"/>
          <w:szCs w:val="21"/>
        </w:rPr>
        <w:t xml:space="preserve"> </w:t>
      </w:r>
      <w:r>
        <w:rPr>
          <w:rFonts w:ascii="Open Sans" w:eastAsia="Open Sans" w:hAnsi="Open Sans" w:cs="Open Sans"/>
          <w:sz w:val="21"/>
          <w:szCs w:val="21"/>
        </w:rPr>
        <w:t xml:space="preserve">Recordamos que, en 2022, el 40% de los compradores se vieron afectados por el brusco incremento de los tipos de interés, llegando a paralizar el proceso en el 19% de los casos”, </w:t>
      </w:r>
      <w:r>
        <w:rPr>
          <w:rFonts w:ascii="Open Sans" w:eastAsia="Open Sans" w:hAnsi="Open Sans" w:cs="Open Sans"/>
          <w:b/>
          <w:sz w:val="21"/>
          <w:szCs w:val="21"/>
        </w:rPr>
        <w:t xml:space="preserve">explica María Matos, directora de Estudios de </w:t>
      </w:r>
      <w:hyperlink r:id="rId7">
        <w:r>
          <w:rPr>
            <w:rFonts w:ascii="Open Sans" w:eastAsia="Open Sans" w:hAnsi="Open Sans" w:cs="Open Sans"/>
            <w:b/>
            <w:color w:val="1155CC"/>
            <w:sz w:val="21"/>
            <w:szCs w:val="21"/>
            <w:u w:val="single"/>
          </w:rPr>
          <w:t>Fotocasa</w:t>
        </w:r>
      </w:hyperlink>
      <w:r>
        <w:rPr>
          <w:rFonts w:ascii="Open Sans" w:eastAsia="Open Sans" w:hAnsi="Open Sans" w:cs="Open Sans"/>
          <w:b/>
          <w:sz w:val="21"/>
          <w:szCs w:val="21"/>
        </w:rPr>
        <w:t>.</w:t>
      </w:r>
    </w:p>
    <w:p w14:paraId="7D19F155" w14:textId="4E8790BC" w:rsidR="00B7098B" w:rsidRDefault="00000000" w:rsidP="00550A2A">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b/>
          <w:sz w:val="21"/>
          <w:szCs w:val="21"/>
        </w:rPr>
        <w:t xml:space="preserve">El mes de abril cierra con </w:t>
      </w:r>
      <w:r w:rsidR="00550A2A">
        <w:rPr>
          <w:rFonts w:ascii="Open Sans" w:eastAsia="Open Sans" w:hAnsi="Open Sans" w:cs="Open Sans"/>
          <w:b/>
          <w:sz w:val="21"/>
          <w:szCs w:val="21"/>
        </w:rPr>
        <w:t xml:space="preserve">un 16% </w:t>
      </w:r>
      <w:r>
        <w:rPr>
          <w:rFonts w:ascii="Open Sans" w:eastAsia="Open Sans" w:hAnsi="Open Sans" w:cs="Open Sans"/>
          <w:b/>
          <w:sz w:val="21"/>
          <w:szCs w:val="21"/>
        </w:rPr>
        <w:t xml:space="preserve">más de operaciones que en 2024, ya que presenta </w:t>
      </w:r>
      <w:r w:rsidR="00550A2A">
        <w:rPr>
          <w:rFonts w:ascii="Open Sans" w:eastAsia="Open Sans" w:hAnsi="Open Sans" w:cs="Open Sans"/>
          <w:b/>
          <w:sz w:val="21"/>
          <w:szCs w:val="21"/>
        </w:rPr>
        <w:t>237.458 compraventas.</w:t>
      </w:r>
      <w:r>
        <w:rPr>
          <w:rFonts w:ascii="Open Sans" w:eastAsia="Open Sans" w:hAnsi="Open Sans" w:cs="Open Sans"/>
          <w:b/>
          <w:sz w:val="21"/>
          <w:szCs w:val="21"/>
        </w:rPr>
        <w:t xml:space="preserve"> </w:t>
      </w:r>
      <w:r>
        <w:rPr>
          <w:rFonts w:ascii="Open Sans" w:eastAsia="Open Sans" w:hAnsi="Open Sans" w:cs="Open Sans"/>
          <w:sz w:val="21"/>
          <w:szCs w:val="21"/>
        </w:rPr>
        <w:t xml:space="preserve">Concretamente abril cierra con </w:t>
      </w:r>
      <w:r w:rsidR="00550A2A">
        <w:rPr>
          <w:rFonts w:ascii="Open Sans" w:eastAsia="Open Sans" w:hAnsi="Open Sans" w:cs="Open Sans"/>
          <w:sz w:val="21"/>
          <w:szCs w:val="21"/>
        </w:rPr>
        <w:t>54.318</w:t>
      </w:r>
      <w:r>
        <w:rPr>
          <w:rFonts w:ascii="Open Sans" w:eastAsia="Open Sans" w:hAnsi="Open Sans" w:cs="Open Sans"/>
          <w:sz w:val="21"/>
          <w:szCs w:val="21"/>
        </w:rPr>
        <w:t xml:space="preserve"> operaciones, lo que supone</w:t>
      </w:r>
      <w:r w:rsidR="00550A2A">
        <w:rPr>
          <w:rFonts w:ascii="Open Sans" w:eastAsia="Open Sans" w:hAnsi="Open Sans" w:cs="Open Sans"/>
          <w:sz w:val="21"/>
          <w:szCs w:val="21"/>
        </w:rPr>
        <w:t xml:space="preserve"> el segundo mejor mes de abril desde que el INE tiene datos, solo superado en abril de 2008 con 54.801 compraventas. </w:t>
      </w:r>
      <w:r>
        <w:rPr>
          <w:rFonts w:ascii="Open Sans" w:eastAsia="Open Sans" w:hAnsi="Open Sans" w:cs="Open Sans"/>
          <w:sz w:val="21"/>
          <w:szCs w:val="21"/>
        </w:rPr>
        <w:t xml:space="preserve">“Este dato </w:t>
      </w:r>
      <w:r w:rsidR="00550A2A">
        <w:rPr>
          <w:rFonts w:ascii="Open Sans" w:eastAsia="Open Sans" w:hAnsi="Open Sans" w:cs="Open Sans"/>
          <w:sz w:val="21"/>
          <w:szCs w:val="21"/>
        </w:rPr>
        <w:t xml:space="preserve">continúa mostrando el gran dinamismo que hay en el sector inmobiliario y supera el ejercicio pasado en casi un 20%. Si se sigue manteniendo este ritmo de más de 50.000 compraventas o de las 60.000, como hemos visto en meses anteriores, </w:t>
      </w:r>
      <w:r>
        <w:rPr>
          <w:rFonts w:ascii="Open Sans" w:eastAsia="Open Sans" w:hAnsi="Open Sans" w:cs="Open Sans"/>
          <w:b/>
          <w:sz w:val="21"/>
          <w:szCs w:val="21"/>
        </w:rPr>
        <w:t>podría convertirse en el mejor año desde 2007,</w:t>
      </w:r>
      <w:r>
        <w:rPr>
          <w:rFonts w:ascii="Open Sans" w:eastAsia="Open Sans" w:hAnsi="Open Sans" w:cs="Open Sans"/>
          <w:sz w:val="21"/>
          <w:szCs w:val="21"/>
        </w:rPr>
        <w:t xml:space="preserve"> cuando se llegó a las 775.000 transacciones.</w:t>
      </w:r>
      <w:r>
        <w:rPr>
          <w:rFonts w:ascii="Open Sans" w:eastAsia="Open Sans" w:hAnsi="Open Sans" w:cs="Open Sans"/>
          <w:b/>
          <w:sz w:val="21"/>
          <w:szCs w:val="21"/>
        </w:rPr>
        <w:t xml:space="preserve"> Estas cifras indican que continúa una época dorada para la compraventa de vivienda, </w:t>
      </w:r>
      <w:r>
        <w:rPr>
          <w:rFonts w:ascii="Open Sans" w:eastAsia="Open Sans" w:hAnsi="Open Sans" w:cs="Open Sans"/>
          <w:sz w:val="21"/>
          <w:szCs w:val="21"/>
        </w:rPr>
        <w:t xml:space="preserve">impulsada por una demanda muy intensa”, asegura la portavoz.  </w:t>
      </w:r>
    </w:p>
    <w:p w14:paraId="3997AA50" w14:textId="77777777" w:rsidR="00511AC7" w:rsidRDefault="00511AC7" w:rsidP="00550A2A">
      <w:pPr>
        <w:pBdr>
          <w:top w:val="nil"/>
          <w:left w:val="nil"/>
          <w:bottom w:val="nil"/>
          <w:right w:val="nil"/>
          <w:between w:val="nil"/>
        </w:pBdr>
        <w:shd w:val="clear" w:color="auto" w:fill="FFFFFF"/>
        <w:spacing w:after="225"/>
        <w:jc w:val="both"/>
        <w:rPr>
          <w:rFonts w:ascii="Open Sans" w:eastAsia="Open Sans" w:hAnsi="Open Sans" w:cs="Open Sans"/>
          <w:sz w:val="21"/>
          <w:szCs w:val="21"/>
        </w:rPr>
      </w:pPr>
    </w:p>
    <w:p w14:paraId="674C3EB1" w14:textId="77777777" w:rsidR="00B7098B" w:rsidRDefault="00000000">
      <w:pPr>
        <w:shd w:val="clear" w:color="auto" w:fill="FFFFFF"/>
        <w:spacing w:after="225"/>
        <w:jc w:val="both"/>
        <w:rPr>
          <w:rFonts w:ascii="Open Sans" w:eastAsia="Open Sans" w:hAnsi="Open Sans" w:cs="Open Sans"/>
          <w:b/>
          <w:color w:val="303AB2"/>
          <w:sz w:val="24"/>
          <w:szCs w:val="24"/>
        </w:rPr>
      </w:pPr>
      <w:r>
        <w:rPr>
          <w:rFonts w:ascii="Open Sans" w:eastAsia="Open Sans" w:hAnsi="Open Sans" w:cs="Open Sans"/>
          <w:b/>
          <w:color w:val="303AB2"/>
          <w:sz w:val="24"/>
          <w:szCs w:val="24"/>
        </w:rPr>
        <w:t>La vivienda de obra nueva con mayor presencia en el mercado</w:t>
      </w:r>
    </w:p>
    <w:p w14:paraId="730DED08" w14:textId="508166A0" w:rsidR="00B7098B"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Uno de los datos más relevantes es el de las operaciones sobre </w:t>
      </w:r>
      <w:r>
        <w:rPr>
          <w:rFonts w:ascii="Open Sans" w:eastAsia="Open Sans" w:hAnsi="Open Sans" w:cs="Open Sans"/>
          <w:b/>
          <w:sz w:val="21"/>
          <w:szCs w:val="21"/>
        </w:rPr>
        <w:t xml:space="preserve">viviendas nuevas que reflejan un incremento interanual del </w:t>
      </w:r>
      <w:r w:rsidR="00136189">
        <w:rPr>
          <w:rFonts w:ascii="Open Sans" w:eastAsia="Open Sans" w:hAnsi="Open Sans" w:cs="Open Sans"/>
          <w:b/>
          <w:sz w:val="21"/>
          <w:szCs w:val="21"/>
        </w:rPr>
        <w:t>7,2%</w:t>
      </w:r>
      <w:r>
        <w:rPr>
          <w:rFonts w:ascii="Open Sans" w:eastAsia="Open Sans" w:hAnsi="Open Sans" w:cs="Open Sans"/>
          <w:b/>
          <w:sz w:val="21"/>
          <w:szCs w:val="21"/>
        </w:rPr>
        <w:t xml:space="preserve"> y</w:t>
      </w:r>
      <w:r w:rsidR="00136189">
        <w:rPr>
          <w:rFonts w:ascii="Open Sans" w:eastAsia="Open Sans" w:hAnsi="Open Sans" w:cs="Open Sans"/>
          <w:b/>
          <w:sz w:val="21"/>
          <w:szCs w:val="21"/>
        </w:rPr>
        <w:t xml:space="preserve"> han supuesto 11.410 compraventas en abril, un 21% del total de las compraventas</w:t>
      </w:r>
      <w:r>
        <w:rPr>
          <w:rFonts w:ascii="Open Sans" w:eastAsia="Open Sans" w:hAnsi="Open Sans" w:cs="Open Sans"/>
          <w:b/>
          <w:sz w:val="21"/>
          <w:szCs w:val="21"/>
        </w:rPr>
        <w:t xml:space="preserve">. </w:t>
      </w:r>
      <w:r>
        <w:rPr>
          <w:rFonts w:ascii="Open Sans" w:eastAsia="Open Sans" w:hAnsi="Open Sans" w:cs="Open Sans"/>
          <w:sz w:val="21"/>
          <w:szCs w:val="21"/>
        </w:rPr>
        <w:t xml:space="preserve">“Es un volumen muy significativo en comparación con el porcentaje mostrado en los últimos años. Esta tipología está experimentando una gran intensidad, debido al alto interés por comprar vivienda a estrenar, ya que la vivienda nueva cumple con los requisitos más demandados por los compradores. Sin embargo, podemos encontrarnos con </w:t>
      </w:r>
      <w:r>
        <w:rPr>
          <w:rFonts w:ascii="Open Sans" w:eastAsia="Open Sans" w:hAnsi="Open Sans" w:cs="Open Sans"/>
          <w:b/>
          <w:sz w:val="21"/>
          <w:szCs w:val="21"/>
        </w:rPr>
        <w:t>una grave problemática de subida de precios, si la demanda continúa tan fuerte</w:t>
      </w:r>
      <w:r>
        <w:rPr>
          <w:rFonts w:ascii="Open Sans" w:eastAsia="Open Sans" w:hAnsi="Open Sans" w:cs="Open Sans"/>
          <w:sz w:val="21"/>
          <w:szCs w:val="21"/>
        </w:rPr>
        <w:t xml:space="preserve">. Las dificultades de los promotores para encontrar suelo y financiarlo, además del aumento del coste de los materiales o a la excesiva burocracia y la gran falta de mano de obra a la que se enfrenta el sector mantiene los niveles productivos insuficientes para poder absorber la demanda de compra existente”, explica María Matos. </w:t>
      </w:r>
    </w:p>
    <w:p w14:paraId="784B38D9" w14:textId="77777777" w:rsidR="00B7098B" w:rsidRDefault="00000000">
      <w:pPr>
        <w:shd w:val="clear" w:color="auto" w:fill="FFFFFF"/>
        <w:spacing w:before="280" w:after="280"/>
        <w:jc w:val="both"/>
        <w:rPr>
          <w:rFonts w:ascii="Open Sans" w:eastAsia="Open Sans" w:hAnsi="Open Sans" w:cs="Open Sans"/>
        </w:rPr>
      </w:pPr>
      <w:r>
        <w:rPr>
          <w:rFonts w:ascii="Open Sans" w:eastAsia="Open Sans" w:hAnsi="Open Sans" w:cs="Open Sans"/>
          <w:b/>
          <w:color w:val="303AB2"/>
          <w:sz w:val="24"/>
          <w:szCs w:val="24"/>
        </w:rPr>
        <w:t>Previsiones de actividad en 2025</w:t>
      </w:r>
    </w:p>
    <w:p w14:paraId="78D0E13A" w14:textId="77777777" w:rsidR="00B7098B"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“La nueva política económica de desescalada de tipos y consecuente descenso del Euríbor sigue siendo uno de los principales dinamizadores de la compra de vivienda en España. En concreto </w:t>
      </w:r>
      <w:r>
        <w:rPr>
          <w:rFonts w:ascii="Open Sans" w:eastAsia="Open Sans" w:hAnsi="Open Sans" w:cs="Open Sans"/>
          <w:b/>
          <w:sz w:val="21"/>
          <w:szCs w:val="21"/>
        </w:rPr>
        <w:t>el 21% de la demanda actual está directamente influida por las mejores condiciones de financiación</w:t>
      </w:r>
      <w:r>
        <w:rPr>
          <w:rFonts w:ascii="Open Sans" w:eastAsia="Open Sans" w:hAnsi="Open Sans" w:cs="Open Sans"/>
          <w:sz w:val="21"/>
          <w:szCs w:val="21"/>
        </w:rPr>
        <w:t xml:space="preserve">. Según los últimos datos de </w:t>
      </w:r>
      <w:hyperlink r:id="rId8">
        <w:r w:rsidRPr="00136189">
          <w:rPr>
            <w:rFonts w:ascii="Open Sans" w:eastAsia="Open Sans" w:hAnsi="Open Sans" w:cs="Open Sans"/>
            <w:b/>
            <w:bCs/>
            <w:i/>
            <w:color w:val="1155CC"/>
            <w:sz w:val="21"/>
            <w:szCs w:val="21"/>
            <w:u w:val="single"/>
          </w:rPr>
          <w:t xml:space="preserve">Fotocasa </w:t>
        </w:r>
        <w:proofErr w:type="spellStart"/>
        <w:r w:rsidRPr="00136189">
          <w:rPr>
            <w:rFonts w:ascii="Open Sans" w:eastAsia="Open Sans" w:hAnsi="Open Sans" w:cs="Open Sans"/>
            <w:b/>
            <w:bCs/>
            <w:i/>
            <w:color w:val="1155CC"/>
            <w:sz w:val="21"/>
            <w:szCs w:val="21"/>
            <w:u w:val="single"/>
          </w:rPr>
          <w:t>Research</w:t>
        </w:r>
        <w:proofErr w:type="spellEnd"/>
      </w:hyperlink>
      <w:r>
        <w:rPr>
          <w:rFonts w:ascii="Open Sans" w:eastAsia="Open Sans" w:hAnsi="Open Sans" w:cs="Open Sans"/>
          <w:sz w:val="21"/>
          <w:szCs w:val="21"/>
        </w:rPr>
        <w:t xml:space="preserve"> en 2025, </w:t>
      </w:r>
      <w:r>
        <w:rPr>
          <w:rFonts w:ascii="Open Sans" w:eastAsia="Open Sans" w:hAnsi="Open Sans" w:cs="Open Sans"/>
          <w:b/>
          <w:sz w:val="21"/>
          <w:szCs w:val="21"/>
        </w:rPr>
        <w:t>un 7% de los compradores reconocen haber comprado vivienda cuando inicialmente no lo tenían previsto por el actual abaratamiento de las hipotecas y el 14% se vuelve a plantear la compra</w:t>
      </w:r>
      <w:r>
        <w:rPr>
          <w:rFonts w:ascii="Open Sans" w:eastAsia="Open Sans" w:hAnsi="Open Sans" w:cs="Open Sans"/>
          <w:sz w:val="21"/>
          <w:szCs w:val="21"/>
        </w:rPr>
        <w:t xml:space="preserve"> de vivienda si se consolidan estas condiciones más atractivas en los próximos meses”, asegura la directora de Estudios.</w:t>
      </w:r>
    </w:p>
    <w:p w14:paraId="005D6CC7" w14:textId="0F4AE99C" w:rsidR="00B7098B"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w:t>
      </w:r>
      <w:r>
        <w:rPr>
          <w:rFonts w:ascii="Open Sans" w:eastAsia="Open Sans" w:hAnsi="Open Sans" w:cs="Open Sans"/>
          <w:b/>
          <w:sz w:val="21"/>
          <w:szCs w:val="21"/>
        </w:rPr>
        <w:t>La actual inestabilidad geopolítica está reforzando la percepción de la vivienda como un valor refugio</w:t>
      </w:r>
      <w:r>
        <w:rPr>
          <w:rFonts w:ascii="Open Sans" w:eastAsia="Open Sans" w:hAnsi="Open Sans" w:cs="Open Sans"/>
          <w:sz w:val="21"/>
          <w:szCs w:val="21"/>
        </w:rPr>
        <w:t xml:space="preserve">, lo que podría traducirse en un repunte de la demanda y un incremento en el número de compraventas en los próximos meses. Por su parte, las políticas incentivadoras que fomentan la compra de vivienda como </w:t>
      </w:r>
      <w:r>
        <w:rPr>
          <w:rFonts w:ascii="Open Sans" w:eastAsia="Open Sans" w:hAnsi="Open Sans" w:cs="Open Sans"/>
          <w:b/>
          <w:sz w:val="21"/>
          <w:szCs w:val="21"/>
        </w:rPr>
        <w:t>los avales ICO también tendrán su efecto e impulsarán la demanda en jóvenes</w:t>
      </w:r>
      <w:r>
        <w:rPr>
          <w:rFonts w:ascii="Open Sans" w:eastAsia="Open Sans" w:hAnsi="Open Sans" w:cs="Open Sans"/>
          <w:sz w:val="21"/>
          <w:szCs w:val="21"/>
        </w:rPr>
        <w:t xml:space="preserve"> y familias con menores a cargo. De hecho</w:t>
      </w:r>
      <w:r w:rsidR="00136189">
        <w:rPr>
          <w:rFonts w:ascii="Open Sans" w:eastAsia="Open Sans" w:hAnsi="Open Sans" w:cs="Open Sans"/>
          <w:sz w:val="21"/>
          <w:szCs w:val="21"/>
        </w:rPr>
        <w:t>,</w:t>
      </w:r>
      <w:r>
        <w:rPr>
          <w:rFonts w:ascii="Open Sans" w:eastAsia="Open Sans" w:hAnsi="Open Sans" w:cs="Open Sans"/>
          <w:sz w:val="21"/>
          <w:szCs w:val="21"/>
        </w:rPr>
        <w:t xml:space="preserve"> uno de cada tres jóvenes compradores accederá al mercado animado por las nuevas condiciones hipotecarias”, </w:t>
      </w:r>
      <w:r>
        <w:rPr>
          <w:rFonts w:ascii="Open Sans" w:eastAsia="Open Sans" w:hAnsi="Open Sans" w:cs="Open Sans"/>
          <w:b/>
          <w:sz w:val="21"/>
          <w:szCs w:val="21"/>
        </w:rPr>
        <w:t xml:space="preserve">prevé María Matos, portavoz de </w:t>
      </w:r>
      <w:hyperlink r:id="rId9">
        <w:r>
          <w:rPr>
            <w:rFonts w:ascii="Open Sans" w:eastAsia="Open Sans" w:hAnsi="Open Sans" w:cs="Open Sans"/>
            <w:b/>
            <w:color w:val="1155CC"/>
            <w:sz w:val="21"/>
            <w:szCs w:val="21"/>
            <w:u w:val="single"/>
          </w:rPr>
          <w:t>Fotocasa</w:t>
        </w:r>
      </w:hyperlink>
      <w:r>
        <w:rPr>
          <w:rFonts w:ascii="Open Sans" w:eastAsia="Open Sans" w:hAnsi="Open Sans" w:cs="Open Sans"/>
          <w:sz w:val="21"/>
          <w:szCs w:val="21"/>
        </w:rPr>
        <w:t xml:space="preserve">. </w:t>
      </w:r>
    </w:p>
    <w:p w14:paraId="1B22C7C4" w14:textId="7ACA83A7" w:rsidR="00B7098B"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“Todo ello, fomentará una sobredimensión de la demanda de compra, que pondrá más presión sobre la oferta, por lo que la tendencia del precio de la vivienda seguirá al alza durante todo 2025. El giro de la política monetaria del Banco Central Europeo hacia una </w:t>
      </w:r>
      <w:r>
        <w:rPr>
          <w:rFonts w:ascii="Open Sans" w:eastAsia="Open Sans" w:hAnsi="Open Sans" w:cs="Open Sans"/>
          <w:sz w:val="21"/>
          <w:szCs w:val="21"/>
        </w:rPr>
        <w:lastRenderedPageBreak/>
        <w:t xml:space="preserve">postura más </w:t>
      </w:r>
      <w:r w:rsidR="00136189">
        <w:rPr>
          <w:rFonts w:ascii="Open Sans" w:eastAsia="Open Sans" w:hAnsi="Open Sans" w:cs="Open Sans"/>
          <w:sz w:val="21"/>
          <w:szCs w:val="21"/>
        </w:rPr>
        <w:t>flexible</w:t>
      </w:r>
      <w:r>
        <w:rPr>
          <w:rFonts w:ascii="Open Sans" w:eastAsia="Open Sans" w:hAnsi="Open Sans" w:cs="Open Sans"/>
          <w:b/>
          <w:sz w:val="21"/>
          <w:szCs w:val="21"/>
        </w:rPr>
        <w:t xml:space="preserve"> provocará indirectamente presión en los precios de la vivienda al atraer más demanda de compra al mercado</w:t>
      </w:r>
      <w:r>
        <w:rPr>
          <w:rFonts w:ascii="Open Sans" w:eastAsia="Open Sans" w:hAnsi="Open Sans" w:cs="Open Sans"/>
          <w:sz w:val="21"/>
          <w:szCs w:val="21"/>
        </w:rPr>
        <w:t>”, asegura la directora de Estudios.</w:t>
      </w:r>
    </w:p>
    <w:p w14:paraId="205669E5" w14:textId="77777777" w:rsidR="00B7098B"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“Actualmente, es posible encontrar </w:t>
      </w:r>
      <w:r>
        <w:rPr>
          <w:rFonts w:ascii="Open Sans" w:eastAsia="Open Sans" w:hAnsi="Open Sans" w:cs="Open Sans"/>
          <w:b/>
          <w:sz w:val="21"/>
          <w:szCs w:val="21"/>
        </w:rPr>
        <w:t>una cuota hipotecaria más baja que la mensualidad de un alquiler, por lo que los elevados precios del arrendamiento también contribuyen a desviar la demanda hacia la compra de vivienda.</w:t>
      </w:r>
      <w:r>
        <w:rPr>
          <w:rFonts w:ascii="Open Sans" w:eastAsia="Open Sans" w:hAnsi="Open Sans" w:cs="Open Sans"/>
          <w:sz w:val="21"/>
          <w:szCs w:val="21"/>
        </w:rPr>
        <w:t xml:space="preserve"> En este escenario, los compradores podrán obtener hipotecas más accesibles, pero enfrentarse a precios de compra más altos. Esta situación sumada a que existe una </w:t>
      </w:r>
      <w:r>
        <w:rPr>
          <w:rFonts w:ascii="Open Sans" w:eastAsia="Open Sans" w:hAnsi="Open Sans" w:cs="Open Sans"/>
          <w:b/>
          <w:sz w:val="21"/>
          <w:szCs w:val="21"/>
        </w:rPr>
        <w:t>demanda insatisfecha muy significativa se ve perjudicada por la gran escasez de oferta disponible existente</w:t>
      </w:r>
      <w:r>
        <w:rPr>
          <w:rFonts w:ascii="Open Sans" w:eastAsia="Open Sans" w:hAnsi="Open Sans" w:cs="Open Sans"/>
          <w:sz w:val="21"/>
          <w:szCs w:val="21"/>
        </w:rPr>
        <w:t>. Y es que precisamente la falta de oferta de vivienda que hay de forma generalizada en España será un gran problema para la demanda en los próximos meses. Por lo tanto, encontrar la vivienda ideal será cada vez una tarea más complicada”, concluye la directora de Estudios.</w:t>
      </w:r>
    </w:p>
    <w:p w14:paraId="2E294731" w14:textId="77777777" w:rsidR="00B7098B" w:rsidRDefault="00B7098B">
      <w:pPr>
        <w:shd w:val="clear" w:color="auto" w:fill="FFFFFF"/>
        <w:spacing w:before="280" w:after="280"/>
        <w:jc w:val="both"/>
        <w:rPr>
          <w:rFonts w:ascii="Open Sans" w:eastAsia="Open Sans" w:hAnsi="Open Sans" w:cs="Open Sans"/>
          <w:sz w:val="21"/>
          <w:szCs w:val="21"/>
        </w:rPr>
      </w:pPr>
    </w:p>
    <w:p w14:paraId="009CE3D8" w14:textId="77777777" w:rsidR="00B7098B" w:rsidRDefault="00000000">
      <w:pPr>
        <w:shd w:val="clear" w:color="auto" w:fill="FFFFFF"/>
        <w:spacing w:before="280" w:after="280"/>
        <w:jc w:val="right"/>
        <w:rPr>
          <w:rFonts w:ascii="Open Sans Light" w:eastAsia="Open Sans Light" w:hAnsi="Open Sans Light" w:cs="Open Sans Light"/>
          <w:b/>
          <w:color w:val="303AB2"/>
          <w:sz w:val="24"/>
          <w:szCs w:val="24"/>
        </w:rPr>
      </w:pPr>
      <w:r>
        <w:rPr>
          <w:rFonts w:ascii="Open Sans Light" w:eastAsia="Open Sans Light" w:hAnsi="Open Sans Light" w:cs="Open Sans Light"/>
          <w:b/>
          <w:color w:val="303AB2"/>
          <w:sz w:val="24"/>
          <w:szCs w:val="24"/>
        </w:rPr>
        <w:t>Departamento de Comunicación de Fotocasa</w:t>
      </w:r>
    </w:p>
    <w:p w14:paraId="1DDD7C0F" w14:textId="77777777" w:rsidR="00B7098B" w:rsidRDefault="00000000">
      <w:pPr>
        <w:shd w:val="clear" w:color="auto" w:fill="FFFFFF"/>
        <w:ind w:right="-7"/>
        <w:jc w:val="right"/>
        <w:rPr>
          <w:rFonts w:ascii="Open Sans" w:eastAsia="Open Sans" w:hAnsi="Open Sans" w:cs="Open Sans"/>
          <w:b/>
          <w:sz w:val="21"/>
          <w:szCs w:val="21"/>
        </w:rPr>
      </w:pPr>
      <w:r>
        <w:rPr>
          <w:rFonts w:ascii="Open Sans" w:eastAsia="Open Sans" w:hAnsi="Open Sans" w:cs="Open Sans"/>
          <w:b/>
          <w:sz w:val="21"/>
          <w:szCs w:val="21"/>
        </w:rPr>
        <w:t>Anaïs López</w:t>
      </w:r>
    </w:p>
    <w:p w14:paraId="54ED13D5" w14:textId="77777777" w:rsidR="00B7098B"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Móvil: 620 66 29 26</w:t>
      </w:r>
    </w:p>
    <w:p w14:paraId="261EA331" w14:textId="77777777" w:rsidR="00B7098B" w:rsidRDefault="00000000">
      <w:pPr>
        <w:shd w:val="clear" w:color="auto" w:fill="FFFFFF"/>
        <w:ind w:right="-7"/>
        <w:jc w:val="right"/>
        <w:rPr>
          <w:rFonts w:ascii="Open Sans" w:eastAsia="Open Sans" w:hAnsi="Open Sans" w:cs="Open Sans"/>
          <w:sz w:val="21"/>
          <w:szCs w:val="21"/>
        </w:rPr>
      </w:pPr>
      <w:hyperlink r:id="rId10">
        <w:r>
          <w:rPr>
            <w:rFonts w:ascii="Open Sans" w:eastAsia="Open Sans" w:hAnsi="Open Sans" w:cs="Open Sans"/>
            <w:color w:val="0563C1"/>
            <w:sz w:val="21"/>
            <w:szCs w:val="21"/>
            <w:u w:val="single"/>
          </w:rPr>
          <w:t>comunicacion@fotocasa.es</w:t>
        </w:r>
      </w:hyperlink>
    </w:p>
    <w:p w14:paraId="006751A4" w14:textId="77777777" w:rsidR="00B7098B" w:rsidRDefault="00000000">
      <w:pPr>
        <w:shd w:val="clear" w:color="auto" w:fill="FFFFFF"/>
        <w:ind w:right="-7"/>
        <w:jc w:val="right"/>
        <w:rPr>
          <w:rFonts w:ascii="Open Sans" w:eastAsia="Open Sans" w:hAnsi="Open Sans" w:cs="Open Sans"/>
          <w:sz w:val="21"/>
          <w:szCs w:val="21"/>
        </w:rPr>
      </w:pPr>
      <w:hyperlink r:id="rId11">
        <w:r>
          <w:rPr>
            <w:rFonts w:ascii="Open Sans" w:eastAsia="Open Sans" w:hAnsi="Open Sans" w:cs="Open Sans"/>
            <w:color w:val="0563C1"/>
            <w:sz w:val="21"/>
            <w:szCs w:val="21"/>
            <w:u w:val="single"/>
          </w:rPr>
          <w:t>http://prensa.fotocasa.es</w:t>
        </w:r>
      </w:hyperlink>
    </w:p>
    <w:p w14:paraId="16B3B4F5" w14:textId="77777777" w:rsidR="00B7098B" w:rsidRDefault="00B7098B">
      <w:pPr>
        <w:shd w:val="clear" w:color="auto" w:fill="FFFFFF"/>
        <w:ind w:right="-7"/>
        <w:jc w:val="right"/>
      </w:pPr>
    </w:p>
    <w:sectPr w:rsidR="00B7098B">
      <w:headerReference w:type="default" r:id="rId12"/>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477CA" w14:textId="77777777" w:rsidR="00A63F55" w:rsidRDefault="00A63F55">
      <w:pPr>
        <w:spacing w:line="240" w:lineRule="auto"/>
      </w:pPr>
      <w:r>
        <w:separator/>
      </w:r>
    </w:p>
  </w:endnote>
  <w:endnote w:type="continuationSeparator" w:id="0">
    <w:p w14:paraId="6B7EA7EA" w14:textId="77777777" w:rsidR="00A63F55" w:rsidRDefault="00A63F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6042A43-E66C-4A59-BEB9-03E3A92FB88C}"/>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2" w:fontKey="{61D22E3E-6E67-47A2-B4FC-132DDBC4F851}"/>
    <w:embedBold r:id="rId3" w:fontKey="{92AEC8BB-2514-470B-8E34-60006C199B68}"/>
    <w:embedBoldItalic r:id="rId4" w:fontKey="{FA83E385-3F3C-4D56-839B-5A5C2C963CCC}"/>
  </w:font>
  <w:font w:name="Open Sans Light">
    <w:charset w:val="00"/>
    <w:family w:val="swiss"/>
    <w:pitch w:val="variable"/>
    <w:sig w:usb0="E00002EF" w:usb1="4000205B" w:usb2="00000028" w:usb3="00000000" w:csb0="0000019F" w:csb1="00000000"/>
    <w:embedRegular r:id="rId5" w:fontKey="{771113B5-7975-4BFE-941D-8E8BCDC8ECE4}"/>
    <w:embedBold r:id="rId6" w:fontKey="{3F81F123-FD9A-43D8-A96C-C7BEAA455ACC}"/>
  </w:font>
  <w:font w:name="Cambria">
    <w:panose1 w:val="02040503050406030204"/>
    <w:charset w:val="00"/>
    <w:family w:val="roman"/>
    <w:pitch w:val="variable"/>
    <w:sig w:usb0="E00006FF" w:usb1="420024FF" w:usb2="02000000" w:usb3="00000000" w:csb0="0000019F" w:csb1="00000000"/>
    <w:embedRegular r:id="rId7" w:fontKey="{3BAA788B-B9BE-4D34-8071-95FCF7EE64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59A1C" w14:textId="77777777" w:rsidR="00B7098B" w:rsidRDefault="00000000">
    <w:r>
      <w:rPr>
        <w:noProof/>
      </w:rPr>
      <w:drawing>
        <wp:anchor distT="0" distB="0" distL="0" distR="0" simplePos="0" relativeHeight="251658240" behindDoc="0" locked="0" layoutInCell="1" hidden="0" allowOverlap="1" wp14:anchorId="00F22887" wp14:editId="65096476">
          <wp:simplePos x="0" y="0"/>
          <wp:positionH relativeFrom="column">
            <wp:posOffset>-1916393</wp:posOffset>
          </wp:positionH>
          <wp:positionV relativeFrom="paragraph">
            <wp:posOffset>304800</wp:posOffset>
          </wp:positionV>
          <wp:extent cx="8620125" cy="447675"/>
          <wp:effectExtent l="0" t="0" r="0" b="0"/>
          <wp:wrapSquare wrapText="bothSides" distT="0" distB="0" distL="0" distR="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3043" r="617"/>
                  <a:stretch>
                    <a:fillRect/>
                  </a:stretch>
                </pic:blipFill>
                <pic:spPr>
                  <a:xfrm>
                    <a:off x="0" y="0"/>
                    <a:ext cx="862012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E3808" w14:textId="77777777" w:rsidR="00A63F55" w:rsidRDefault="00A63F55">
      <w:pPr>
        <w:spacing w:line="240" w:lineRule="auto"/>
      </w:pPr>
      <w:r>
        <w:separator/>
      </w:r>
    </w:p>
  </w:footnote>
  <w:footnote w:type="continuationSeparator" w:id="0">
    <w:p w14:paraId="4B9312D3" w14:textId="77777777" w:rsidR="00A63F55" w:rsidRDefault="00A63F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A18B" w14:textId="77777777" w:rsidR="00511AC7" w:rsidRDefault="00511AC7">
    <w:pPr>
      <w:pStyle w:val="Encabezado"/>
    </w:pPr>
  </w:p>
  <w:p w14:paraId="7B636422" w14:textId="7F6E725F" w:rsidR="00511AC7" w:rsidRDefault="00511AC7">
    <w:pPr>
      <w:pStyle w:val="Encabezado"/>
    </w:pPr>
    <w:r>
      <w:rPr>
        <w:noProof/>
      </w:rPr>
      <w:drawing>
        <wp:anchor distT="0" distB="0" distL="0" distR="0" simplePos="0" relativeHeight="251660288" behindDoc="0" locked="0" layoutInCell="1" hidden="0" allowOverlap="1" wp14:anchorId="3C333142" wp14:editId="0B36781B">
          <wp:simplePos x="0" y="0"/>
          <wp:positionH relativeFrom="page">
            <wp:posOffset>25400</wp:posOffset>
          </wp:positionH>
          <wp:positionV relativeFrom="paragraph">
            <wp:posOffset>-211878</wp:posOffset>
          </wp:positionV>
          <wp:extent cx="7711147" cy="1037167"/>
          <wp:effectExtent l="0" t="0" r="4445" b="0"/>
          <wp:wrapSquare wrapText="bothSides" distT="0" distB="0" distL="0" distR="0"/>
          <wp:docPr id="37" name="image1.png" descr="Patrón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7" name="image1.png" descr="Patrón de fondo&#10;&#10;El contenido generado por IA puede ser incorrecto."/>
                  <pic:cNvPicPr preferRelativeResize="0"/>
                </pic:nvPicPr>
                <pic:blipFill>
                  <a:blip r:embed="rId1"/>
                  <a:srcRect/>
                  <a:stretch>
                    <a:fillRect/>
                  </a:stretch>
                </pic:blipFill>
                <pic:spPr>
                  <a:xfrm>
                    <a:off x="0" y="0"/>
                    <a:ext cx="7711147" cy="103716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98B"/>
    <w:rsid w:val="00136189"/>
    <w:rsid w:val="00511AC7"/>
    <w:rsid w:val="00550A2A"/>
    <w:rsid w:val="00556F0C"/>
    <w:rsid w:val="0085091A"/>
    <w:rsid w:val="00A05DB9"/>
    <w:rsid w:val="00A63F55"/>
    <w:rsid w:val="00B7098B"/>
    <w:rsid w:val="00C570FF"/>
    <w:rsid w:val="00D11D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4281D"/>
  <w15:docId w15:val="{BF9FCB27-479B-4BFE-B3DC-988459391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511AC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11AC7"/>
  </w:style>
  <w:style w:type="paragraph" w:styleId="Piedepgina">
    <w:name w:val="footer"/>
    <w:basedOn w:val="Normal"/>
    <w:link w:val="PiedepginaCar"/>
    <w:uiPriority w:val="99"/>
    <w:unhideWhenUsed/>
    <w:rsid w:val="00511AC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11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search.fotocasa.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fotocasa.e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prensa.fotocasa.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comunicacion@fotocasa.es" TargetMode="External"/><Relationship Id="rId4" Type="http://schemas.openxmlformats.org/officeDocument/2006/relationships/webSettings" Target="webSettings.xml"/><Relationship Id="rId9" Type="http://schemas.openxmlformats.org/officeDocument/2006/relationships/hyperlink" Target="https://www.fotocasa.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tZ9wOSE99937seA+pN3K4WN1Nw==">CgMxLjA4AHIhMXFJcGdnWkpMNDlTNVZPWnBxYzVXR1FWZFFfM2JBZlUw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939</Words>
  <Characters>5170</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6</cp:revision>
  <dcterms:created xsi:type="dcterms:W3CDTF">2024-02-22T08:44:00Z</dcterms:created>
  <dcterms:modified xsi:type="dcterms:W3CDTF">2025-06-19T07:42:00Z</dcterms:modified>
</cp:coreProperties>
</file>