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7C336" w14:textId="0709C0AB" w:rsidR="00934705"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35F9984" w14:textId="77777777" w:rsidR="00934705"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52"/>
          <w:szCs w:val="52"/>
        </w:rPr>
        <w:t xml:space="preserve"> </w:t>
      </w:r>
      <w:r>
        <w:rPr>
          <w:rFonts w:ascii="National" w:eastAsia="National" w:hAnsi="National" w:cs="National"/>
          <w:b/>
          <w:color w:val="303AB2"/>
          <w:sz w:val="54"/>
          <w:szCs w:val="54"/>
        </w:rPr>
        <w:t>“El apetito hipotecario se recupera: los compradores vuelven a solicitar préstamos bancarios”</w:t>
      </w:r>
    </w:p>
    <w:p w14:paraId="27FC8B79" w14:textId="77777777" w:rsidR="00934705" w:rsidRDefault="00000000">
      <w:pP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20 de junio de 2025</w:t>
      </w:r>
    </w:p>
    <w:p w14:paraId="1E7F66F1" w14:textId="77777777" w:rsidR="00934705"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Los datos de hipotecas correspondientes al cuarto mes de 2025 dados a conocer hoy por el INE reflejan un descenso mensual del </w:t>
      </w:r>
      <w:r>
        <w:rPr>
          <w:rFonts w:ascii="Open Sans" w:eastAsia="Open Sans" w:hAnsi="Open Sans" w:cs="Open Sans"/>
          <w:b/>
          <w:sz w:val="21"/>
          <w:szCs w:val="21"/>
        </w:rPr>
        <w:t>-8,5%</w:t>
      </w:r>
      <w:r>
        <w:rPr>
          <w:rFonts w:ascii="Open Sans" w:eastAsia="Open Sans" w:hAnsi="Open Sans" w:cs="Open Sans"/>
          <w:sz w:val="21"/>
          <w:szCs w:val="21"/>
        </w:rPr>
        <w:t xml:space="preserve"> y un incremento interanual del </w:t>
      </w:r>
      <w:r>
        <w:rPr>
          <w:rFonts w:ascii="Open Sans" w:eastAsia="Open Sans" w:hAnsi="Open Sans" w:cs="Open Sans"/>
          <w:b/>
          <w:sz w:val="21"/>
          <w:szCs w:val="21"/>
          <w:highlight w:val="white"/>
        </w:rPr>
        <w:t>14,4%</w:t>
      </w:r>
      <w:r>
        <w:rPr>
          <w:rFonts w:ascii="Open Sans" w:eastAsia="Open Sans" w:hAnsi="Open Sans" w:cs="Open Sans"/>
          <w:sz w:val="21"/>
          <w:szCs w:val="21"/>
          <w:highlight w:val="white"/>
        </w:rPr>
        <w:t>.</w:t>
      </w:r>
      <w:r>
        <w:rPr>
          <w:rFonts w:ascii="Open Sans" w:eastAsia="Open Sans" w:hAnsi="Open Sans" w:cs="Open Sans"/>
          <w:sz w:val="21"/>
          <w:szCs w:val="21"/>
        </w:rPr>
        <w:t xml:space="preserve"> “El dato interanual, aunque sigue mostrando un incremento significativo, es menor que en los meses anteriores debido a que el mes de abril fue Semana Santa y esto hace que los datos no sean tan abultados como en meses anteriores ya que la actividad queda paralizada durante varios días. Igualmente, el contexto de una política monetaria más flexible que abarata el crédito y mejora las condiciones de financiación, </w:t>
      </w:r>
      <w:r>
        <w:rPr>
          <w:rFonts w:ascii="Open Sans" w:eastAsia="Open Sans" w:hAnsi="Open Sans" w:cs="Open Sans"/>
          <w:b/>
          <w:sz w:val="21"/>
          <w:szCs w:val="21"/>
        </w:rPr>
        <w:t>está reactivando la demanda de vivienda del 21% de compradores</w:t>
      </w:r>
      <w:r>
        <w:rPr>
          <w:rFonts w:ascii="Open Sans" w:eastAsia="Open Sans" w:hAnsi="Open Sans" w:cs="Open Sans"/>
          <w:sz w:val="21"/>
          <w:szCs w:val="21"/>
        </w:rPr>
        <w:t xml:space="preserve">, donde el acceso hipotecario se había enfriado por la subida de tipos previa. </w:t>
      </w:r>
      <w:r>
        <w:rPr>
          <w:rFonts w:ascii="Open Sans" w:eastAsia="Open Sans" w:hAnsi="Open Sans" w:cs="Open Sans"/>
          <w:b/>
          <w:sz w:val="21"/>
          <w:szCs w:val="21"/>
        </w:rPr>
        <w:t>El mercado hipotecario recupera su atractivo y consolida el cambio de ciclo</w:t>
      </w:r>
      <w:r>
        <w:rPr>
          <w:rFonts w:ascii="Open Sans" w:eastAsia="Open Sans" w:hAnsi="Open Sans" w:cs="Open Sans"/>
          <w:sz w:val="21"/>
          <w:szCs w:val="21"/>
        </w:rPr>
        <w:t xml:space="preserve">”, explica María Matos, directora de Estudios de </w:t>
      </w:r>
      <w:hyperlink r:id="rId7">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w:t>
      </w:r>
    </w:p>
    <w:p w14:paraId="189CF80E" w14:textId="77777777" w:rsidR="00934705"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 xml:space="preserve">El primer cuatrimestre cierra con un 19% más de operaciones que en 2024, ya que presenta 159.149 hipotecas firmadas. </w:t>
      </w:r>
      <w:r>
        <w:rPr>
          <w:rFonts w:ascii="Open Sans" w:eastAsia="Open Sans" w:hAnsi="Open Sans" w:cs="Open Sans"/>
          <w:sz w:val="21"/>
          <w:szCs w:val="21"/>
        </w:rPr>
        <w:t xml:space="preserve">En abril se han firmado </w:t>
      </w:r>
      <w:r>
        <w:rPr>
          <w:rFonts w:ascii="Open Sans" w:eastAsia="Open Sans" w:hAnsi="Open Sans" w:cs="Open Sans"/>
          <w:sz w:val="21"/>
          <w:szCs w:val="21"/>
          <w:highlight w:val="white"/>
        </w:rPr>
        <w:t xml:space="preserve">39.176 </w:t>
      </w:r>
      <w:r>
        <w:rPr>
          <w:rFonts w:ascii="Open Sans" w:eastAsia="Open Sans" w:hAnsi="Open Sans" w:cs="Open Sans"/>
          <w:sz w:val="21"/>
          <w:szCs w:val="21"/>
        </w:rPr>
        <w:t>hipotecas superando la media de los 35.000 créditos bancarios y es el mejor mes de abril desde el año 2010. Asimismo, este año 2025 está contando con gran movimiento en la adquisición de vivienda incentivado por factores como el optimismo y una notable confianza del comprador en el mercado, lo que impulsa</w:t>
      </w:r>
      <w:r>
        <w:rPr>
          <w:rFonts w:ascii="Open Sans" w:eastAsia="Open Sans" w:hAnsi="Open Sans" w:cs="Open Sans"/>
          <w:b/>
          <w:sz w:val="21"/>
          <w:szCs w:val="21"/>
        </w:rPr>
        <w:t xml:space="preserve"> una etapa dorada para la compraventa de vivienda con hipoteca</w:t>
      </w:r>
      <w:r>
        <w:rPr>
          <w:rFonts w:ascii="Open Sans" w:eastAsia="Open Sans" w:hAnsi="Open Sans" w:cs="Open Sans"/>
          <w:sz w:val="21"/>
          <w:szCs w:val="21"/>
        </w:rPr>
        <w:t>”, añade la portavoz del portal inmobiliario.</w:t>
      </w:r>
    </w:p>
    <w:p w14:paraId="58E4F605" w14:textId="77777777" w:rsidR="0093470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“Las entidades financieras ya están adaptadas al nuevo ritmo del Euríbor con ofertas muy competitivas y ventajosas para quienes necesitan financiación. Si bien es cierto que las hipotecas a tipo fijo seguirán siendo las más populares, (en estos momentos ya suponen el </w:t>
      </w:r>
      <w:r>
        <w:rPr>
          <w:rFonts w:ascii="Open Sans" w:eastAsia="Open Sans" w:hAnsi="Open Sans" w:cs="Open Sans"/>
          <w:sz w:val="21"/>
          <w:szCs w:val="21"/>
          <w:highlight w:val="white"/>
        </w:rPr>
        <w:t xml:space="preserve">67,1% de </w:t>
      </w:r>
      <w:r>
        <w:rPr>
          <w:rFonts w:ascii="Open Sans" w:eastAsia="Open Sans" w:hAnsi="Open Sans" w:cs="Open Sans"/>
          <w:sz w:val="21"/>
          <w:szCs w:val="21"/>
        </w:rPr>
        <w:t xml:space="preserve">las firmas) las </w:t>
      </w:r>
      <w:r>
        <w:rPr>
          <w:rFonts w:ascii="Open Sans" w:eastAsia="Open Sans" w:hAnsi="Open Sans" w:cs="Open Sans"/>
          <w:b/>
          <w:sz w:val="21"/>
          <w:szCs w:val="21"/>
        </w:rPr>
        <w:t>hipotecas a tipo variable (desincentivadas por las caídas del Euríbor) ya muestran una mayor competitividad</w:t>
      </w:r>
      <w:r>
        <w:rPr>
          <w:rFonts w:ascii="Open Sans" w:eastAsia="Open Sans" w:hAnsi="Open Sans" w:cs="Open Sans"/>
          <w:sz w:val="21"/>
          <w:szCs w:val="21"/>
        </w:rPr>
        <w:t xml:space="preserve">, especialmente si las condiciones del mercado continúan mejorando. Por lo tanto, la banca, con un mayor margen para ajustar sus ofertas hipotecarias, atraerá más solicitantes de créditos, que ya están aumentando y lo harán de manera más significativa durante el primer semestre del año”, </w:t>
      </w:r>
      <w:r>
        <w:rPr>
          <w:rFonts w:ascii="Open Sans" w:eastAsia="Open Sans" w:hAnsi="Open Sans" w:cs="Open Sans"/>
          <w:b/>
          <w:sz w:val="21"/>
          <w:szCs w:val="21"/>
        </w:rPr>
        <w:t xml:space="preserve">asegura la portavoz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w:t>
      </w:r>
    </w:p>
    <w:p w14:paraId="62BEFBDA" w14:textId="77777777" w:rsidR="0093470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lastRenderedPageBreak/>
        <w:t xml:space="preserve">“El mercado también está experimentando un cambio en el perfil del demandante, especialmente entre quienes no lograron acceder a la compra debido a los altos costes de financiación. Según </w:t>
      </w:r>
      <w:hyperlink r:id="rId9">
        <w:r>
          <w:rPr>
            <w:rFonts w:ascii="Open Sans" w:eastAsia="Open Sans" w:hAnsi="Open Sans" w:cs="Open Sans"/>
            <w:b/>
            <w:color w:val="1155CC"/>
            <w:sz w:val="21"/>
            <w:szCs w:val="21"/>
            <w:u w:val="single"/>
          </w:rPr>
          <w:t>Fotocasa Research</w:t>
        </w:r>
      </w:hyperlink>
      <w:r>
        <w:rPr>
          <w:rFonts w:ascii="Open Sans" w:eastAsia="Open Sans" w:hAnsi="Open Sans" w:cs="Open Sans"/>
          <w:sz w:val="21"/>
          <w:szCs w:val="21"/>
        </w:rPr>
        <w:t>, uno de cada tres jóvenes compradores accede al mercado animado por las nuevas condiciones hipotecarias, lo que evidencia la importancia de estas medidas en un colectivo excluido por razones de asequibilidad y de incrementos de precios”, asegura la directora de Estudios.</w:t>
      </w:r>
    </w:p>
    <w:p w14:paraId="53D0B276" w14:textId="77777777" w:rsidR="00934705" w:rsidRDefault="00000000">
      <w:pPr>
        <w:shd w:val="clear" w:color="auto" w:fill="FFFFFF"/>
        <w:spacing w:before="240" w:after="240"/>
        <w:jc w:val="both"/>
        <w:rPr>
          <w:rFonts w:ascii="Open Sans" w:eastAsia="Open Sans" w:hAnsi="Open Sans" w:cs="Open Sans"/>
          <w:sz w:val="21"/>
          <w:szCs w:val="21"/>
        </w:rPr>
      </w:pPr>
      <w:r>
        <w:rPr>
          <w:rFonts w:ascii="Open Sans" w:eastAsia="Open Sans" w:hAnsi="Open Sans" w:cs="Open Sans"/>
          <w:sz w:val="21"/>
          <w:szCs w:val="21"/>
        </w:rPr>
        <w:t xml:space="preserve">“A la vez, se observa un incremento de </w:t>
      </w:r>
      <w:r>
        <w:rPr>
          <w:rFonts w:ascii="Open Sans" w:eastAsia="Open Sans" w:hAnsi="Open Sans" w:cs="Open Sans"/>
          <w:b/>
          <w:sz w:val="21"/>
          <w:szCs w:val="21"/>
        </w:rPr>
        <w:t>compradores con alta solvencia económica, que necesitan menos financiación</w:t>
      </w:r>
      <w:r>
        <w:rPr>
          <w:rFonts w:ascii="Open Sans" w:eastAsia="Open Sans" w:hAnsi="Open Sans" w:cs="Open Sans"/>
          <w:sz w:val="21"/>
          <w:szCs w:val="21"/>
        </w:rPr>
        <w:t xml:space="preserve"> debido a su mayor poder adquisitivo. Por ello, en los próximos meses, </w:t>
      </w:r>
      <w:r>
        <w:rPr>
          <w:rFonts w:ascii="Open Sans" w:eastAsia="Open Sans" w:hAnsi="Open Sans" w:cs="Open Sans"/>
          <w:b/>
          <w:sz w:val="21"/>
          <w:szCs w:val="21"/>
        </w:rPr>
        <w:t>el porcentaje de compradores que opta por no solicitar hipoteca, actualmente en un 31%, se irá reduciendo</w:t>
      </w:r>
      <w:r>
        <w:rPr>
          <w:rFonts w:ascii="Open Sans" w:eastAsia="Open Sans" w:hAnsi="Open Sans" w:cs="Open Sans"/>
          <w:sz w:val="21"/>
          <w:szCs w:val="21"/>
        </w:rPr>
        <w:t>. Este perfil, que busca en la vivienda un valor refugio frente a la incertidumbre geopolítica y económica, está ganando peso en el mercado. Este escenario refleja un posible repunte de la demanda en el corto plazo, impulsado por mejores perspectivas en el mercado hipotecario”, explica la portavoz.</w:t>
      </w:r>
    </w:p>
    <w:p w14:paraId="085B31A9" w14:textId="77777777" w:rsidR="00934705"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durante 2025</w:t>
      </w:r>
    </w:p>
    <w:p w14:paraId="2D8CDD3D" w14:textId="77777777" w:rsidR="00934705" w:rsidRDefault="00000000">
      <w:pPr>
        <w:shd w:val="clear" w:color="auto" w:fill="FFFFFF"/>
        <w:spacing w:before="280" w:after="280"/>
        <w:jc w:val="both"/>
        <w:rPr>
          <w:rFonts w:ascii="Open Sans" w:eastAsia="Open Sans" w:hAnsi="Open Sans" w:cs="Open Sans"/>
          <w:b/>
          <w:sz w:val="21"/>
          <w:szCs w:val="21"/>
        </w:rPr>
      </w:pPr>
      <w:r>
        <w:rPr>
          <w:rFonts w:ascii="Open Sans" w:eastAsia="Open Sans" w:hAnsi="Open Sans" w:cs="Open Sans"/>
          <w:sz w:val="21"/>
          <w:szCs w:val="21"/>
        </w:rPr>
        <w:t xml:space="preserve">“La desescalada de los tipos de interés por parte del Banco Central Europeo marca un punto de inflexión en la política monetaria de la eurozona. Esta decisión, que busca estimular la economía en un contexto de desaceleración e incertidumbre geopolítica, supone una noticia alentadora para el mercado inmobiliario porque ha rebajado las condiciones de acceso al crédito hipotecario que ofrecen las entidades bancarias”, </w:t>
      </w:r>
      <w:r>
        <w:rPr>
          <w:rFonts w:ascii="Open Sans" w:eastAsia="Open Sans" w:hAnsi="Open Sans" w:cs="Open Sans"/>
          <w:b/>
          <w:sz w:val="21"/>
          <w:szCs w:val="21"/>
        </w:rPr>
        <w:t>comenta María Matos, directora de Estudios.</w:t>
      </w:r>
    </w:p>
    <w:p w14:paraId="10103385" w14:textId="77777777" w:rsidR="00934705"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“El impacto real de esta relajación monetaria dependerá de varios factores en los próximos meses, como </w:t>
      </w:r>
      <w:r>
        <w:rPr>
          <w:rFonts w:ascii="Open Sans" w:eastAsia="Open Sans" w:hAnsi="Open Sans" w:cs="Open Sans"/>
          <w:b/>
          <w:sz w:val="21"/>
          <w:szCs w:val="21"/>
        </w:rPr>
        <w:t>la evolución de la inflación de la zona euro, de las políticas comerciales de Estados Unidos, y del efecto expansivo del aumento del gasto público en defensa e infraestructuras en Europa</w:t>
      </w:r>
      <w:r>
        <w:rPr>
          <w:rFonts w:ascii="Open Sans" w:eastAsia="Open Sans" w:hAnsi="Open Sans" w:cs="Open Sans"/>
          <w:sz w:val="21"/>
          <w:szCs w:val="21"/>
        </w:rPr>
        <w:t xml:space="preserve">. Por ahora, el Euríbor mantiene su estabilidad por encima del 2%, lo que ha llevado a las entidades bancarias a mantener una oferta hipotecaria muy competitiva para captar clientes, lo que está reintroduciendo con fuerza las hipotecas a tipo fijo este año”, </w:t>
      </w:r>
      <w:r>
        <w:rPr>
          <w:rFonts w:ascii="Open Sans" w:eastAsia="Open Sans" w:hAnsi="Open Sans" w:cs="Open Sans"/>
          <w:b/>
          <w:sz w:val="21"/>
          <w:szCs w:val="21"/>
        </w:rPr>
        <w:t>prevé María Matos, portavoz de</w:t>
      </w:r>
      <w:r>
        <w:rPr>
          <w:rFonts w:ascii="Open Sans" w:eastAsia="Open Sans" w:hAnsi="Open Sans" w:cs="Open Sans"/>
          <w:sz w:val="21"/>
          <w:szCs w:val="21"/>
        </w:rPr>
        <w:t xml:space="preserv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58953E4C" w14:textId="77777777" w:rsidR="00934705"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 xml:space="preserve">2025 se mantiene con altas expectativas en cuanto a volumen de firmas, para convertirse en otro de los años de </w:t>
      </w:r>
      <w:r>
        <w:rPr>
          <w:rFonts w:ascii="Open Sans" w:eastAsia="Open Sans" w:hAnsi="Open Sans" w:cs="Open Sans"/>
          <w:b/>
          <w:i/>
          <w:sz w:val="21"/>
          <w:szCs w:val="21"/>
        </w:rPr>
        <w:t>boom</w:t>
      </w:r>
      <w:r>
        <w:rPr>
          <w:rFonts w:ascii="Open Sans" w:eastAsia="Open Sans" w:hAnsi="Open Sans" w:cs="Open Sans"/>
          <w:b/>
          <w:sz w:val="21"/>
          <w:szCs w:val="21"/>
        </w:rPr>
        <w:t xml:space="preserve"> de actividad en hipotecas</w:t>
      </w:r>
      <w:r>
        <w:rPr>
          <w:rFonts w:ascii="Open Sans" w:eastAsia="Open Sans" w:hAnsi="Open Sans" w:cs="Open Sans"/>
          <w:sz w:val="21"/>
          <w:szCs w:val="21"/>
        </w:rPr>
        <w:t>. Tras dos</w:t>
      </w:r>
      <w:r>
        <w:rPr>
          <w:rFonts w:ascii="Open Sans" w:eastAsia="Open Sans" w:hAnsi="Open Sans" w:cs="Open Sans"/>
          <w:b/>
          <w:sz w:val="21"/>
          <w:szCs w:val="21"/>
        </w:rPr>
        <w:t xml:space="preserve"> </w:t>
      </w:r>
      <w:r>
        <w:rPr>
          <w:rFonts w:ascii="Open Sans" w:eastAsia="Open Sans" w:hAnsi="Open Sans" w:cs="Open Sans"/>
          <w:sz w:val="21"/>
          <w:szCs w:val="21"/>
        </w:rPr>
        <w:t xml:space="preserve">descuentos de tipos durante el primer trimestre del año, iniciamos una estabilización y acomodación del mercado. Aunque probablemente la reducción de los tipos seguirá provocando indirectamente el </w:t>
      </w:r>
      <w:r>
        <w:rPr>
          <w:rFonts w:ascii="Open Sans" w:eastAsia="Open Sans" w:hAnsi="Open Sans" w:cs="Open Sans"/>
          <w:b/>
          <w:sz w:val="21"/>
          <w:szCs w:val="21"/>
        </w:rPr>
        <w:t>aumento en los precios de la vivienda</w:t>
      </w:r>
      <w:r>
        <w:rPr>
          <w:rFonts w:ascii="Open Sans" w:eastAsia="Open Sans" w:hAnsi="Open Sans" w:cs="Open Sans"/>
          <w:sz w:val="21"/>
          <w:szCs w:val="21"/>
        </w:rPr>
        <w:t xml:space="preserve"> al atraer más demanda de compra al mercado. Aunque 2025 ya cuenta con mejores condiciones en las hipotecas, estas podrían no ser suficientes para contrarrestar el acelerado incremento del valor de la vivienda (14,8% </w:t>
      </w:r>
      <w:r>
        <w:rPr>
          <w:rFonts w:ascii="Open Sans" w:eastAsia="Open Sans" w:hAnsi="Open Sans" w:cs="Open Sans"/>
          <w:sz w:val="21"/>
          <w:szCs w:val="21"/>
        </w:rPr>
        <w:lastRenderedPageBreak/>
        <w:t>en mayo de 2025). En este escenario, los compradores podrían obtener hipotecas más accesibles, pero enfrentarse a precios de compra más altos. Por lo tanto, encontrar la vivienda ideal será cada vez una tarea más complicada”, concluye la directora de Estudios.</w:t>
      </w:r>
    </w:p>
    <w:p w14:paraId="70216F71" w14:textId="77777777" w:rsidR="00F118B9" w:rsidRDefault="00F118B9">
      <w:pPr>
        <w:shd w:val="clear" w:color="auto" w:fill="FFFFFF"/>
        <w:spacing w:before="280" w:after="280"/>
        <w:jc w:val="both"/>
        <w:rPr>
          <w:rFonts w:ascii="Open Sans" w:eastAsia="Open Sans" w:hAnsi="Open Sans" w:cs="Open Sans"/>
          <w:sz w:val="21"/>
          <w:szCs w:val="21"/>
        </w:rPr>
      </w:pPr>
    </w:p>
    <w:p w14:paraId="7083C04C" w14:textId="77777777" w:rsidR="00934705"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097529E2" w14:textId="77777777" w:rsidR="00934705"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6ED489C2" w14:textId="77777777" w:rsidR="00934705"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6AB5BC54" w14:textId="77777777" w:rsidR="00934705"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5906CF3C" w14:textId="77777777" w:rsidR="00934705"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75492023" w14:textId="77777777" w:rsidR="00934705"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twitter: @fotocasa</w:t>
      </w:r>
    </w:p>
    <w:p w14:paraId="1162DBC6" w14:textId="77777777" w:rsidR="00934705" w:rsidRDefault="00934705"/>
    <w:sectPr w:rsidR="00934705">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E45EE" w14:textId="77777777" w:rsidR="00F04B55" w:rsidRDefault="00F04B55">
      <w:pPr>
        <w:spacing w:line="240" w:lineRule="auto"/>
      </w:pPr>
      <w:r>
        <w:separator/>
      </w:r>
    </w:p>
  </w:endnote>
  <w:endnote w:type="continuationSeparator" w:id="0">
    <w:p w14:paraId="656CC83A" w14:textId="77777777" w:rsidR="00F04B55" w:rsidRDefault="00F04B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F46169-166D-4F8A-A1A6-1CE5AE64B37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E77ECD3A-F9CF-4715-B4C9-DDE595FEC756}"/>
    <w:embedBold r:id="rId3" w:fontKey="{4D97F2AD-D3A6-4EB9-891D-35FA6034D9A8}"/>
    <w:embedBoldItalic r:id="rId4" w:fontKey="{760D4D22-1C96-4FBE-9A4E-2D5A875880B1}"/>
  </w:font>
  <w:font w:name="Open Sans Light">
    <w:charset w:val="00"/>
    <w:family w:val="swiss"/>
    <w:pitch w:val="variable"/>
    <w:sig w:usb0="E00002EF" w:usb1="4000205B" w:usb2="00000028" w:usb3="00000000" w:csb0="0000019F" w:csb1="00000000"/>
    <w:embedRegular r:id="rId5" w:fontKey="{05033E07-0E60-46A9-A4AA-55EAE4BF3309}"/>
    <w:embedBold r:id="rId6" w:fontKey="{9790EB57-692B-49A5-8255-6CB83196333E}"/>
  </w:font>
  <w:font w:name="Cambria">
    <w:panose1 w:val="02040503050406030204"/>
    <w:charset w:val="00"/>
    <w:family w:val="roman"/>
    <w:pitch w:val="variable"/>
    <w:sig w:usb0="E00006FF" w:usb1="420024FF" w:usb2="02000000" w:usb3="00000000" w:csb0="0000019F" w:csb1="00000000"/>
    <w:embedRegular r:id="rId7" w:fontKey="{9C376611-8CAF-4FB9-9AB6-C820188A7D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A0C66" w14:textId="77777777" w:rsidR="00934705" w:rsidRDefault="00000000">
    <w:r>
      <w:rPr>
        <w:noProof/>
      </w:rPr>
      <w:drawing>
        <wp:anchor distT="0" distB="0" distL="0" distR="0" simplePos="0" relativeHeight="251658240" behindDoc="0" locked="0" layoutInCell="1" hidden="0" allowOverlap="1" wp14:anchorId="00E4F2E5" wp14:editId="6A46F0C3">
          <wp:simplePos x="0" y="0"/>
          <wp:positionH relativeFrom="column">
            <wp:posOffset>-1916393</wp:posOffset>
          </wp:positionH>
          <wp:positionV relativeFrom="paragraph">
            <wp:posOffset>304800</wp:posOffset>
          </wp:positionV>
          <wp:extent cx="8620125" cy="447675"/>
          <wp:effectExtent l="0" t="0" r="0" b="0"/>
          <wp:wrapSquare wrapText="bothSides" distT="0" distB="0" distL="0" distR="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60130" w14:textId="77777777" w:rsidR="00F04B55" w:rsidRDefault="00F04B55">
      <w:pPr>
        <w:spacing w:line="240" w:lineRule="auto"/>
      </w:pPr>
      <w:r>
        <w:separator/>
      </w:r>
    </w:p>
  </w:footnote>
  <w:footnote w:type="continuationSeparator" w:id="0">
    <w:p w14:paraId="7146CD8E" w14:textId="77777777" w:rsidR="00F04B55" w:rsidRDefault="00F04B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91D8F" w14:textId="08D462E4" w:rsidR="00F118B9" w:rsidRDefault="00F118B9">
    <w:pPr>
      <w:pStyle w:val="Encabezado"/>
    </w:pPr>
    <w:r>
      <w:rPr>
        <w:noProof/>
      </w:rPr>
      <w:drawing>
        <wp:anchor distT="0" distB="0" distL="0" distR="0" simplePos="0" relativeHeight="251660288" behindDoc="0" locked="0" layoutInCell="1" hidden="0" allowOverlap="1" wp14:anchorId="58716A57" wp14:editId="56E26BB7">
          <wp:simplePos x="0" y="0"/>
          <wp:positionH relativeFrom="page">
            <wp:align>left</wp:align>
          </wp:positionH>
          <wp:positionV relativeFrom="paragraph">
            <wp:posOffset>-243205</wp:posOffset>
          </wp:positionV>
          <wp:extent cx="7711147" cy="1037167"/>
          <wp:effectExtent l="0" t="0" r="4445" b="0"/>
          <wp:wrapSquare wrapText="bothSides" distT="0" distB="0" distL="0" distR="0"/>
          <wp:docPr id="37"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7" name="image1.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p w14:paraId="17E71572" w14:textId="0E26FD69" w:rsidR="00F118B9" w:rsidRDefault="00F118B9">
    <w:pPr>
      <w:pStyle w:val="Encabezado"/>
    </w:pPr>
  </w:p>
  <w:p w14:paraId="2A731A7C" w14:textId="77777777" w:rsidR="00F118B9" w:rsidRDefault="00F118B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705"/>
    <w:rsid w:val="00617FC9"/>
    <w:rsid w:val="00934705"/>
    <w:rsid w:val="00F04B55"/>
    <w:rsid w:val="00F118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D08A"/>
  <w15:docId w15:val="{B673D5E3-09B9-4180-9A29-53D0974B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C2287"/>
    <w:rPr>
      <w:color w:val="0000FF" w:themeColor="hyperlink"/>
      <w:u w:val="single"/>
    </w:rPr>
  </w:style>
  <w:style w:type="character" w:styleId="Mencinsinresolver">
    <w:name w:val="Unresolved Mention"/>
    <w:basedOn w:val="Fuentedeprrafopredeter"/>
    <w:uiPriority w:val="99"/>
    <w:semiHidden/>
    <w:unhideWhenUsed/>
    <w:rsid w:val="00AC2287"/>
    <w:rPr>
      <w:color w:val="605E5C"/>
      <w:shd w:val="clear" w:color="auto" w:fill="E1DFDD"/>
    </w:rPr>
  </w:style>
  <w:style w:type="paragraph" w:styleId="Encabezado">
    <w:name w:val="header"/>
    <w:basedOn w:val="Normal"/>
    <w:link w:val="EncabezadoCar"/>
    <w:uiPriority w:val="99"/>
    <w:unhideWhenUsed/>
    <w:rsid w:val="00F118B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118B9"/>
  </w:style>
  <w:style w:type="paragraph" w:styleId="Piedepgina">
    <w:name w:val="footer"/>
    <w:basedOn w:val="Normal"/>
    <w:link w:val="PiedepginaCar"/>
    <w:uiPriority w:val="99"/>
    <w:unhideWhenUsed/>
    <w:rsid w:val="00F118B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11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otocasa.es/es/" TargetMode="External"/><Relationship Id="rId12" Type="http://schemas.openxmlformats.org/officeDocument/2006/relationships/hyperlink" Target="http://prensa.fotocas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otocasa.es/es/" TargetMode="External"/><Relationship Id="rId4" Type="http://schemas.openxmlformats.org/officeDocument/2006/relationships/webSettings" Target="webSettings.xml"/><Relationship Id="rId9" Type="http://schemas.openxmlformats.org/officeDocument/2006/relationships/hyperlink" Target="https://research.fotocasa.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3eBTiEfBL4Gh8MeLMLbMd+BQ==">CgMxLjA4AHIhMU5ZYjNFM01icUNWUDVkZE9qRmNnMmVRbmVkVy1OMFZy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879</Words>
  <Characters>4840</Characters>
  <Application>Microsoft Office Word</Application>
  <DocSecurity>0</DocSecurity>
  <Lines>40</Lines>
  <Paragraphs>11</Paragraphs>
  <ScaleCrop>false</ScaleCrop>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2025-06-20T07:38:00Z</dcterms:modified>
</cp:coreProperties>
</file>