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59084D" w14:textId="77777777" w:rsidR="00902CAD" w:rsidRDefault="00000000">
      <w:r>
        <w:rPr>
          <w:noProof/>
        </w:rPr>
        <w:drawing>
          <wp:anchor distT="0" distB="0" distL="114300" distR="114300" simplePos="0" relativeHeight="251658240" behindDoc="0" locked="0" layoutInCell="1" hidden="0" allowOverlap="1" wp14:anchorId="7F8DB4B5" wp14:editId="7A5A866D">
            <wp:simplePos x="0" y="0"/>
            <wp:positionH relativeFrom="column">
              <wp:posOffset>-1080116</wp:posOffset>
            </wp:positionH>
            <wp:positionV relativeFrom="paragraph">
              <wp:posOffset>-654665</wp:posOffset>
            </wp:positionV>
            <wp:extent cx="7581265" cy="1019175"/>
            <wp:effectExtent l="0" t="0" r="0" b="0"/>
            <wp:wrapNone/>
            <wp:docPr id="20668166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16A06B49" w14:textId="77777777" w:rsidR="00902CAD" w:rsidRDefault="00902CAD">
      <w:pPr>
        <w:jc w:val="right"/>
        <w:rPr>
          <w:rFonts w:ascii="National" w:eastAsia="National" w:hAnsi="National" w:cs="National"/>
          <w:color w:val="303AB2"/>
          <w:sz w:val="36"/>
          <w:szCs w:val="36"/>
        </w:rPr>
      </w:pPr>
    </w:p>
    <w:p w14:paraId="234085FF" w14:textId="77777777" w:rsidR="00902CAD" w:rsidRDefault="00902CAD">
      <w:pPr>
        <w:jc w:val="center"/>
        <w:rPr>
          <w:rFonts w:ascii="National" w:eastAsia="National" w:hAnsi="National" w:cs="National"/>
          <w:b/>
          <w:color w:val="1DBDC5"/>
          <w:sz w:val="34"/>
          <w:szCs w:val="34"/>
        </w:rPr>
      </w:pPr>
    </w:p>
    <w:p w14:paraId="7D613D22" w14:textId="77777777" w:rsidR="00902CAD" w:rsidRPr="00137B64" w:rsidRDefault="00000000">
      <w:pPr>
        <w:jc w:val="center"/>
        <w:rPr>
          <w:rFonts w:ascii="National" w:eastAsia="National" w:hAnsi="National" w:cs="National"/>
          <w:b/>
          <w:color w:val="1DBDC5"/>
          <w:sz w:val="30"/>
          <w:szCs w:val="30"/>
        </w:rPr>
      </w:pPr>
      <w:r w:rsidRPr="00137B64">
        <w:rPr>
          <w:rFonts w:ascii="National" w:eastAsia="National" w:hAnsi="National" w:cs="National"/>
          <w:b/>
          <w:color w:val="1DBDC5"/>
          <w:sz w:val="30"/>
          <w:szCs w:val="30"/>
        </w:rPr>
        <w:t>ANÁLISIS DEL MERCADO DE ALQUILER VACACIONAL EN ESPAÑA</w:t>
      </w:r>
    </w:p>
    <w:p w14:paraId="167335B8" w14:textId="77777777" w:rsidR="00902CAD" w:rsidRPr="00137B64" w:rsidRDefault="00000000">
      <w:pPr>
        <w:jc w:val="center"/>
        <w:rPr>
          <w:rFonts w:ascii="National" w:eastAsia="National" w:hAnsi="National" w:cs="National"/>
          <w:b/>
          <w:color w:val="303AB2"/>
          <w:sz w:val="50"/>
          <w:szCs w:val="50"/>
        </w:rPr>
      </w:pPr>
      <w:r w:rsidRPr="00137B64">
        <w:rPr>
          <w:rFonts w:ascii="National" w:eastAsia="National" w:hAnsi="National" w:cs="National"/>
          <w:b/>
          <w:color w:val="303AB2"/>
          <w:sz w:val="50"/>
          <w:szCs w:val="50"/>
        </w:rPr>
        <w:t>Menos del 1% del parque de vivienda en España se destina al alquiler vacacional</w:t>
      </w:r>
    </w:p>
    <w:p w14:paraId="5CE08AC4" w14:textId="77777777" w:rsidR="00902CAD" w:rsidRDefault="00902CAD">
      <w:pPr>
        <w:pBdr>
          <w:top w:val="nil"/>
          <w:left w:val="nil"/>
          <w:bottom w:val="nil"/>
          <w:right w:val="nil"/>
          <w:between w:val="nil"/>
        </w:pBdr>
        <w:spacing w:line="276" w:lineRule="auto"/>
        <w:jc w:val="both"/>
        <w:rPr>
          <w:rFonts w:ascii="Open Sans Light" w:eastAsia="Open Sans Light" w:hAnsi="Open Sans Light" w:cs="Open Sans Light"/>
          <w:b/>
          <w:color w:val="303AB2"/>
        </w:rPr>
      </w:pPr>
    </w:p>
    <w:p w14:paraId="2D386083" w14:textId="77777777" w:rsidR="00902CAD"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Cae hasta el 3% los compradores inversores que planean dedicar una vivienda al alquiler turístico</w:t>
      </w:r>
    </w:p>
    <w:p w14:paraId="66DB5D3A" w14:textId="77777777" w:rsidR="00902CAD"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Los actuales vendedores que tenían un piso arrendado para uso vacacional no alcanzan el 2% del total</w:t>
      </w:r>
    </w:p>
    <w:p w14:paraId="08945988" w14:textId="77777777" w:rsidR="00902CAD"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La rentabilidad económica es la principal motivación para participar en el mercado de alquiler turístico</w:t>
      </w:r>
    </w:p>
    <w:p w14:paraId="3E3B799E" w14:textId="2CAC74C6" w:rsidR="00902CAD"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El perfil del participante en este mercado es el de un hombre de 49 años, de clase media-alta y que vive en pareja en un piso de propiedad</w:t>
      </w:r>
    </w:p>
    <w:p w14:paraId="0AB5799E" w14:textId="77777777" w:rsidR="00902CAD" w:rsidRDefault="00902CAD">
      <w:pPr>
        <w:pBdr>
          <w:top w:val="nil"/>
          <w:left w:val="nil"/>
          <w:bottom w:val="nil"/>
          <w:right w:val="nil"/>
          <w:between w:val="nil"/>
        </w:pBdr>
        <w:spacing w:line="276" w:lineRule="auto"/>
        <w:ind w:left="720"/>
        <w:jc w:val="both"/>
        <w:rPr>
          <w:rFonts w:ascii="Open Sans Light" w:eastAsia="Open Sans Light" w:hAnsi="Open Sans Light" w:cs="Open Sans Light"/>
          <w:b/>
          <w:color w:val="303AB2"/>
        </w:rPr>
      </w:pPr>
    </w:p>
    <w:p w14:paraId="6F07665B" w14:textId="77777777" w:rsidR="00902CAD"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Madrid, 11 de junio de 2025</w:t>
      </w:r>
    </w:p>
    <w:p w14:paraId="09EEA799" w14:textId="77777777" w:rsidR="00902CAD" w:rsidRDefault="00902CAD">
      <w:pPr>
        <w:pBdr>
          <w:top w:val="nil"/>
          <w:left w:val="nil"/>
          <w:bottom w:val="nil"/>
          <w:right w:val="nil"/>
          <w:between w:val="nil"/>
        </w:pBdr>
        <w:spacing w:line="276" w:lineRule="auto"/>
        <w:jc w:val="both"/>
        <w:rPr>
          <w:rFonts w:ascii="Open Sans" w:eastAsia="Open Sans" w:hAnsi="Open Sans" w:cs="Open Sans"/>
        </w:rPr>
      </w:pPr>
    </w:p>
    <w:p w14:paraId="23A059D9" w14:textId="77777777" w:rsidR="00902CAD"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Menos del 1% del parque de vivienda de propietarios particulares en España se destina al alquiler vacacional. Se trata de un porcentaje estable en el tiempo y que ha crecido de forma muy leve en los últimos años. Por el contrario, la gran mayoría (78%) de las viviendas tienen un uso de residencia habitual, mientras que un 10% son segundas residencias. En tercer lugar, el uso más extendido es el de un inmueble alquilado a terceros como vivienda habitual (8%), seguido de las viviendas sin uso (3%). Con porcentajes inferiores, se encuentran las viviendas alquiladas por cortos periodos de tiempo (menos del 1%) y los mencionados inmuebles arrendados para uso vacacional (también por debajo del 1%), </w:t>
      </w:r>
      <w:r>
        <w:rPr>
          <w:rFonts w:ascii="Open Sans" w:eastAsia="Open Sans" w:hAnsi="Open Sans" w:cs="Open Sans"/>
          <w:b/>
        </w:rPr>
        <w:t xml:space="preserve">según los datos extraídos a partir de una encuesta de </w:t>
      </w:r>
      <w:hyperlink r:id="rId9">
        <w:r>
          <w:rPr>
            <w:rFonts w:ascii="Open Sans" w:eastAsia="Open Sans" w:hAnsi="Open Sans" w:cs="Open Sans"/>
            <w:b/>
            <w:i/>
            <w:color w:val="0000FF"/>
            <w:u w:val="single"/>
          </w:rPr>
          <w:t xml:space="preserve">Fotocasa </w:t>
        </w:r>
        <w:proofErr w:type="spellStart"/>
        <w:r>
          <w:rPr>
            <w:rFonts w:ascii="Open Sans" w:eastAsia="Open Sans" w:hAnsi="Open Sans" w:cs="Open Sans"/>
            <w:b/>
            <w:i/>
            <w:color w:val="0000FF"/>
            <w:u w:val="single"/>
          </w:rPr>
          <w:t>Research</w:t>
        </w:r>
        <w:proofErr w:type="spellEnd"/>
      </w:hyperlink>
      <w:r>
        <w:rPr>
          <w:rFonts w:ascii="Open Sans" w:eastAsia="Open Sans" w:hAnsi="Open Sans" w:cs="Open Sans"/>
          <w:b/>
        </w:rPr>
        <w:t xml:space="preserve"> realizada en febrero de 2025</w:t>
      </w:r>
      <w:r>
        <w:rPr>
          <w:rFonts w:ascii="Open Sans" w:eastAsia="Open Sans" w:hAnsi="Open Sans" w:cs="Open Sans"/>
        </w:rPr>
        <w:t>.</w:t>
      </w:r>
    </w:p>
    <w:p w14:paraId="59A39553" w14:textId="77777777" w:rsidR="00902CAD" w:rsidRDefault="00902CAD">
      <w:pPr>
        <w:pBdr>
          <w:top w:val="nil"/>
          <w:left w:val="nil"/>
          <w:bottom w:val="nil"/>
          <w:right w:val="nil"/>
          <w:between w:val="nil"/>
        </w:pBdr>
        <w:spacing w:line="276" w:lineRule="auto"/>
        <w:jc w:val="both"/>
        <w:rPr>
          <w:rFonts w:ascii="Open Sans" w:eastAsia="Open Sans" w:hAnsi="Open Sans" w:cs="Open Sans"/>
        </w:rPr>
      </w:pPr>
    </w:p>
    <w:p w14:paraId="73A47388" w14:textId="77777777" w:rsidR="00902CAD"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Por otro lado, si se atiende a cuál es la intencionalidad del mercado con relación al alquiler vacacional, se observa que </w:t>
      </w:r>
      <w:r>
        <w:rPr>
          <w:rFonts w:ascii="Open Sans" w:eastAsia="Open Sans" w:hAnsi="Open Sans" w:cs="Open Sans"/>
          <w:b/>
        </w:rPr>
        <w:t>un 3% de los compradores tiene previsto adquirir un inmueble para destinarlo uso turístico</w:t>
      </w:r>
      <w:r>
        <w:rPr>
          <w:rFonts w:ascii="Open Sans" w:eastAsia="Open Sans" w:hAnsi="Open Sans" w:cs="Open Sans"/>
        </w:rPr>
        <w:t xml:space="preserve">. Se trata de un porcentaje que se está reduciendo de forma sensible en los últimos años, puesto que en 2023 esta tasa se situaba en el 6%, mientras que en 2024 se encontraba unas décimas por encima del actual 3%. </w:t>
      </w:r>
    </w:p>
    <w:p w14:paraId="06F11535" w14:textId="77777777" w:rsidR="00902CAD"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lastRenderedPageBreak/>
        <w:t xml:space="preserve">“Las cifras constatan que el volumen de alquiler turístico es muy reducido, por lo que el verdadero problema del mercado no está en la prohibición del alquiler turístico, sino en la falta de vivienda disponible para dar respuesta a una demanda creciente y sostenida. No obstante, sí es necesario establecer una regulación adecuada del alquiler vacacional, especialmente en grandes ciudades y zonas turísticas con alta presión de demanda, para garantizar un equilibrio razonable entre la convivencia vecinal y la actividad turística”, explica </w:t>
      </w:r>
      <w:r>
        <w:rPr>
          <w:rFonts w:ascii="Open Sans" w:eastAsia="Open Sans" w:hAnsi="Open Sans" w:cs="Open Sans"/>
          <w:b/>
        </w:rPr>
        <w:t xml:space="preserve">María Matos, directora de Estudios y portavoz de </w:t>
      </w:r>
      <w:hyperlink r:id="rId10">
        <w:r>
          <w:rPr>
            <w:rFonts w:ascii="Open Sans" w:eastAsia="Open Sans" w:hAnsi="Open Sans" w:cs="Open Sans"/>
            <w:b/>
            <w:color w:val="1155CC"/>
            <w:u w:val="single"/>
          </w:rPr>
          <w:t>Fotocasa</w:t>
        </w:r>
      </w:hyperlink>
      <w:r>
        <w:rPr>
          <w:rFonts w:ascii="Open Sans" w:eastAsia="Open Sans" w:hAnsi="Open Sans" w:cs="Open Sans"/>
        </w:rPr>
        <w:t>.</w:t>
      </w:r>
    </w:p>
    <w:p w14:paraId="69C73BD6" w14:textId="77777777" w:rsidR="00902CAD" w:rsidRDefault="00902CAD">
      <w:pPr>
        <w:pBdr>
          <w:top w:val="nil"/>
          <w:left w:val="nil"/>
          <w:bottom w:val="nil"/>
          <w:right w:val="nil"/>
          <w:between w:val="nil"/>
        </w:pBdr>
        <w:spacing w:line="276" w:lineRule="auto"/>
        <w:jc w:val="both"/>
        <w:rPr>
          <w:rFonts w:ascii="Open Sans" w:eastAsia="Open Sans" w:hAnsi="Open Sans" w:cs="Open Sans"/>
        </w:rPr>
      </w:pPr>
    </w:p>
    <w:p w14:paraId="1B4F79AE" w14:textId="77777777" w:rsidR="00902CAD"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En sentido contrario, </w:t>
      </w:r>
      <w:r>
        <w:rPr>
          <w:rFonts w:ascii="Open Sans" w:eastAsia="Open Sans" w:hAnsi="Open Sans" w:cs="Open Sans"/>
          <w:b/>
        </w:rPr>
        <w:t>han aumentado los compradores que quieren adquirir un inmueble para convertirlo en vivienda habitual: actualmente son el 81% del total</w:t>
      </w:r>
      <w:r>
        <w:rPr>
          <w:rFonts w:ascii="Open Sans" w:eastAsia="Open Sans" w:hAnsi="Open Sans" w:cs="Open Sans"/>
        </w:rPr>
        <w:t>, tres puntos más que en 2024 y nueve más que en 2023. Los demandantes de vivienda para convertirla en su segunda residencia suman en febrero de 2025 el 10% del total, en el mismo nivel que en el año anterior pero tres puntos menos que en 2023, mientras que los compradores que quieren destinar una vivienda a inversión (que incluyen a los mencionados alquileres vacacionales) representan el 8% (dos puntos menos que en 2024 y cinco menos que en 2023). Los otros posibles usos de una vivienda quedan en el 1%.</w:t>
      </w:r>
    </w:p>
    <w:p w14:paraId="52FBC221" w14:textId="77777777" w:rsidR="00902CAD" w:rsidRDefault="00902CAD">
      <w:pPr>
        <w:pBdr>
          <w:top w:val="nil"/>
          <w:left w:val="nil"/>
          <w:bottom w:val="nil"/>
          <w:right w:val="nil"/>
          <w:between w:val="nil"/>
        </w:pBdr>
        <w:spacing w:line="276" w:lineRule="auto"/>
        <w:jc w:val="both"/>
        <w:rPr>
          <w:rFonts w:ascii="Open Sans" w:eastAsia="Open Sans" w:hAnsi="Open Sans" w:cs="Open Sans"/>
        </w:rPr>
      </w:pPr>
    </w:p>
    <w:p w14:paraId="1F53557D" w14:textId="77777777" w:rsidR="00902CAD"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En el lado de la oferta, </w:t>
      </w:r>
      <w:r>
        <w:rPr>
          <w:rFonts w:ascii="Open Sans" w:eastAsia="Open Sans" w:hAnsi="Open Sans" w:cs="Open Sans"/>
          <w:b/>
        </w:rPr>
        <w:t>el porcentaje de vendedores que tenían un inmueble destinado a alquiler vacacional o de corta estancia y que ahora lo ofrecen en el mercado de compraventa también es menor: no alcanza el 2% del total</w:t>
      </w:r>
      <w:r>
        <w:rPr>
          <w:rFonts w:ascii="Open Sans" w:eastAsia="Open Sans" w:hAnsi="Open Sans" w:cs="Open Sans"/>
        </w:rPr>
        <w:t>. Además, también se encuentra en descenso, ya que esta tasa se ha reducido en un punto porcentual desde 2023 y se encuentra unas décimas por debajo de la registrada en 2024. La mayoría de los vendedores (35%) destinaba previamente su inmueble a vivienda habitual, mientras que el 23% lo recibió en herencia, y un 15% lo usaba como segunda residencia. Asimismo, un 17% dedicaba la vivienda a alquiler de larga duración, un 6% la tenía vacía, y un 3% le daba otros usos.</w:t>
      </w:r>
    </w:p>
    <w:p w14:paraId="5B036CA8" w14:textId="77777777" w:rsidR="00902CAD" w:rsidRDefault="00902CAD">
      <w:pPr>
        <w:pBdr>
          <w:top w:val="nil"/>
          <w:left w:val="nil"/>
          <w:bottom w:val="nil"/>
          <w:right w:val="nil"/>
          <w:between w:val="nil"/>
        </w:pBdr>
        <w:spacing w:line="276" w:lineRule="auto"/>
        <w:jc w:val="both"/>
        <w:rPr>
          <w:rFonts w:ascii="Open Sans" w:eastAsia="Open Sans" w:hAnsi="Open Sans" w:cs="Open Sans"/>
        </w:rPr>
      </w:pPr>
    </w:p>
    <w:p w14:paraId="2D6C577A" w14:textId="77777777" w:rsidR="00902CAD" w:rsidRDefault="00000000">
      <w:pPr>
        <w:pBdr>
          <w:top w:val="nil"/>
          <w:left w:val="nil"/>
          <w:bottom w:val="nil"/>
          <w:right w:val="nil"/>
          <w:between w:val="nil"/>
        </w:pBdr>
        <w:spacing w:line="276" w:lineRule="auto"/>
        <w:jc w:val="both"/>
        <w:rPr>
          <w:rFonts w:ascii="National" w:eastAsia="National" w:hAnsi="National" w:cs="National"/>
          <w:b/>
          <w:color w:val="303AB2"/>
          <w:sz w:val="30"/>
          <w:szCs w:val="30"/>
        </w:rPr>
      </w:pPr>
      <w:r>
        <w:rPr>
          <w:rFonts w:ascii="National" w:eastAsia="National" w:hAnsi="National" w:cs="National"/>
          <w:b/>
          <w:color w:val="303AB2"/>
          <w:sz w:val="30"/>
          <w:szCs w:val="30"/>
        </w:rPr>
        <w:t>La rentabilidad económica es la principal motivación para participar en el mercado de alquiler turístico</w:t>
      </w:r>
    </w:p>
    <w:p w14:paraId="3064B31F" w14:textId="77777777" w:rsidR="00902CAD" w:rsidRDefault="00902CAD">
      <w:pPr>
        <w:pBdr>
          <w:top w:val="nil"/>
          <w:left w:val="nil"/>
          <w:bottom w:val="nil"/>
          <w:right w:val="nil"/>
          <w:between w:val="nil"/>
        </w:pBdr>
        <w:spacing w:line="276" w:lineRule="auto"/>
        <w:jc w:val="both"/>
        <w:rPr>
          <w:rFonts w:ascii="Open Sans" w:eastAsia="Open Sans" w:hAnsi="Open Sans" w:cs="Open Sans"/>
        </w:rPr>
      </w:pPr>
    </w:p>
    <w:p w14:paraId="223870E6" w14:textId="77777777" w:rsidR="00902CAD"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Con relación al perfil de las personas que participan en el mercado del alquiler vacacional (tanto en el segmento de los compradores como el de los oferentes), se observa que </w:t>
      </w:r>
      <w:r>
        <w:rPr>
          <w:rFonts w:ascii="Open Sans" w:eastAsia="Open Sans" w:hAnsi="Open Sans" w:cs="Open Sans"/>
          <w:b/>
        </w:rPr>
        <w:t>se trata mayoritariamente de un hombre (en el 59% de los casos) con una edad media de 49 años y que, en términos socioeconómicos, se ubicaría en las clases altas o medias-altas</w:t>
      </w:r>
      <w:r>
        <w:rPr>
          <w:rFonts w:ascii="Open Sans" w:eastAsia="Open Sans" w:hAnsi="Open Sans" w:cs="Open Sans"/>
        </w:rPr>
        <w:t xml:space="preserve">. La gran mayoría (78%) están </w:t>
      </w:r>
      <w:r>
        <w:rPr>
          <w:rFonts w:ascii="Open Sans" w:eastAsia="Open Sans" w:hAnsi="Open Sans" w:cs="Open Sans"/>
        </w:rPr>
        <w:lastRenderedPageBreak/>
        <w:t xml:space="preserve">casados y viven en pareja (43%) o con pareja e hijos (37%) en una vivienda de propiedad (83%). </w:t>
      </w:r>
    </w:p>
    <w:p w14:paraId="6A4FE9B7" w14:textId="77777777" w:rsidR="00902CAD" w:rsidRDefault="00902CAD">
      <w:pPr>
        <w:pBdr>
          <w:top w:val="nil"/>
          <w:left w:val="nil"/>
          <w:bottom w:val="nil"/>
          <w:right w:val="nil"/>
          <w:between w:val="nil"/>
        </w:pBdr>
        <w:spacing w:line="276" w:lineRule="auto"/>
        <w:jc w:val="both"/>
        <w:rPr>
          <w:rFonts w:ascii="Open Sans" w:eastAsia="Open Sans" w:hAnsi="Open Sans" w:cs="Open Sans"/>
        </w:rPr>
      </w:pPr>
    </w:p>
    <w:p w14:paraId="16C5FA3C" w14:textId="77777777" w:rsidR="00902CAD"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En cuanto a las motivaciones de la inversión en vivienda para uso como inmueble vacacional, </w:t>
      </w:r>
      <w:r>
        <w:rPr>
          <w:rFonts w:ascii="Open Sans" w:eastAsia="Open Sans" w:hAnsi="Open Sans" w:cs="Open Sans"/>
          <w:b/>
        </w:rPr>
        <w:t>un 54% de los participantes en este mercado lo hace por la rentabilidad económica que ofrece esta opción</w:t>
      </w:r>
      <w:r>
        <w:rPr>
          <w:rFonts w:ascii="Open Sans" w:eastAsia="Open Sans" w:hAnsi="Open Sans" w:cs="Open Sans"/>
        </w:rPr>
        <w:t>. Por geografías, un 25% de estos inversores residen en Andalucía, un 17% en Madrid, un 14% en Cataluña, un 6% en la Comunidad Valenciana, y un 38% en el resto de España.</w:t>
      </w:r>
    </w:p>
    <w:p w14:paraId="441D80BA" w14:textId="77777777" w:rsidR="00902CAD" w:rsidRDefault="00902CAD">
      <w:pPr>
        <w:pBdr>
          <w:top w:val="nil"/>
          <w:left w:val="nil"/>
          <w:bottom w:val="nil"/>
          <w:right w:val="nil"/>
          <w:between w:val="nil"/>
        </w:pBdr>
        <w:spacing w:line="276" w:lineRule="auto"/>
        <w:jc w:val="both"/>
        <w:rPr>
          <w:rFonts w:ascii="Open Sans" w:eastAsia="Open Sans" w:hAnsi="Open Sans" w:cs="Open Sans"/>
        </w:rPr>
      </w:pPr>
    </w:p>
    <w:p w14:paraId="3AE02A80" w14:textId="77777777" w:rsidR="00902CAD"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44CB3C8D" w14:textId="77777777" w:rsidR="00902CAD"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1">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43DED513" w14:textId="77777777" w:rsidR="00902CAD"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2">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56A10A4D" w14:textId="77777777" w:rsidR="00902CAD" w:rsidRDefault="00000000">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fldChar w:fldCharType="end"/>
      </w:r>
      <w:r>
        <w:rPr>
          <w:rFonts w:ascii="Open Sans" w:eastAsia="Open Sans" w:hAnsi="Open Sans" w:cs="Open Sans"/>
          <w:sz w:val="22"/>
          <w:szCs w:val="22"/>
        </w:rPr>
        <w:t xml:space="preserve">. </w:t>
      </w:r>
    </w:p>
    <w:p w14:paraId="7B1501FD" w14:textId="77777777" w:rsidR="00902CAD"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p>
    <w:p w14:paraId="6FFA34D4" w14:textId="77777777" w:rsidR="00902CAD" w:rsidRDefault="00000000">
      <w:pPr>
        <w:spacing w:before="143" w:after="200"/>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es un grupo de empresas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únicos al mes en sus plataformas de los sectores inmobiliario (</w:t>
      </w:r>
      <w:hyperlink r:id="rId13">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4">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15">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16">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7">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fldChar w:fldCharType="end"/>
      </w:r>
      <w:r>
        <w:rPr>
          <w:rFonts w:ascii="Open Sans" w:eastAsia="Open Sans" w:hAnsi="Open Sans" w:cs="Open Sans"/>
          <w:sz w:val="22"/>
          <w:szCs w:val="22"/>
        </w:rPr>
        <w:t>).</w:t>
      </w:r>
    </w:p>
    <w:p w14:paraId="6CC994D6" w14:textId="77777777" w:rsidR="00902CAD"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0C5FBE45" w14:textId="77777777" w:rsidR="00902CAD" w:rsidRDefault="00000000">
      <w:pPr>
        <w:spacing w:before="143" w:after="200"/>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2.500 millones de visitas cada mes. </w:t>
      </w:r>
    </w:p>
    <w:p w14:paraId="50131F87" w14:textId="77777777" w:rsidR="00902CAD" w:rsidRDefault="00000000">
      <w:pPr>
        <w:spacing w:before="143" w:after="200"/>
        <w:jc w:val="both"/>
      </w:pPr>
      <w:r>
        <w:rPr>
          <w:rFonts w:ascii="Open Sans" w:eastAsia="Open Sans" w:hAnsi="Open Sans" w:cs="Open Sans"/>
          <w:sz w:val="22"/>
          <w:szCs w:val="22"/>
        </w:rPr>
        <w:t xml:space="preserve">Más información en </w:t>
      </w:r>
      <w:hyperlink r:id="rId18">
        <w:r>
          <w:rPr>
            <w:rFonts w:ascii="Open Sans" w:eastAsia="Open Sans" w:hAnsi="Open Sans" w:cs="Open Sans"/>
            <w:color w:val="1155CC"/>
            <w:sz w:val="22"/>
            <w:szCs w:val="22"/>
            <w:u w:val="single"/>
          </w:rPr>
          <w:t>adevinta.es</w:t>
        </w:r>
      </w:hyperlink>
    </w:p>
    <w:p w14:paraId="08AD5C4E" w14:textId="77777777" w:rsidR="00902CAD" w:rsidRDefault="00902CAD">
      <w:pPr>
        <w:spacing w:before="143" w:after="200"/>
        <w:jc w:val="both"/>
        <w:rPr>
          <w:rFonts w:ascii="Open Sans" w:eastAsia="Open Sans" w:hAnsi="Open Sans" w:cs="Open Sans"/>
        </w:rPr>
      </w:pPr>
    </w:p>
    <w:p w14:paraId="7DBAE324" w14:textId="77777777" w:rsidR="00902CAD"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05A8CEDF" w14:textId="77777777" w:rsidR="00902CAD"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3814FEFA" w14:textId="77777777" w:rsidR="00902CAD" w:rsidRDefault="00000000">
      <w:pPr>
        <w:shd w:val="clear" w:color="auto" w:fill="FFFFFF"/>
        <w:spacing w:line="276" w:lineRule="auto"/>
        <w:rPr>
          <w:rFonts w:ascii="Open Sans" w:eastAsia="Open Sans" w:hAnsi="Open Sans" w:cs="Open Sans"/>
          <w:color w:val="0000FF"/>
          <w:sz w:val="22"/>
          <w:szCs w:val="22"/>
          <w:u w:val="single"/>
        </w:rPr>
      </w:pPr>
      <w:hyperlink r:id="rId19">
        <w:r>
          <w:rPr>
            <w:rFonts w:ascii="Open Sans" w:eastAsia="Open Sans" w:hAnsi="Open Sans" w:cs="Open Sans"/>
            <w:color w:val="0000FF"/>
            <w:sz w:val="22"/>
            <w:szCs w:val="22"/>
            <w:u w:val="single"/>
          </w:rPr>
          <w:t>comunicacion@fotocasa.es</w:t>
        </w:r>
      </w:hyperlink>
    </w:p>
    <w:p w14:paraId="18869EFB" w14:textId="77777777" w:rsidR="00902CAD"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sectPr w:rsidR="00902CAD">
      <w:footerReference w:type="default" r:id="rId20"/>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FE1C3F" w14:textId="77777777" w:rsidR="005E5C6C" w:rsidRDefault="005E5C6C">
      <w:r>
        <w:separator/>
      </w:r>
    </w:p>
  </w:endnote>
  <w:endnote w:type="continuationSeparator" w:id="0">
    <w:p w14:paraId="475D8097" w14:textId="77777777" w:rsidR="005E5C6C" w:rsidRDefault="005E5C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DE40265-1F4B-4503-AC2C-96545502B1E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39B5734-4661-4F95-98BC-439925675619}"/>
    <w:embedBold r:id="rId3" w:fontKey="{425428DB-ECCE-477D-BB8B-D4A7CC615DD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D1B07440-B1BA-4B6F-9C08-54005F6A293F}"/>
    <w:embedItalic r:id="rId5" w:fontKey="{8355ED08-8671-4D13-B070-E350E4C13863}"/>
  </w:font>
  <w:font w:name="Cambria">
    <w:panose1 w:val="02040503050406030204"/>
    <w:charset w:val="00"/>
    <w:family w:val="roman"/>
    <w:pitch w:val="variable"/>
    <w:sig w:usb0="E00006FF" w:usb1="420024FF" w:usb2="02000000" w:usb3="00000000" w:csb0="0000019F" w:csb1="00000000"/>
    <w:embedRegular r:id="rId6" w:fontKey="{140361A6-456B-4B34-9181-30C59BE8FCCF}"/>
  </w:font>
  <w:font w:name="National">
    <w:altName w:val="Calibri"/>
    <w:charset w:val="00"/>
    <w:family w:val="auto"/>
    <w:pitch w:val="default"/>
  </w:font>
  <w:font w:name="Open Sans Light">
    <w:charset w:val="00"/>
    <w:family w:val="swiss"/>
    <w:pitch w:val="variable"/>
    <w:sig w:usb0="E00002EF" w:usb1="4000205B" w:usb2="00000028" w:usb3="00000000" w:csb0="0000019F" w:csb1="00000000"/>
    <w:embedRegular r:id="rId7" w:fontKey="{688C34BA-9A88-4EF8-B448-DB6C9F6E0754}"/>
    <w:embedBold r:id="rId8" w:fontKey="{E9847E2E-97A6-4D66-912A-0512457E5F23}"/>
  </w:font>
  <w:font w:name="Open Sans">
    <w:charset w:val="00"/>
    <w:family w:val="swiss"/>
    <w:pitch w:val="variable"/>
    <w:sig w:usb0="E00002EF" w:usb1="4000205B" w:usb2="00000028" w:usb3="00000000" w:csb0="0000019F" w:csb1="00000000"/>
    <w:embedRegular r:id="rId9" w:fontKey="{51C50233-18F8-4B99-B0F1-96E33FC7634B}"/>
    <w:embedBold r:id="rId10" w:fontKey="{F1274B84-A094-4CFA-A624-5B9323AB829C}"/>
    <w:embedBoldItalic r:id="rId11" w:fontKey="{7B48029C-C621-4084-81E6-DF248472A7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8053F" w14:textId="77777777" w:rsidR="00902CAD"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3F7462AD" wp14:editId="6EFA53DF">
          <wp:simplePos x="0" y="0"/>
          <wp:positionH relativeFrom="column">
            <wp:posOffset>-1068040</wp:posOffset>
          </wp:positionH>
          <wp:positionV relativeFrom="paragraph">
            <wp:posOffset>174608</wp:posOffset>
          </wp:positionV>
          <wp:extent cx="7670550" cy="451315"/>
          <wp:effectExtent l="0" t="0" r="0" b="0"/>
          <wp:wrapNone/>
          <wp:docPr id="20668166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4CC363" w14:textId="77777777" w:rsidR="005E5C6C" w:rsidRDefault="005E5C6C">
      <w:r>
        <w:separator/>
      </w:r>
    </w:p>
  </w:footnote>
  <w:footnote w:type="continuationSeparator" w:id="0">
    <w:p w14:paraId="0E226AFC" w14:textId="77777777" w:rsidR="005E5C6C" w:rsidRDefault="005E5C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623B3D"/>
    <w:multiLevelType w:val="multilevel"/>
    <w:tmpl w:val="8D5802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277384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2CAD"/>
    <w:rsid w:val="00137B64"/>
    <w:rsid w:val="005E5C6C"/>
    <w:rsid w:val="00902CAD"/>
    <w:rsid w:val="00C558E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13ABD5"/>
  <w15:docId w15:val="{A66547C6-0C5B-4D8B-94E0-5E6F0BC34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3">
    <w:name w:val="Table Normal23"/>
    <w:tblPr>
      <w:tblCellMar>
        <w:top w:w="0" w:type="dxa"/>
        <w:left w:w="0" w:type="dxa"/>
        <w:bottom w:w="0" w:type="dxa"/>
        <w:right w:w="0" w:type="dxa"/>
      </w:tblCellMar>
    </w:tblPr>
  </w:style>
  <w:style w:type="table" w:customStyle="1" w:styleId="TableNormal22">
    <w:name w:val="Table Normal22"/>
    <w:tblPr>
      <w:tblCellMar>
        <w:top w:w="0" w:type="dxa"/>
        <w:left w:w="0" w:type="dxa"/>
        <w:bottom w:w="0" w:type="dxa"/>
        <w:right w:w="0" w:type="dxa"/>
      </w:tblCellMar>
    </w:tblPr>
  </w:style>
  <w:style w:type="table" w:customStyle="1" w:styleId="TableNormal21">
    <w:name w:val="Table Normal21"/>
    <w:tblPr>
      <w:tblCellMar>
        <w:top w:w="0" w:type="dxa"/>
        <w:left w:w="0" w:type="dxa"/>
        <w:bottom w:w="0" w:type="dxa"/>
        <w:right w:w="0" w:type="dxa"/>
      </w:tblCellMar>
    </w:tblPr>
  </w:style>
  <w:style w:type="table" w:customStyle="1" w:styleId="TableNormal20">
    <w:name w:val="Table Normal20"/>
    <w:tblPr>
      <w:tblCellMar>
        <w:top w:w="0" w:type="dxa"/>
        <w:left w:w="0" w:type="dxa"/>
        <w:bottom w:w="0" w:type="dxa"/>
        <w:right w:w="0" w:type="dxa"/>
      </w:tblCellMar>
    </w:tblPr>
  </w:style>
  <w:style w:type="table" w:customStyle="1" w:styleId="TableNormal19">
    <w:name w:val="Table Normal19"/>
    <w:tblPr>
      <w:tblCellMar>
        <w:top w:w="0" w:type="dxa"/>
        <w:left w:w="0" w:type="dxa"/>
        <w:bottom w:w="0" w:type="dxa"/>
        <w:right w:w="0" w:type="dxa"/>
      </w:tblCellMar>
    </w:tblPr>
  </w:style>
  <w:style w:type="table" w:customStyle="1" w:styleId="TableNormal18">
    <w:name w:val="Table Normal18"/>
    <w:tblPr>
      <w:tblCellMar>
        <w:top w:w="0" w:type="dxa"/>
        <w:left w:w="0" w:type="dxa"/>
        <w:bottom w:w="0" w:type="dxa"/>
        <w:right w:w="0" w:type="dxa"/>
      </w:tblCellMar>
    </w:tblPr>
  </w:style>
  <w:style w:type="table" w:customStyle="1" w:styleId="TableNormal17">
    <w:name w:val="Table Normal17"/>
    <w:tblPr>
      <w:tblCellMar>
        <w:top w:w="0" w:type="dxa"/>
        <w:left w:w="0" w:type="dxa"/>
        <w:bottom w:w="0" w:type="dxa"/>
        <w:right w:w="0" w:type="dxa"/>
      </w:tblCellMar>
    </w:tblPr>
  </w:style>
  <w:style w:type="table" w:customStyle="1" w:styleId="TableNormal16">
    <w:name w:val="Table Normal16"/>
    <w:tblPr>
      <w:tblCellMar>
        <w:top w:w="0" w:type="dxa"/>
        <w:left w:w="0" w:type="dxa"/>
        <w:bottom w:w="0" w:type="dxa"/>
        <w:right w:w="0" w:type="dxa"/>
      </w:tblCellMar>
    </w:tblPr>
  </w:style>
  <w:style w:type="table" w:customStyle="1" w:styleId="TableNormal15">
    <w:name w:val="Table Normal15"/>
    <w:tblPr>
      <w:tblCellMar>
        <w:top w:w="0" w:type="dxa"/>
        <w:left w:w="0" w:type="dxa"/>
        <w:bottom w:w="0" w:type="dxa"/>
        <w:right w:w="0" w:type="dxa"/>
      </w:tblCellMar>
    </w:tblPr>
  </w:style>
  <w:style w:type="table" w:customStyle="1" w:styleId="TableNormal14">
    <w:name w:val="Table Normal14"/>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a">
    <w:name w:val="Table Normal1"/>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5">
    <w:name w:val="5"/>
    <w:basedOn w:val="TableNormal1a"/>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4">
    <w:name w:val="4"/>
    <w:basedOn w:val="TableNormal1a"/>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3"/>
    <w:basedOn w:val="TableNormal4"/>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2">
    <w:name w:val="2"/>
    <w:basedOn w:val="TableNormal4"/>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1">
    <w:name w:val="1"/>
    <w:basedOn w:val="TableNormal15"/>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table" w:styleId="Tablaconcuadrcula5oscura-nfasis1">
    <w:name w:val="Grid Table 5 Dark Accent 1"/>
    <w:basedOn w:val="Tablanormal"/>
    <w:uiPriority w:val="50"/>
    <w:rsid w:val="00B776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5oscura-nfasis5">
    <w:name w:val="Grid Table 5 Dark Accent 5"/>
    <w:basedOn w:val="Tablanormal"/>
    <w:uiPriority w:val="50"/>
    <w:rsid w:val="002827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a">
    <w:basedOn w:val="TableNormal1"/>
    <w:rPr>
      <w:rFonts w:ascii="Cambria" w:eastAsia="Cambria" w:hAnsi="Cambria" w:cs="Cambria"/>
      <w:sz w:val="22"/>
      <w:szCs w:val="22"/>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otocasa.es/es/" TargetMode="External"/><Relationship Id="rId18" Type="http://schemas.openxmlformats.org/officeDocument/2006/relationships/hyperlink" Target="http://adevinta.e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prensa.fotocasa.es" TargetMode="External"/><Relationship Id="rId17" Type="http://schemas.openxmlformats.org/officeDocument/2006/relationships/hyperlink" Target="https://motos.coches.net/" TargetMode="External"/><Relationship Id="rId2" Type="http://schemas.openxmlformats.org/officeDocument/2006/relationships/numbering" Target="numbering.xml"/><Relationship Id="rId16" Type="http://schemas.openxmlformats.org/officeDocument/2006/relationships/hyperlink" Target="https://www.coches.ne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indice/" TargetMode="External"/><Relationship Id="rId5" Type="http://schemas.openxmlformats.org/officeDocument/2006/relationships/webSettings" Target="webSettings.xml"/><Relationship Id="rId15" Type="http://schemas.openxmlformats.org/officeDocument/2006/relationships/hyperlink" Target="https://www.infojobs.net/" TargetMode="External"/><Relationship Id="rId10" Type="http://schemas.openxmlformats.org/officeDocument/2006/relationships/hyperlink" Target="https://www.fotocasa.es" TargetMode="External"/><Relationship Id="rId19" Type="http://schemas.openxmlformats.org/officeDocument/2006/relationships/hyperlink" Target="mailto:comunicacion@fotocasa.es" TargetMode="External"/><Relationship Id="rId4" Type="http://schemas.openxmlformats.org/officeDocument/2006/relationships/settings" Target="settings.xml"/><Relationship Id="rId9" Type="http://schemas.openxmlformats.org/officeDocument/2006/relationships/hyperlink" Target="https://research.fotocasa.es/" TargetMode="External"/><Relationship Id="rId14" Type="http://schemas.openxmlformats.org/officeDocument/2006/relationships/hyperlink" Target="https://www.habitaclia.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78c3ExgJQVhj8uuoYfEQD8CeNA==">CgMxLjAyCWguMnM4ZXlvMTgAciExSnpVdE9XVGZ1YUd6cWhFdEtqQVlHQ0N5cndmQnNMc3E=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1067</Words>
  <Characters>5869</Characters>
  <Application>Microsoft Office Word</Application>
  <DocSecurity>0</DocSecurity>
  <Lines>48</Lines>
  <Paragraphs>13</Paragraphs>
  <ScaleCrop>false</ScaleCrop>
  <Company/>
  <LinksUpToDate>false</LinksUpToDate>
  <CharactersWithSpaces>6923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Ramon Torne</dc:creator>
  <cp:lastModifiedBy>Anaïs López García</cp:lastModifiedBy>
  <cp:revision>2</cp:revision>
  <dcterms:created xsi:type="dcterms:W3CDTF">2024-02-06T13:46:00Z</dcterms:created>
  <dcterms:modified xsi:type="dcterms:W3CDTF">2025-06-08T21:21:00Z</dcterms:modified>
</cp:coreProperties>
</file>