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A3464" w14:textId="77777777" w:rsidR="00CF3056" w:rsidRDefault="00000000">
      <w:r>
        <w:rPr>
          <w:noProof/>
        </w:rPr>
        <w:drawing>
          <wp:anchor distT="0" distB="0" distL="114300" distR="114300" simplePos="0" relativeHeight="251658240" behindDoc="0" locked="0" layoutInCell="1" hidden="0" allowOverlap="1" wp14:anchorId="017DE219" wp14:editId="55578FA1">
            <wp:simplePos x="0" y="0"/>
            <wp:positionH relativeFrom="column">
              <wp:posOffset>-1080116</wp:posOffset>
            </wp:positionH>
            <wp:positionV relativeFrom="paragraph">
              <wp:posOffset>-654665</wp:posOffset>
            </wp:positionV>
            <wp:extent cx="7581265" cy="1019175"/>
            <wp:effectExtent l="0" t="0" r="0" b="0"/>
            <wp:wrapNone/>
            <wp:docPr id="20668166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BD89C0C" w14:textId="77777777" w:rsidR="00CF3056" w:rsidRDefault="00CF3056">
      <w:pPr>
        <w:jc w:val="right"/>
        <w:rPr>
          <w:rFonts w:ascii="National" w:eastAsia="National" w:hAnsi="National" w:cs="National"/>
          <w:color w:val="303AB2"/>
          <w:sz w:val="36"/>
          <w:szCs w:val="36"/>
        </w:rPr>
      </w:pPr>
    </w:p>
    <w:p w14:paraId="4FE74948" w14:textId="77777777" w:rsidR="00CF3056" w:rsidRDefault="00CF3056">
      <w:pPr>
        <w:jc w:val="center"/>
        <w:rPr>
          <w:rFonts w:ascii="National" w:eastAsia="National" w:hAnsi="National" w:cs="National"/>
          <w:b/>
          <w:color w:val="1DBDC5"/>
          <w:sz w:val="34"/>
          <w:szCs w:val="34"/>
        </w:rPr>
      </w:pPr>
    </w:p>
    <w:p w14:paraId="76F32F96" w14:textId="77777777" w:rsidR="00CF3056"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ÍNDICE DE NEGOCIACIÓN FOTOCASA</w:t>
      </w:r>
    </w:p>
    <w:p w14:paraId="6A7584ED" w14:textId="77777777" w:rsidR="00CF3056"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En Granada, Palma, Alicante y Málaga el precio de la vivienda de compra está un 20% por encima de lo que quiere pagar el comprador </w:t>
      </w:r>
    </w:p>
    <w:p w14:paraId="3979669E" w14:textId="77777777" w:rsidR="00CF3056" w:rsidRDefault="00CF3056">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162922B" w14:textId="77777777" w:rsidR="00CF305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Por el contrario, en ciudades como Pamplona, Jaén, Palencia o Zamora, las diferencias entre precios ofertados y demandados no superan el 6%</w:t>
      </w:r>
    </w:p>
    <w:p w14:paraId="3D8E3C23" w14:textId="77777777" w:rsidR="00CF305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portal inmobiliario pone en marcha el “</w:t>
      </w:r>
      <w:r>
        <w:rPr>
          <w:rFonts w:ascii="Open Sans" w:eastAsia="Open Sans" w:hAnsi="Open Sans" w:cs="Open Sans"/>
          <w:b/>
          <w:i/>
          <w:color w:val="303AB2"/>
        </w:rPr>
        <w:t>Índice de Negociación Fotocasa</w:t>
      </w:r>
      <w:r>
        <w:rPr>
          <w:rFonts w:ascii="Open Sans Light" w:eastAsia="Open Sans Light" w:hAnsi="Open Sans Light" w:cs="Open Sans Light"/>
          <w:b/>
          <w:color w:val="303AB2"/>
        </w:rPr>
        <w:t xml:space="preserve">” que detalla la diferencia entre el precio ofertado y lo que realmente quiere la demanda, gracias a la herramienta de datos DataVenues, especializada en el análisis Big Data del sector inmobiliario </w:t>
      </w:r>
    </w:p>
    <w:p w14:paraId="14A5CD41" w14:textId="77777777" w:rsidR="00CF3056" w:rsidRDefault="00CF3056">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37C000F1" w14:textId="77777777" w:rsidR="00CF3056"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02 de junio de 2025</w:t>
      </w:r>
    </w:p>
    <w:p w14:paraId="5BF0FE95" w14:textId="77777777" w:rsidR="00CF3056" w:rsidRDefault="00CF3056">
      <w:pPr>
        <w:pBdr>
          <w:top w:val="nil"/>
          <w:left w:val="nil"/>
          <w:bottom w:val="nil"/>
          <w:right w:val="nil"/>
          <w:between w:val="nil"/>
        </w:pBdr>
        <w:spacing w:line="276" w:lineRule="auto"/>
        <w:jc w:val="both"/>
        <w:rPr>
          <w:rFonts w:ascii="Open Sans" w:eastAsia="Open Sans" w:hAnsi="Open Sans" w:cs="Open Sans"/>
        </w:rPr>
      </w:pPr>
    </w:p>
    <w:p w14:paraId="47637C96"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ciudades de </w:t>
      </w:r>
      <w:r>
        <w:rPr>
          <w:rFonts w:ascii="Open Sans" w:eastAsia="Open Sans" w:hAnsi="Open Sans" w:cs="Open Sans"/>
          <w:b/>
        </w:rPr>
        <w:t>Granada (21%), Palma de Mallorca (21%), Alicante (19%) y Málaga (19%)</w:t>
      </w:r>
      <w:r>
        <w:rPr>
          <w:rFonts w:ascii="Open Sans" w:eastAsia="Open Sans" w:hAnsi="Open Sans" w:cs="Open Sans"/>
        </w:rPr>
        <w:t xml:space="preserve"> son las capitales de provincia españolas con una mayor diferencia entre los precios de oferta y de demanda de vivienda en propiedad, </w:t>
      </w:r>
      <w:r>
        <w:rPr>
          <w:rFonts w:ascii="Open Sans" w:eastAsia="Open Sans" w:hAnsi="Open Sans" w:cs="Open Sans"/>
          <w:b/>
        </w:rPr>
        <w:t>según los datos del nuevo “</w:t>
      </w:r>
      <w:r>
        <w:rPr>
          <w:rFonts w:ascii="Open Sans" w:eastAsia="Open Sans" w:hAnsi="Open Sans" w:cs="Open Sans"/>
          <w:b/>
          <w:i/>
        </w:rPr>
        <w:t>Índice de Negociación Fotocasa</w:t>
      </w:r>
      <w:r>
        <w:rPr>
          <w:rFonts w:ascii="Open Sans" w:eastAsia="Open Sans" w:hAnsi="Open Sans" w:cs="Open Sans"/>
          <w:b/>
        </w:rPr>
        <w:t xml:space="preserve">”, </w:t>
      </w:r>
      <w:r>
        <w:rPr>
          <w:rFonts w:ascii="Open Sans" w:eastAsia="Open Sans" w:hAnsi="Open Sans" w:cs="Open Sans"/>
        </w:rPr>
        <w:t xml:space="preserve">basado en cifras del primer semestre de 2025. Esto quiere decir que en estas capitales de provincia es donde existe la mayor diferencia entre el precio ofertado y el precio que la demanda está buscando y es, por tanto, donde existiría más margen para poder negociar el precio de la vivienda de compra. Por el contrario, en ciudades </w:t>
      </w:r>
      <w:r>
        <w:rPr>
          <w:rFonts w:ascii="Open Sans" w:eastAsia="Open Sans" w:hAnsi="Open Sans" w:cs="Open Sans"/>
          <w:b/>
        </w:rPr>
        <w:t>como Pamplona (2%), Jaén (3%), Zamora (6%) o Palencia (6%)</w:t>
      </w:r>
      <w:r>
        <w:rPr>
          <w:rFonts w:ascii="Open Sans" w:eastAsia="Open Sans" w:hAnsi="Open Sans" w:cs="Open Sans"/>
        </w:rPr>
        <w:t xml:space="preserve"> es donde menor margen de negociación se puede esperar ya que los precios de oferta y los precios que la demanda está dispuesta a pagar son más similares. </w:t>
      </w:r>
    </w:p>
    <w:p w14:paraId="4EAF53E4" w14:textId="77777777" w:rsidR="00CF3056" w:rsidRDefault="00CF3056">
      <w:pPr>
        <w:pBdr>
          <w:top w:val="nil"/>
          <w:left w:val="nil"/>
          <w:bottom w:val="nil"/>
          <w:right w:val="nil"/>
          <w:between w:val="nil"/>
        </w:pBdr>
        <w:spacing w:line="276" w:lineRule="auto"/>
        <w:jc w:val="both"/>
        <w:rPr>
          <w:rFonts w:ascii="Open Sans" w:eastAsia="Open Sans" w:hAnsi="Open Sans" w:cs="Open Sans"/>
        </w:rPr>
      </w:pPr>
    </w:p>
    <w:p w14:paraId="37324405"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Estas son las principales conclusiones del nuevo </w:t>
      </w:r>
      <w:r>
        <w:rPr>
          <w:rFonts w:ascii="Open Sans" w:eastAsia="Open Sans" w:hAnsi="Open Sans" w:cs="Open Sans"/>
          <w:b/>
        </w:rPr>
        <w:t>“</w:t>
      </w:r>
      <w:r>
        <w:rPr>
          <w:rFonts w:ascii="Open Sans" w:eastAsia="Open Sans" w:hAnsi="Open Sans" w:cs="Open Sans"/>
          <w:b/>
          <w:i/>
        </w:rPr>
        <w:t xml:space="preserve">Índice de Negociación Fotocasa” </w:t>
      </w:r>
      <w:r>
        <w:rPr>
          <w:rFonts w:ascii="Open Sans" w:eastAsia="Open Sans" w:hAnsi="Open Sans" w:cs="Open Sans"/>
        </w:rPr>
        <w:t xml:space="preserve">que el portal inmobiliario prevé difundir semestralmente y que ha desarrollado gracias a la herramienta de datos </w:t>
      </w:r>
      <w:hyperlink r:id="rId9">
        <w:r>
          <w:rPr>
            <w:rFonts w:ascii="Open Sans" w:eastAsia="Open Sans" w:hAnsi="Open Sans" w:cs="Open Sans"/>
            <w:color w:val="0000FF"/>
            <w:u w:val="single"/>
          </w:rPr>
          <w:t>DataVenues</w:t>
        </w:r>
      </w:hyperlink>
      <w:r>
        <w:rPr>
          <w:rFonts w:ascii="Open Sans" w:eastAsia="Open Sans" w:hAnsi="Open Sans" w:cs="Open Sans"/>
        </w:rPr>
        <w:t>, diseñada para aplicar el análisis Big Data al mercado inmobiliario.</w:t>
      </w:r>
    </w:p>
    <w:p w14:paraId="1E6846C4" w14:textId="77777777" w:rsidR="00CF3056" w:rsidRDefault="00CF3056">
      <w:pPr>
        <w:pBdr>
          <w:top w:val="nil"/>
          <w:left w:val="nil"/>
          <w:bottom w:val="nil"/>
          <w:right w:val="nil"/>
          <w:between w:val="nil"/>
        </w:pBdr>
        <w:spacing w:line="276" w:lineRule="auto"/>
        <w:jc w:val="both"/>
        <w:rPr>
          <w:rFonts w:ascii="Open Sans" w:eastAsia="Open Sans" w:hAnsi="Open Sans" w:cs="Open Sans"/>
          <w:b/>
        </w:rPr>
      </w:pPr>
    </w:p>
    <w:p w14:paraId="216F839A"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“Este índice, que mide la diferencia entre el precio de oferta y el precio que la demanda está dispuesta a pagar, nos permite identificar en qué ciudades existe un mayor margen de negociación en la compra de vivienda. Este análisis responde a una mayor tensión entre las expectativas de los vendedores y el presupuesto de los compradores, y está relacionado con la evolución de los precios, la presión de la demanda o las características específicas de la oferta disponible en cada zona. Con este nuevo indicador damos un paso adelante en la comprensión del comportamiento del mercado y aportamos una herramienta clave tanto para profesionales del sector como para ciudadanos que buscan información rigurosa para tomar decisiones de compra con mayor seguridad”, explica </w:t>
      </w:r>
      <w:r>
        <w:rPr>
          <w:rFonts w:ascii="Open Sans" w:eastAsia="Open Sans" w:hAnsi="Open Sans" w:cs="Open Sans"/>
          <w:b/>
        </w:rPr>
        <w:t xml:space="preserve">María Matos, directora de Estudios y portavoz de </w:t>
      </w:r>
      <w:hyperlink r:id="rId10">
        <w:r>
          <w:rPr>
            <w:rFonts w:ascii="Open Sans" w:eastAsia="Open Sans" w:hAnsi="Open Sans" w:cs="Open Sans"/>
            <w:b/>
            <w:color w:val="1155CC"/>
            <w:u w:val="single"/>
          </w:rPr>
          <w:t>Fotocasa</w:t>
        </w:r>
      </w:hyperlink>
      <w:r>
        <w:rPr>
          <w:rFonts w:ascii="Open Sans" w:eastAsia="Open Sans" w:hAnsi="Open Sans" w:cs="Open Sans"/>
        </w:rPr>
        <w:t>.</w:t>
      </w:r>
    </w:p>
    <w:p w14:paraId="4E187FD7" w14:textId="77777777" w:rsidR="00CF3056" w:rsidRDefault="00CF3056">
      <w:pPr>
        <w:pBdr>
          <w:top w:val="nil"/>
          <w:left w:val="nil"/>
          <w:bottom w:val="nil"/>
          <w:right w:val="nil"/>
          <w:between w:val="nil"/>
        </w:pBdr>
        <w:spacing w:line="276" w:lineRule="auto"/>
        <w:jc w:val="both"/>
        <w:rPr>
          <w:rFonts w:ascii="Open Sans" w:eastAsia="Open Sans" w:hAnsi="Open Sans" w:cs="Open Sans"/>
          <w:highlight w:val="yellow"/>
        </w:rPr>
      </w:pPr>
    </w:p>
    <w:p w14:paraId="1CED2D3B"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Tras los casos mencionados de Granada, Palma, Alicante y Málaga, otras ciudades españolas registran altas diferencias entre los precios de demanda y de oferta de vivienda de compraventa. Se trata de Madrid (17%), Almería (16%), Valencia (16%), León (15%), Santa Cruz de Tenerife (14%), Murcia (13%), Oviedo (13%), Ávila (12%), Burgos (12%), Guadalajara (12%), Las Palmas de Gran Canaria (12%), Pontevedra (12%), Sevilla (12%), Lugo (11%), Salamanca (11%), y Tarragona (11%).</w:t>
      </w:r>
    </w:p>
    <w:p w14:paraId="51ECE6E8" w14:textId="77777777" w:rsidR="00CF3056" w:rsidRDefault="00CF3056">
      <w:pPr>
        <w:pBdr>
          <w:top w:val="nil"/>
          <w:left w:val="nil"/>
          <w:bottom w:val="nil"/>
          <w:right w:val="nil"/>
          <w:between w:val="nil"/>
        </w:pBdr>
        <w:spacing w:line="276" w:lineRule="auto"/>
        <w:jc w:val="both"/>
        <w:rPr>
          <w:rFonts w:ascii="Open Sans" w:eastAsia="Open Sans" w:hAnsi="Open Sans" w:cs="Open Sans"/>
        </w:rPr>
      </w:pPr>
    </w:p>
    <w:p w14:paraId="08632E26" w14:textId="77777777" w:rsidR="00CF3056" w:rsidRDefault="00000000">
      <w:pPr>
        <w:spacing w:line="276" w:lineRule="auto"/>
        <w:jc w:val="center"/>
        <w:rPr>
          <w:rFonts w:ascii="National" w:eastAsia="National" w:hAnsi="National" w:cs="National"/>
          <w:b/>
          <w:color w:val="303AB2"/>
          <w:sz w:val="30"/>
          <w:szCs w:val="30"/>
        </w:rPr>
      </w:pPr>
      <w:r>
        <w:rPr>
          <w:rFonts w:ascii="National" w:eastAsia="National" w:hAnsi="National" w:cs="National"/>
          <w:b/>
          <w:color w:val="303AB2"/>
          <w:sz w:val="30"/>
          <w:szCs w:val="30"/>
        </w:rPr>
        <w:t>Capitales de provincia de mayor a menor posibilidad de negociación</w:t>
      </w:r>
    </w:p>
    <w:p w14:paraId="5FEE0F71" w14:textId="77777777" w:rsidR="00CF3056" w:rsidRDefault="00CF3056">
      <w:pPr>
        <w:pBdr>
          <w:top w:val="nil"/>
          <w:left w:val="nil"/>
          <w:bottom w:val="nil"/>
          <w:right w:val="nil"/>
          <w:between w:val="nil"/>
        </w:pBdr>
        <w:spacing w:line="276" w:lineRule="auto"/>
        <w:jc w:val="both"/>
        <w:rPr>
          <w:rFonts w:ascii="Open Sans" w:eastAsia="Open Sans" w:hAnsi="Open Sans" w:cs="Open Sans"/>
        </w:rPr>
      </w:pPr>
    </w:p>
    <w:p w14:paraId="4AD33F43" w14:textId="77777777" w:rsidR="00CF3056" w:rsidRDefault="00000000">
      <w:pPr>
        <w:pBdr>
          <w:top w:val="nil"/>
          <w:left w:val="nil"/>
          <w:bottom w:val="nil"/>
          <w:right w:val="nil"/>
          <w:between w:val="nil"/>
        </w:pBdr>
        <w:spacing w:line="276" w:lineRule="auto"/>
        <w:ind w:left="-851"/>
        <w:jc w:val="both"/>
        <w:rPr>
          <w:rFonts w:ascii="Open Sans" w:eastAsia="Open Sans" w:hAnsi="Open Sans" w:cs="Open Sans"/>
        </w:rPr>
      </w:pPr>
      <w:r>
        <w:rPr>
          <w:noProof/>
        </w:rPr>
        <w:drawing>
          <wp:inline distT="0" distB="0" distL="0" distR="0" wp14:anchorId="1B2DF653" wp14:editId="06F95C04">
            <wp:extent cx="6705600" cy="3695700"/>
            <wp:effectExtent l="0" t="0" r="0" b="0"/>
            <wp:docPr id="2066816620" name="Gráfico 2066816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2EC5AF"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En la zona más templada de la clasificación, en el límite del 10% de diferencia entre los precios de oferta y demanda de vivienda en propiedad, se sitúan capitales como Barcelona (10%), Castellón de la Plana (10%), Girona (10%), Huesca (10%), Logroño (10%), Santander (10%), Segovia (10%), Teruel (10%), Vitoria (10%), Badajoz (9%), Cuenca (9%), Orense (9%), Valladolid (9%), Vigo (9%), y Zaragoza (9%).</w:t>
      </w:r>
    </w:p>
    <w:p w14:paraId="0E6283F9" w14:textId="77777777" w:rsidR="00CF3056" w:rsidRDefault="00CF3056">
      <w:pPr>
        <w:pBdr>
          <w:top w:val="nil"/>
          <w:left w:val="nil"/>
          <w:bottom w:val="nil"/>
          <w:right w:val="nil"/>
          <w:between w:val="nil"/>
        </w:pBdr>
        <w:spacing w:line="276" w:lineRule="auto"/>
        <w:jc w:val="both"/>
        <w:rPr>
          <w:rFonts w:ascii="Open Sans" w:eastAsia="Open Sans" w:hAnsi="Open Sans" w:cs="Open Sans"/>
        </w:rPr>
      </w:pPr>
    </w:p>
    <w:p w14:paraId="746DA02D" w14:textId="77777777" w:rsidR="00CF3056" w:rsidRDefault="00000000">
      <w:pPr>
        <w:pBdr>
          <w:top w:val="nil"/>
          <w:left w:val="nil"/>
          <w:bottom w:val="nil"/>
          <w:right w:val="nil"/>
          <w:between w:val="nil"/>
        </w:pBdr>
        <w:spacing w:line="276" w:lineRule="auto"/>
        <w:jc w:val="both"/>
        <w:rPr>
          <w:rFonts w:ascii="National" w:eastAsia="National" w:hAnsi="National" w:cs="National"/>
          <w:b/>
          <w:color w:val="303AB2"/>
          <w:sz w:val="30"/>
          <w:szCs w:val="30"/>
        </w:rPr>
      </w:pPr>
      <w:r>
        <w:rPr>
          <w:rFonts w:ascii="National" w:eastAsia="National" w:hAnsi="National" w:cs="National"/>
          <w:b/>
          <w:color w:val="303AB2"/>
          <w:sz w:val="30"/>
          <w:szCs w:val="30"/>
        </w:rPr>
        <w:t>En Pamplona y Jaén es donde menos margen de negociación existe</w:t>
      </w:r>
    </w:p>
    <w:p w14:paraId="2CA6CB72" w14:textId="77777777" w:rsidR="00CF3056" w:rsidRDefault="00CF3056">
      <w:pPr>
        <w:pBdr>
          <w:top w:val="nil"/>
          <w:left w:val="nil"/>
          <w:bottom w:val="nil"/>
          <w:right w:val="nil"/>
          <w:between w:val="nil"/>
        </w:pBdr>
        <w:spacing w:line="276" w:lineRule="auto"/>
        <w:jc w:val="both"/>
        <w:rPr>
          <w:rFonts w:ascii="Open Sans" w:eastAsia="Open Sans" w:hAnsi="Open Sans" w:cs="Open Sans"/>
        </w:rPr>
      </w:pPr>
    </w:p>
    <w:p w14:paraId="15D799E0"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continuación, se encuentran las ciudades donde la diferencia entre los precios de oferta y demanda es menor: Albacete (8%), Ciudad Real (8%), Córdoba (8%), A Coruña (8%), Lleida (8%), Cáceres (7%), Cádiz </w:t>
      </w:r>
      <w:r>
        <w:rPr>
          <w:rFonts w:ascii="Open Sans" w:eastAsia="Open Sans" w:hAnsi="Open Sans" w:cs="Open Sans"/>
        </w:rPr>
        <w:tab/>
        <w:t xml:space="preserve">(7%), Huelva </w:t>
      </w:r>
      <w:r>
        <w:rPr>
          <w:rFonts w:ascii="Open Sans" w:eastAsia="Open Sans" w:hAnsi="Open Sans" w:cs="Open Sans"/>
        </w:rPr>
        <w:tab/>
        <w:t>(7%), Soria (7%), Toledo (7%), Bilbao (6%), San Sebastián (6%), además de las mencionadas Palencia (6%), Zamora (6%), Jaén (3%) y Pamplona (2%).</w:t>
      </w:r>
    </w:p>
    <w:p w14:paraId="0B36E877" w14:textId="77777777" w:rsidR="00CF3056" w:rsidRDefault="00CF3056">
      <w:pPr>
        <w:pBdr>
          <w:top w:val="nil"/>
          <w:left w:val="nil"/>
          <w:bottom w:val="nil"/>
          <w:right w:val="nil"/>
          <w:between w:val="nil"/>
        </w:pBdr>
        <w:spacing w:line="276" w:lineRule="auto"/>
        <w:jc w:val="both"/>
        <w:rPr>
          <w:rFonts w:ascii="Open Sans" w:eastAsia="Open Sans" w:hAnsi="Open Sans" w:cs="Open Sans"/>
        </w:rPr>
      </w:pPr>
    </w:p>
    <w:p w14:paraId="5480D8A6" w14:textId="77777777" w:rsidR="00CF3056" w:rsidRDefault="00000000">
      <w:pPr>
        <w:spacing w:line="276" w:lineRule="auto"/>
        <w:jc w:val="center"/>
        <w:rPr>
          <w:rFonts w:ascii="National" w:eastAsia="National" w:hAnsi="National" w:cs="National"/>
          <w:b/>
          <w:color w:val="303AB2"/>
          <w:sz w:val="30"/>
          <w:szCs w:val="30"/>
        </w:rPr>
      </w:pPr>
      <w:r>
        <w:rPr>
          <w:rFonts w:ascii="National" w:eastAsia="National" w:hAnsi="National" w:cs="National"/>
          <w:b/>
          <w:color w:val="303AB2"/>
          <w:sz w:val="30"/>
          <w:szCs w:val="30"/>
        </w:rPr>
        <w:t xml:space="preserve">Todas las capitales de provincia </w:t>
      </w:r>
    </w:p>
    <w:p w14:paraId="6E0433B7" w14:textId="77777777" w:rsidR="00CF3056" w:rsidRDefault="00CF3056">
      <w:pPr>
        <w:pBdr>
          <w:top w:val="nil"/>
          <w:left w:val="nil"/>
          <w:bottom w:val="nil"/>
          <w:right w:val="nil"/>
          <w:between w:val="nil"/>
        </w:pBdr>
        <w:spacing w:line="276" w:lineRule="auto"/>
        <w:jc w:val="both"/>
        <w:rPr>
          <w:rFonts w:ascii="Open Sans" w:eastAsia="Open Sans" w:hAnsi="Open Sans" w:cs="Open Sans"/>
        </w:rPr>
      </w:pPr>
    </w:p>
    <w:tbl>
      <w:tblPr>
        <w:tblStyle w:val="a0"/>
        <w:tblW w:w="60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0"/>
        <w:gridCol w:w="2791"/>
      </w:tblGrid>
      <w:tr w:rsidR="00CF3056" w14:paraId="19339274" w14:textId="77777777">
        <w:trPr>
          <w:trHeight w:val="300"/>
          <w:jc w:val="center"/>
        </w:trPr>
        <w:tc>
          <w:tcPr>
            <w:tcW w:w="3300" w:type="dxa"/>
            <w:shd w:val="clear" w:color="auto" w:fill="000000"/>
          </w:tcPr>
          <w:p w14:paraId="3240E466" w14:textId="77777777" w:rsidR="00CF3056" w:rsidRDefault="00000000">
            <w:pPr>
              <w:pBdr>
                <w:top w:val="nil"/>
                <w:left w:val="nil"/>
                <w:bottom w:val="nil"/>
                <w:right w:val="nil"/>
                <w:between w:val="nil"/>
              </w:pBdr>
              <w:spacing w:line="276" w:lineRule="auto"/>
              <w:jc w:val="both"/>
              <w:rPr>
                <w:rFonts w:ascii="Open Sans" w:eastAsia="Open Sans" w:hAnsi="Open Sans" w:cs="Open Sans"/>
                <w:b/>
                <w:color w:val="FFFFFF"/>
              </w:rPr>
            </w:pPr>
            <w:r>
              <w:rPr>
                <w:rFonts w:ascii="Open Sans" w:eastAsia="Open Sans" w:hAnsi="Open Sans" w:cs="Open Sans"/>
                <w:b/>
                <w:color w:val="FFFFFF"/>
              </w:rPr>
              <w:t>Ciudad</w:t>
            </w:r>
          </w:p>
        </w:tc>
        <w:tc>
          <w:tcPr>
            <w:tcW w:w="2791" w:type="dxa"/>
            <w:shd w:val="clear" w:color="auto" w:fill="000000"/>
          </w:tcPr>
          <w:p w14:paraId="7E86ECB3" w14:textId="77777777" w:rsidR="00CF3056" w:rsidRDefault="00000000">
            <w:pPr>
              <w:pBdr>
                <w:top w:val="nil"/>
                <w:left w:val="nil"/>
                <w:bottom w:val="nil"/>
                <w:right w:val="nil"/>
                <w:between w:val="nil"/>
              </w:pBdr>
              <w:spacing w:line="276" w:lineRule="auto"/>
              <w:jc w:val="center"/>
              <w:rPr>
                <w:rFonts w:ascii="Open Sans" w:eastAsia="Open Sans" w:hAnsi="Open Sans" w:cs="Open Sans"/>
                <w:b/>
                <w:color w:val="FFFFFF"/>
              </w:rPr>
            </w:pPr>
            <w:r>
              <w:rPr>
                <w:rFonts w:ascii="Open Sans" w:eastAsia="Open Sans" w:hAnsi="Open Sans" w:cs="Open Sans"/>
                <w:b/>
                <w:color w:val="FFFFFF"/>
              </w:rPr>
              <w:t>Índice de Negociación</w:t>
            </w:r>
          </w:p>
        </w:tc>
      </w:tr>
      <w:tr w:rsidR="00CF3056" w14:paraId="58146C40" w14:textId="77777777">
        <w:trPr>
          <w:trHeight w:val="300"/>
          <w:jc w:val="center"/>
        </w:trPr>
        <w:tc>
          <w:tcPr>
            <w:tcW w:w="3300" w:type="dxa"/>
            <w:shd w:val="clear" w:color="auto" w:fill="D9D9D9"/>
          </w:tcPr>
          <w:p w14:paraId="6A8636B1"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Granada </w:t>
            </w:r>
          </w:p>
        </w:tc>
        <w:tc>
          <w:tcPr>
            <w:tcW w:w="2791" w:type="dxa"/>
            <w:shd w:val="clear" w:color="auto" w:fill="D9D9D9"/>
          </w:tcPr>
          <w:p w14:paraId="39ED1A3D"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21%</w:t>
            </w:r>
          </w:p>
        </w:tc>
      </w:tr>
      <w:tr w:rsidR="00CF3056" w14:paraId="312BC177" w14:textId="77777777">
        <w:trPr>
          <w:trHeight w:val="300"/>
          <w:jc w:val="center"/>
        </w:trPr>
        <w:tc>
          <w:tcPr>
            <w:tcW w:w="3300" w:type="dxa"/>
          </w:tcPr>
          <w:p w14:paraId="2289C824"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Palma </w:t>
            </w:r>
          </w:p>
        </w:tc>
        <w:tc>
          <w:tcPr>
            <w:tcW w:w="2791" w:type="dxa"/>
          </w:tcPr>
          <w:p w14:paraId="1ACFCE58"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21%</w:t>
            </w:r>
          </w:p>
        </w:tc>
      </w:tr>
      <w:tr w:rsidR="00CF3056" w14:paraId="06C47087" w14:textId="77777777">
        <w:trPr>
          <w:trHeight w:val="300"/>
          <w:jc w:val="center"/>
        </w:trPr>
        <w:tc>
          <w:tcPr>
            <w:tcW w:w="3300" w:type="dxa"/>
            <w:shd w:val="clear" w:color="auto" w:fill="D9D9D9"/>
          </w:tcPr>
          <w:p w14:paraId="76A9AE3F"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Alicante </w:t>
            </w:r>
          </w:p>
        </w:tc>
        <w:tc>
          <w:tcPr>
            <w:tcW w:w="2791" w:type="dxa"/>
            <w:shd w:val="clear" w:color="auto" w:fill="D9D9D9"/>
          </w:tcPr>
          <w:p w14:paraId="668E93AE"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19%</w:t>
            </w:r>
          </w:p>
        </w:tc>
      </w:tr>
      <w:tr w:rsidR="00CF3056" w14:paraId="21AB14E8" w14:textId="77777777">
        <w:trPr>
          <w:trHeight w:val="300"/>
          <w:jc w:val="center"/>
        </w:trPr>
        <w:tc>
          <w:tcPr>
            <w:tcW w:w="3300" w:type="dxa"/>
          </w:tcPr>
          <w:p w14:paraId="391D9740"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Málaga </w:t>
            </w:r>
          </w:p>
        </w:tc>
        <w:tc>
          <w:tcPr>
            <w:tcW w:w="2791" w:type="dxa"/>
          </w:tcPr>
          <w:p w14:paraId="3F405289"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19%</w:t>
            </w:r>
          </w:p>
        </w:tc>
      </w:tr>
      <w:tr w:rsidR="00CF3056" w14:paraId="12D80836" w14:textId="77777777">
        <w:trPr>
          <w:trHeight w:val="300"/>
          <w:jc w:val="center"/>
        </w:trPr>
        <w:tc>
          <w:tcPr>
            <w:tcW w:w="3300" w:type="dxa"/>
            <w:shd w:val="clear" w:color="auto" w:fill="D9D9D9"/>
          </w:tcPr>
          <w:p w14:paraId="3B4DD888"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Madrid </w:t>
            </w:r>
          </w:p>
        </w:tc>
        <w:tc>
          <w:tcPr>
            <w:tcW w:w="2791" w:type="dxa"/>
            <w:shd w:val="clear" w:color="auto" w:fill="D9D9D9"/>
          </w:tcPr>
          <w:p w14:paraId="3478A17D"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17%</w:t>
            </w:r>
          </w:p>
        </w:tc>
      </w:tr>
      <w:tr w:rsidR="00CF3056" w14:paraId="53759BAE" w14:textId="77777777">
        <w:trPr>
          <w:trHeight w:val="300"/>
          <w:jc w:val="center"/>
        </w:trPr>
        <w:tc>
          <w:tcPr>
            <w:tcW w:w="3300" w:type="dxa"/>
          </w:tcPr>
          <w:p w14:paraId="04BFC441"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Almería </w:t>
            </w:r>
          </w:p>
        </w:tc>
        <w:tc>
          <w:tcPr>
            <w:tcW w:w="2791" w:type="dxa"/>
          </w:tcPr>
          <w:p w14:paraId="4BD8B3C6"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16%</w:t>
            </w:r>
          </w:p>
        </w:tc>
      </w:tr>
      <w:tr w:rsidR="00CF3056" w14:paraId="20243BCD" w14:textId="77777777">
        <w:trPr>
          <w:trHeight w:val="300"/>
          <w:jc w:val="center"/>
        </w:trPr>
        <w:tc>
          <w:tcPr>
            <w:tcW w:w="3300" w:type="dxa"/>
            <w:shd w:val="clear" w:color="auto" w:fill="D9D9D9"/>
          </w:tcPr>
          <w:p w14:paraId="61E23980"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Valencia </w:t>
            </w:r>
          </w:p>
        </w:tc>
        <w:tc>
          <w:tcPr>
            <w:tcW w:w="2791" w:type="dxa"/>
            <w:shd w:val="clear" w:color="auto" w:fill="D9D9D9"/>
          </w:tcPr>
          <w:p w14:paraId="3EC4D4CB"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16%</w:t>
            </w:r>
          </w:p>
        </w:tc>
      </w:tr>
      <w:tr w:rsidR="00CF3056" w14:paraId="20283639" w14:textId="77777777">
        <w:trPr>
          <w:trHeight w:val="300"/>
          <w:jc w:val="center"/>
        </w:trPr>
        <w:tc>
          <w:tcPr>
            <w:tcW w:w="3300" w:type="dxa"/>
          </w:tcPr>
          <w:p w14:paraId="2916E8F6"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León </w:t>
            </w:r>
          </w:p>
        </w:tc>
        <w:tc>
          <w:tcPr>
            <w:tcW w:w="2791" w:type="dxa"/>
          </w:tcPr>
          <w:p w14:paraId="6EF3F5C3"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15%</w:t>
            </w:r>
          </w:p>
        </w:tc>
      </w:tr>
      <w:tr w:rsidR="00CF3056" w14:paraId="172BFB7A" w14:textId="77777777">
        <w:trPr>
          <w:trHeight w:val="300"/>
          <w:jc w:val="center"/>
        </w:trPr>
        <w:tc>
          <w:tcPr>
            <w:tcW w:w="3300" w:type="dxa"/>
            <w:shd w:val="clear" w:color="auto" w:fill="D9D9D9"/>
          </w:tcPr>
          <w:p w14:paraId="41B4F044"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Santa Cruz de Tenerife </w:t>
            </w:r>
          </w:p>
        </w:tc>
        <w:tc>
          <w:tcPr>
            <w:tcW w:w="2791" w:type="dxa"/>
            <w:shd w:val="clear" w:color="auto" w:fill="D9D9D9"/>
          </w:tcPr>
          <w:p w14:paraId="55722616"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14%</w:t>
            </w:r>
          </w:p>
        </w:tc>
      </w:tr>
      <w:tr w:rsidR="00CF3056" w14:paraId="657E5B71" w14:textId="77777777">
        <w:trPr>
          <w:trHeight w:val="300"/>
          <w:jc w:val="center"/>
        </w:trPr>
        <w:tc>
          <w:tcPr>
            <w:tcW w:w="3300" w:type="dxa"/>
          </w:tcPr>
          <w:p w14:paraId="0D5B36DD"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Murcia </w:t>
            </w:r>
          </w:p>
        </w:tc>
        <w:tc>
          <w:tcPr>
            <w:tcW w:w="2791" w:type="dxa"/>
          </w:tcPr>
          <w:p w14:paraId="7F5470F5"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13%</w:t>
            </w:r>
          </w:p>
        </w:tc>
      </w:tr>
      <w:tr w:rsidR="00CF3056" w14:paraId="75B54B94" w14:textId="77777777">
        <w:trPr>
          <w:trHeight w:val="300"/>
          <w:jc w:val="center"/>
        </w:trPr>
        <w:tc>
          <w:tcPr>
            <w:tcW w:w="3300" w:type="dxa"/>
            <w:shd w:val="clear" w:color="auto" w:fill="D9D9D9"/>
          </w:tcPr>
          <w:p w14:paraId="3B86E261"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Oviedo </w:t>
            </w:r>
          </w:p>
        </w:tc>
        <w:tc>
          <w:tcPr>
            <w:tcW w:w="2791" w:type="dxa"/>
            <w:shd w:val="clear" w:color="auto" w:fill="D9D9D9"/>
          </w:tcPr>
          <w:p w14:paraId="40A78565"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13%</w:t>
            </w:r>
          </w:p>
        </w:tc>
      </w:tr>
      <w:tr w:rsidR="00CF3056" w14:paraId="38A1D9FC" w14:textId="77777777">
        <w:trPr>
          <w:trHeight w:val="300"/>
          <w:jc w:val="center"/>
        </w:trPr>
        <w:tc>
          <w:tcPr>
            <w:tcW w:w="3300" w:type="dxa"/>
          </w:tcPr>
          <w:p w14:paraId="47216F71"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Ávila </w:t>
            </w:r>
          </w:p>
        </w:tc>
        <w:tc>
          <w:tcPr>
            <w:tcW w:w="2791" w:type="dxa"/>
          </w:tcPr>
          <w:p w14:paraId="68BD137F"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12%</w:t>
            </w:r>
          </w:p>
        </w:tc>
      </w:tr>
      <w:tr w:rsidR="00CF3056" w14:paraId="21129683" w14:textId="77777777">
        <w:trPr>
          <w:trHeight w:val="300"/>
          <w:jc w:val="center"/>
        </w:trPr>
        <w:tc>
          <w:tcPr>
            <w:tcW w:w="3300" w:type="dxa"/>
            <w:shd w:val="clear" w:color="auto" w:fill="D9D9D9"/>
          </w:tcPr>
          <w:p w14:paraId="34347323"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Burgos </w:t>
            </w:r>
          </w:p>
        </w:tc>
        <w:tc>
          <w:tcPr>
            <w:tcW w:w="2791" w:type="dxa"/>
            <w:shd w:val="clear" w:color="auto" w:fill="D9D9D9"/>
          </w:tcPr>
          <w:p w14:paraId="5B31D058"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12%</w:t>
            </w:r>
          </w:p>
        </w:tc>
      </w:tr>
      <w:tr w:rsidR="00CF3056" w14:paraId="6C332BB8" w14:textId="77777777">
        <w:trPr>
          <w:trHeight w:val="300"/>
          <w:jc w:val="center"/>
        </w:trPr>
        <w:tc>
          <w:tcPr>
            <w:tcW w:w="3300" w:type="dxa"/>
          </w:tcPr>
          <w:p w14:paraId="6124F18F"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Guadalajara </w:t>
            </w:r>
          </w:p>
        </w:tc>
        <w:tc>
          <w:tcPr>
            <w:tcW w:w="2791" w:type="dxa"/>
          </w:tcPr>
          <w:p w14:paraId="6153F036"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12%</w:t>
            </w:r>
          </w:p>
        </w:tc>
      </w:tr>
      <w:tr w:rsidR="00CF3056" w14:paraId="3899168A" w14:textId="77777777">
        <w:trPr>
          <w:trHeight w:val="300"/>
          <w:jc w:val="center"/>
        </w:trPr>
        <w:tc>
          <w:tcPr>
            <w:tcW w:w="3300" w:type="dxa"/>
            <w:shd w:val="clear" w:color="auto" w:fill="D9D9D9"/>
          </w:tcPr>
          <w:p w14:paraId="02212576"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Palmas de Gran Canaria </w:t>
            </w:r>
          </w:p>
        </w:tc>
        <w:tc>
          <w:tcPr>
            <w:tcW w:w="2791" w:type="dxa"/>
            <w:shd w:val="clear" w:color="auto" w:fill="D9D9D9"/>
          </w:tcPr>
          <w:p w14:paraId="4CA6DDD5"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12%</w:t>
            </w:r>
          </w:p>
        </w:tc>
      </w:tr>
      <w:tr w:rsidR="00CF3056" w14:paraId="08F605A3" w14:textId="77777777">
        <w:trPr>
          <w:trHeight w:val="300"/>
          <w:jc w:val="center"/>
        </w:trPr>
        <w:tc>
          <w:tcPr>
            <w:tcW w:w="3300" w:type="dxa"/>
          </w:tcPr>
          <w:p w14:paraId="640274A9"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Pontevedra </w:t>
            </w:r>
          </w:p>
        </w:tc>
        <w:tc>
          <w:tcPr>
            <w:tcW w:w="2791" w:type="dxa"/>
          </w:tcPr>
          <w:p w14:paraId="4D427101"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12%</w:t>
            </w:r>
          </w:p>
        </w:tc>
      </w:tr>
      <w:tr w:rsidR="00CF3056" w14:paraId="420C7923" w14:textId="77777777">
        <w:trPr>
          <w:trHeight w:val="300"/>
          <w:jc w:val="center"/>
        </w:trPr>
        <w:tc>
          <w:tcPr>
            <w:tcW w:w="3300" w:type="dxa"/>
            <w:shd w:val="clear" w:color="auto" w:fill="D9D9D9"/>
          </w:tcPr>
          <w:p w14:paraId="6143029F"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Sevilla </w:t>
            </w:r>
          </w:p>
        </w:tc>
        <w:tc>
          <w:tcPr>
            <w:tcW w:w="2791" w:type="dxa"/>
            <w:shd w:val="clear" w:color="auto" w:fill="D9D9D9"/>
          </w:tcPr>
          <w:p w14:paraId="62C887BE"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12%</w:t>
            </w:r>
          </w:p>
        </w:tc>
      </w:tr>
      <w:tr w:rsidR="00CF3056" w14:paraId="3368C2CD" w14:textId="77777777">
        <w:trPr>
          <w:trHeight w:val="300"/>
          <w:jc w:val="center"/>
        </w:trPr>
        <w:tc>
          <w:tcPr>
            <w:tcW w:w="3300" w:type="dxa"/>
          </w:tcPr>
          <w:p w14:paraId="739009E1"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Lugo </w:t>
            </w:r>
          </w:p>
        </w:tc>
        <w:tc>
          <w:tcPr>
            <w:tcW w:w="2791" w:type="dxa"/>
          </w:tcPr>
          <w:p w14:paraId="77D7F897"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11%</w:t>
            </w:r>
          </w:p>
        </w:tc>
      </w:tr>
      <w:tr w:rsidR="00CF3056" w14:paraId="7E30B524" w14:textId="77777777">
        <w:trPr>
          <w:trHeight w:val="300"/>
          <w:jc w:val="center"/>
        </w:trPr>
        <w:tc>
          <w:tcPr>
            <w:tcW w:w="3300" w:type="dxa"/>
            <w:shd w:val="clear" w:color="auto" w:fill="D9D9D9"/>
          </w:tcPr>
          <w:p w14:paraId="5505F562"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Salamanca </w:t>
            </w:r>
          </w:p>
        </w:tc>
        <w:tc>
          <w:tcPr>
            <w:tcW w:w="2791" w:type="dxa"/>
            <w:shd w:val="clear" w:color="auto" w:fill="D9D9D9"/>
          </w:tcPr>
          <w:p w14:paraId="60A3924E"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11%</w:t>
            </w:r>
          </w:p>
        </w:tc>
      </w:tr>
      <w:tr w:rsidR="00CF3056" w14:paraId="2929E170" w14:textId="77777777">
        <w:trPr>
          <w:trHeight w:val="315"/>
          <w:jc w:val="center"/>
        </w:trPr>
        <w:tc>
          <w:tcPr>
            <w:tcW w:w="3300" w:type="dxa"/>
          </w:tcPr>
          <w:p w14:paraId="2DA21B1E"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Tarragona </w:t>
            </w:r>
          </w:p>
        </w:tc>
        <w:tc>
          <w:tcPr>
            <w:tcW w:w="2791" w:type="dxa"/>
          </w:tcPr>
          <w:p w14:paraId="3EF71D3F"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11%</w:t>
            </w:r>
          </w:p>
        </w:tc>
      </w:tr>
      <w:tr w:rsidR="00CF3056" w14:paraId="67430356" w14:textId="77777777">
        <w:trPr>
          <w:trHeight w:val="315"/>
          <w:jc w:val="center"/>
        </w:trPr>
        <w:tc>
          <w:tcPr>
            <w:tcW w:w="3300" w:type="dxa"/>
            <w:shd w:val="clear" w:color="auto" w:fill="D9D9D9"/>
          </w:tcPr>
          <w:p w14:paraId="46BA6093"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Barcelona </w:t>
            </w:r>
          </w:p>
        </w:tc>
        <w:tc>
          <w:tcPr>
            <w:tcW w:w="2791" w:type="dxa"/>
            <w:shd w:val="clear" w:color="auto" w:fill="D9D9D9"/>
          </w:tcPr>
          <w:p w14:paraId="7717CDE7"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10%</w:t>
            </w:r>
          </w:p>
        </w:tc>
      </w:tr>
      <w:tr w:rsidR="00CF3056" w14:paraId="4EAD9B91" w14:textId="77777777">
        <w:trPr>
          <w:trHeight w:val="315"/>
          <w:jc w:val="center"/>
        </w:trPr>
        <w:tc>
          <w:tcPr>
            <w:tcW w:w="3300" w:type="dxa"/>
          </w:tcPr>
          <w:p w14:paraId="10E3F427"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Castellón de la Plana </w:t>
            </w:r>
          </w:p>
        </w:tc>
        <w:tc>
          <w:tcPr>
            <w:tcW w:w="2791" w:type="dxa"/>
          </w:tcPr>
          <w:p w14:paraId="141A43F4"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10%</w:t>
            </w:r>
          </w:p>
        </w:tc>
      </w:tr>
      <w:tr w:rsidR="00CF3056" w14:paraId="5644947A" w14:textId="77777777">
        <w:trPr>
          <w:trHeight w:val="315"/>
          <w:jc w:val="center"/>
        </w:trPr>
        <w:tc>
          <w:tcPr>
            <w:tcW w:w="3300" w:type="dxa"/>
            <w:shd w:val="clear" w:color="auto" w:fill="D9D9D9"/>
          </w:tcPr>
          <w:p w14:paraId="7535DECB"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Girona </w:t>
            </w:r>
          </w:p>
        </w:tc>
        <w:tc>
          <w:tcPr>
            <w:tcW w:w="2791" w:type="dxa"/>
            <w:shd w:val="clear" w:color="auto" w:fill="D9D9D9"/>
          </w:tcPr>
          <w:p w14:paraId="2EB0F8C6"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10%</w:t>
            </w:r>
          </w:p>
        </w:tc>
      </w:tr>
      <w:tr w:rsidR="00CF3056" w14:paraId="4D2E5F4E" w14:textId="77777777">
        <w:trPr>
          <w:trHeight w:val="315"/>
          <w:jc w:val="center"/>
        </w:trPr>
        <w:tc>
          <w:tcPr>
            <w:tcW w:w="3300" w:type="dxa"/>
          </w:tcPr>
          <w:p w14:paraId="2000F047"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Huesca </w:t>
            </w:r>
          </w:p>
        </w:tc>
        <w:tc>
          <w:tcPr>
            <w:tcW w:w="2791" w:type="dxa"/>
          </w:tcPr>
          <w:p w14:paraId="5F0E931B"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10%</w:t>
            </w:r>
          </w:p>
        </w:tc>
      </w:tr>
      <w:tr w:rsidR="00CF3056" w14:paraId="2E026D55" w14:textId="77777777">
        <w:trPr>
          <w:trHeight w:val="315"/>
          <w:jc w:val="center"/>
        </w:trPr>
        <w:tc>
          <w:tcPr>
            <w:tcW w:w="3300" w:type="dxa"/>
            <w:shd w:val="clear" w:color="auto" w:fill="D9D9D9"/>
          </w:tcPr>
          <w:p w14:paraId="070B0DC7"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Logroño </w:t>
            </w:r>
          </w:p>
        </w:tc>
        <w:tc>
          <w:tcPr>
            <w:tcW w:w="2791" w:type="dxa"/>
            <w:shd w:val="clear" w:color="auto" w:fill="D9D9D9"/>
          </w:tcPr>
          <w:p w14:paraId="4E1C47FC"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10%</w:t>
            </w:r>
          </w:p>
        </w:tc>
      </w:tr>
      <w:tr w:rsidR="00CF3056" w14:paraId="250C4AEB" w14:textId="77777777">
        <w:trPr>
          <w:trHeight w:val="315"/>
          <w:jc w:val="center"/>
        </w:trPr>
        <w:tc>
          <w:tcPr>
            <w:tcW w:w="3300" w:type="dxa"/>
          </w:tcPr>
          <w:p w14:paraId="2E29271A"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Santander </w:t>
            </w:r>
          </w:p>
        </w:tc>
        <w:tc>
          <w:tcPr>
            <w:tcW w:w="2791" w:type="dxa"/>
          </w:tcPr>
          <w:p w14:paraId="7BCDE662"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10%</w:t>
            </w:r>
          </w:p>
        </w:tc>
      </w:tr>
      <w:tr w:rsidR="00CF3056" w14:paraId="563507E3" w14:textId="77777777">
        <w:trPr>
          <w:trHeight w:val="315"/>
          <w:jc w:val="center"/>
        </w:trPr>
        <w:tc>
          <w:tcPr>
            <w:tcW w:w="3300" w:type="dxa"/>
            <w:shd w:val="clear" w:color="auto" w:fill="D9D9D9"/>
          </w:tcPr>
          <w:p w14:paraId="63A2E306"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Segovia </w:t>
            </w:r>
          </w:p>
        </w:tc>
        <w:tc>
          <w:tcPr>
            <w:tcW w:w="2791" w:type="dxa"/>
            <w:shd w:val="clear" w:color="auto" w:fill="D9D9D9"/>
          </w:tcPr>
          <w:p w14:paraId="7AEC4C38"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10%</w:t>
            </w:r>
          </w:p>
        </w:tc>
      </w:tr>
      <w:tr w:rsidR="00CF3056" w14:paraId="2284BC19" w14:textId="77777777">
        <w:trPr>
          <w:trHeight w:val="315"/>
          <w:jc w:val="center"/>
        </w:trPr>
        <w:tc>
          <w:tcPr>
            <w:tcW w:w="3300" w:type="dxa"/>
          </w:tcPr>
          <w:p w14:paraId="4B7C7FEF"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Teruel </w:t>
            </w:r>
          </w:p>
        </w:tc>
        <w:tc>
          <w:tcPr>
            <w:tcW w:w="2791" w:type="dxa"/>
          </w:tcPr>
          <w:p w14:paraId="0244BFF5"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10%</w:t>
            </w:r>
          </w:p>
        </w:tc>
      </w:tr>
      <w:tr w:rsidR="00CF3056" w14:paraId="69F82041" w14:textId="77777777">
        <w:trPr>
          <w:trHeight w:val="315"/>
          <w:jc w:val="center"/>
        </w:trPr>
        <w:tc>
          <w:tcPr>
            <w:tcW w:w="3300" w:type="dxa"/>
            <w:shd w:val="clear" w:color="auto" w:fill="D9D9D9"/>
          </w:tcPr>
          <w:p w14:paraId="5930D75C"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Vitoria </w:t>
            </w:r>
          </w:p>
        </w:tc>
        <w:tc>
          <w:tcPr>
            <w:tcW w:w="2791" w:type="dxa"/>
            <w:shd w:val="clear" w:color="auto" w:fill="D9D9D9"/>
          </w:tcPr>
          <w:p w14:paraId="41C2D1D1"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10%</w:t>
            </w:r>
          </w:p>
        </w:tc>
      </w:tr>
      <w:tr w:rsidR="00CF3056" w14:paraId="1EBA2BC8" w14:textId="77777777">
        <w:trPr>
          <w:trHeight w:val="315"/>
          <w:jc w:val="center"/>
        </w:trPr>
        <w:tc>
          <w:tcPr>
            <w:tcW w:w="3300" w:type="dxa"/>
          </w:tcPr>
          <w:p w14:paraId="6EFA5BF1"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Badajoz </w:t>
            </w:r>
          </w:p>
        </w:tc>
        <w:tc>
          <w:tcPr>
            <w:tcW w:w="2791" w:type="dxa"/>
          </w:tcPr>
          <w:p w14:paraId="15A60FD5"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9%</w:t>
            </w:r>
          </w:p>
        </w:tc>
      </w:tr>
      <w:tr w:rsidR="00CF3056" w14:paraId="3E681309" w14:textId="77777777">
        <w:trPr>
          <w:trHeight w:val="315"/>
          <w:jc w:val="center"/>
        </w:trPr>
        <w:tc>
          <w:tcPr>
            <w:tcW w:w="3300" w:type="dxa"/>
            <w:shd w:val="clear" w:color="auto" w:fill="D9D9D9"/>
          </w:tcPr>
          <w:p w14:paraId="672E637B"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Cuenca </w:t>
            </w:r>
          </w:p>
        </w:tc>
        <w:tc>
          <w:tcPr>
            <w:tcW w:w="2791" w:type="dxa"/>
            <w:shd w:val="clear" w:color="auto" w:fill="D9D9D9"/>
          </w:tcPr>
          <w:p w14:paraId="79AB5EFD"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9%</w:t>
            </w:r>
          </w:p>
        </w:tc>
      </w:tr>
      <w:tr w:rsidR="00CF3056" w14:paraId="5BE03FDB" w14:textId="77777777">
        <w:trPr>
          <w:trHeight w:val="315"/>
          <w:jc w:val="center"/>
        </w:trPr>
        <w:tc>
          <w:tcPr>
            <w:tcW w:w="3300" w:type="dxa"/>
          </w:tcPr>
          <w:p w14:paraId="39AF1550"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Orense </w:t>
            </w:r>
          </w:p>
        </w:tc>
        <w:tc>
          <w:tcPr>
            <w:tcW w:w="2791" w:type="dxa"/>
          </w:tcPr>
          <w:p w14:paraId="0CD17E20"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9%</w:t>
            </w:r>
          </w:p>
        </w:tc>
      </w:tr>
      <w:tr w:rsidR="00CF3056" w14:paraId="1D1AF6EB" w14:textId="77777777">
        <w:trPr>
          <w:trHeight w:val="315"/>
          <w:jc w:val="center"/>
        </w:trPr>
        <w:tc>
          <w:tcPr>
            <w:tcW w:w="3300" w:type="dxa"/>
            <w:shd w:val="clear" w:color="auto" w:fill="D9D9D9"/>
          </w:tcPr>
          <w:p w14:paraId="44FE912C"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Valladolid </w:t>
            </w:r>
          </w:p>
        </w:tc>
        <w:tc>
          <w:tcPr>
            <w:tcW w:w="2791" w:type="dxa"/>
            <w:shd w:val="clear" w:color="auto" w:fill="D9D9D9"/>
          </w:tcPr>
          <w:p w14:paraId="75140BF0"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9%</w:t>
            </w:r>
          </w:p>
        </w:tc>
      </w:tr>
      <w:tr w:rsidR="00CF3056" w14:paraId="304130C1" w14:textId="77777777">
        <w:trPr>
          <w:trHeight w:val="315"/>
          <w:jc w:val="center"/>
        </w:trPr>
        <w:tc>
          <w:tcPr>
            <w:tcW w:w="3300" w:type="dxa"/>
          </w:tcPr>
          <w:p w14:paraId="2E7F4B3F"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Vigo </w:t>
            </w:r>
          </w:p>
        </w:tc>
        <w:tc>
          <w:tcPr>
            <w:tcW w:w="2791" w:type="dxa"/>
          </w:tcPr>
          <w:p w14:paraId="64767A5D"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9%</w:t>
            </w:r>
          </w:p>
        </w:tc>
      </w:tr>
      <w:tr w:rsidR="00CF3056" w14:paraId="0BF81EE9" w14:textId="77777777">
        <w:trPr>
          <w:trHeight w:val="315"/>
          <w:jc w:val="center"/>
        </w:trPr>
        <w:tc>
          <w:tcPr>
            <w:tcW w:w="3300" w:type="dxa"/>
            <w:shd w:val="clear" w:color="auto" w:fill="D9D9D9"/>
          </w:tcPr>
          <w:p w14:paraId="4FF83654"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Zaragoza </w:t>
            </w:r>
          </w:p>
        </w:tc>
        <w:tc>
          <w:tcPr>
            <w:tcW w:w="2791" w:type="dxa"/>
            <w:shd w:val="clear" w:color="auto" w:fill="D9D9D9"/>
          </w:tcPr>
          <w:p w14:paraId="004902AC"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9%</w:t>
            </w:r>
          </w:p>
        </w:tc>
      </w:tr>
      <w:tr w:rsidR="00CF3056" w14:paraId="39C3F196" w14:textId="77777777">
        <w:trPr>
          <w:trHeight w:val="315"/>
          <w:jc w:val="center"/>
        </w:trPr>
        <w:tc>
          <w:tcPr>
            <w:tcW w:w="3300" w:type="dxa"/>
          </w:tcPr>
          <w:p w14:paraId="48C67A61"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Albacete </w:t>
            </w:r>
          </w:p>
        </w:tc>
        <w:tc>
          <w:tcPr>
            <w:tcW w:w="2791" w:type="dxa"/>
          </w:tcPr>
          <w:p w14:paraId="0151CA20"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8%</w:t>
            </w:r>
          </w:p>
        </w:tc>
      </w:tr>
      <w:tr w:rsidR="00CF3056" w14:paraId="1697A9EF" w14:textId="77777777">
        <w:trPr>
          <w:trHeight w:val="315"/>
          <w:jc w:val="center"/>
        </w:trPr>
        <w:tc>
          <w:tcPr>
            <w:tcW w:w="3300" w:type="dxa"/>
            <w:shd w:val="clear" w:color="auto" w:fill="D9D9D9"/>
          </w:tcPr>
          <w:p w14:paraId="2D17D7AB"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Ciudad Real </w:t>
            </w:r>
          </w:p>
        </w:tc>
        <w:tc>
          <w:tcPr>
            <w:tcW w:w="2791" w:type="dxa"/>
            <w:shd w:val="clear" w:color="auto" w:fill="D9D9D9"/>
          </w:tcPr>
          <w:p w14:paraId="06B987B4"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8%</w:t>
            </w:r>
          </w:p>
        </w:tc>
      </w:tr>
      <w:tr w:rsidR="00CF3056" w14:paraId="5D50FD38" w14:textId="77777777">
        <w:trPr>
          <w:trHeight w:val="315"/>
          <w:jc w:val="center"/>
        </w:trPr>
        <w:tc>
          <w:tcPr>
            <w:tcW w:w="3300" w:type="dxa"/>
          </w:tcPr>
          <w:p w14:paraId="535EE960"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Córdoba </w:t>
            </w:r>
          </w:p>
        </w:tc>
        <w:tc>
          <w:tcPr>
            <w:tcW w:w="2791" w:type="dxa"/>
          </w:tcPr>
          <w:p w14:paraId="7B2BE083"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8%</w:t>
            </w:r>
          </w:p>
        </w:tc>
      </w:tr>
      <w:tr w:rsidR="00CF3056" w14:paraId="03D793FB" w14:textId="77777777">
        <w:trPr>
          <w:trHeight w:val="315"/>
          <w:jc w:val="center"/>
        </w:trPr>
        <w:tc>
          <w:tcPr>
            <w:tcW w:w="3300" w:type="dxa"/>
            <w:shd w:val="clear" w:color="auto" w:fill="D9D9D9"/>
          </w:tcPr>
          <w:p w14:paraId="070F4276"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Coruña </w:t>
            </w:r>
          </w:p>
        </w:tc>
        <w:tc>
          <w:tcPr>
            <w:tcW w:w="2791" w:type="dxa"/>
            <w:shd w:val="clear" w:color="auto" w:fill="D9D9D9"/>
          </w:tcPr>
          <w:p w14:paraId="6F7558AB"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8%</w:t>
            </w:r>
          </w:p>
        </w:tc>
      </w:tr>
      <w:tr w:rsidR="00CF3056" w14:paraId="77C94B5A" w14:textId="77777777">
        <w:trPr>
          <w:trHeight w:val="315"/>
          <w:jc w:val="center"/>
        </w:trPr>
        <w:tc>
          <w:tcPr>
            <w:tcW w:w="3300" w:type="dxa"/>
          </w:tcPr>
          <w:p w14:paraId="0054C167"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Lleida </w:t>
            </w:r>
          </w:p>
        </w:tc>
        <w:tc>
          <w:tcPr>
            <w:tcW w:w="2791" w:type="dxa"/>
          </w:tcPr>
          <w:p w14:paraId="4E8C4F41"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8%</w:t>
            </w:r>
          </w:p>
        </w:tc>
      </w:tr>
      <w:tr w:rsidR="00CF3056" w14:paraId="194B3D0D" w14:textId="77777777">
        <w:trPr>
          <w:trHeight w:val="315"/>
          <w:jc w:val="center"/>
        </w:trPr>
        <w:tc>
          <w:tcPr>
            <w:tcW w:w="3300" w:type="dxa"/>
            <w:shd w:val="clear" w:color="auto" w:fill="D9D9D9"/>
          </w:tcPr>
          <w:p w14:paraId="005CA2A7"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Cáceres </w:t>
            </w:r>
          </w:p>
        </w:tc>
        <w:tc>
          <w:tcPr>
            <w:tcW w:w="2791" w:type="dxa"/>
            <w:shd w:val="clear" w:color="auto" w:fill="D9D9D9"/>
          </w:tcPr>
          <w:p w14:paraId="7CD883F5"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7%</w:t>
            </w:r>
          </w:p>
        </w:tc>
      </w:tr>
      <w:tr w:rsidR="00CF3056" w14:paraId="5CF9D735" w14:textId="77777777">
        <w:trPr>
          <w:trHeight w:val="315"/>
          <w:jc w:val="center"/>
        </w:trPr>
        <w:tc>
          <w:tcPr>
            <w:tcW w:w="3300" w:type="dxa"/>
          </w:tcPr>
          <w:p w14:paraId="7671E4ED"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Cádiz </w:t>
            </w:r>
          </w:p>
        </w:tc>
        <w:tc>
          <w:tcPr>
            <w:tcW w:w="2791" w:type="dxa"/>
          </w:tcPr>
          <w:p w14:paraId="0A6843B3"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7%</w:t>
            </w:r>
          </w:p>
        </w:tc>
      </w:tr>
      <w:tr w:rsidR="00CF3056" w14:paraId="64640629" w14:textId="77777777">
        <w:trPr>
          <w:trHeight w:val="315"/>
          <w:jc w:val="center"/>
        </w:trPr>
        <w:tc>
          <w:tcPr>
            <w:tcW w:w="3300" w:type="dxa"/>
            <w:shd w:val="clear" w:color="auto" w:fill="D9D9D9"/>
          </w:tcPr>
          <w:p w14:paraId="77C1FA65"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Huelva </w:t>
            </w:r>
          </w:p>
        </w:tc>
        <w:tc>
          <w:tcPr>
            <w:tcW w:w="2791" w:type="dxa"/>
            <w:shd w:val="clear" w:color="auto" w:fill="D9D9D9"/>
          </w:tcPr>
          <w:p w14:paraId="67AFF557"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7%</w:t>
            </w:r>
          </w:p>
        </w:tc>
      </w:tr>
      <w:tr w:rsidR="00CF3056" w14:paraId="44B4BD26" w14:textId="77777777">
        <w:trPr>
          <w:trHeight w:val="315"/>
          <w:jc w:val="center"/>
        </w:trPr>
        <w:tc>
          <w:tcPr>
            <w:tcW w:w="3300" w:type="dxa"/>
          </w:tcPr>
          <w:p w14:paraId="6C4D40E3"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Soria </w:t>
            </w:r>
          </w:p>
        </w:tc>
        <w:tc>
          <w:tcPr>
            <w:tcW w:w="2791" w:type="dxa"/>
          </w:tcPr>
          <w:p w14:paraId="6ABF372E"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7%</w:t>
            </w:r>
          </w:p>
        </w:tc>
      </w:tr>
      <w:tr w:rsidR="00CF3056" w14:paraId="08310D17" w14:textId="77777777">
        <w:trPr>
          <w:trHeight w:val="315"/>
          <w:jc w:val="center"/>
        </w:trPr>
        <w:tc>
          <w:tcPr>
            <w:tcW w:w="3300" w:type="dxa"/>
            <w:shd w:val="clear" w:color="auto" w:fill="D9D9D9"/>
          </w:tcPr>
          <w:p w14:paraId="64C921AF"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Toledo </w:t>
            </w:r>
          </w:p>
        </w:tc>
        <w:tc>
          <w:tcPr>
            <w:tcW w:w="2791" w:type="dxa"/>
            <w:shd w:val="clear" w:color="auto" w:fill="D9D9D9"/>
          </w:tcPr>
          <w:p w14:paraId="131E3056"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7%</w:t>
            </w:r>
          </w:p>
        </w:tc>
      </w:tr>
      <w:tr w:rsidR="00CF3056" w14:paraId="0E60BE6F" w14:textId="77777777">
        <w:trPr>
          <w:trHeight w:val="315"/>
          <w:jc w:val="center"/>
        </w:trPr>
        <w:tc>
          <w:tcPr>
            <w:tcW w:w="3300" w:type="dxa"/>
          </w:tcPr>
          <w:p w14:paraId="5CCFE785"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Bilbao </w:t>
            </w:r>
          </w:p>
        </w:tc>
        <w:tc>
          <w:tcPr>
            <w:tcW w:w="2791" w:type="dxa"/>
          </w:tcPr>
          <w:p w14:paraId="2EF1D40D"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6%</w:t>
            </w:r>
          </w:p>
        </w:tc>
      </w:tr>
      <w:tr w:rsidR="00CF3056" w14:paraId="498DFD58" w14:textId="77777777">
        <w:trPr>
          <w:trHeight w:val="315"/>
          <w:jc w:val="center"/>
        </w:trPr>
        <w:tc>
          <w:tcPr>
            <w:tcW w:w="3300" w:type="dxa"/>
            <w:shd w:val="clear" w:color="auto" w:fill="D9D9D9"/>
          </w:tcPr>
          <w:p w14:paraId="30765548"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San Sebastián </w:t>
            </w:r>
          </w:p>
        </w:tc>
        <w:tc>
          <w:tcPr>
            <w:tcW w:w="2791" w:type="dxa"/>
            <w:shd w:val="clear" w:color="auto" w:fill="D9D9D9"/>
          </w:tcPr>
          <w:p w14:paraId="46B28465"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6%</w:t>
            </w:r>
          </w:p>
        </w:tc>
      </w:tr>
      <w:tr w:rsidR="00CF3056" w14:paraId="7DEEC0ED" w14:textId="77777777">
        <w:trPr>
          <w:trHeight w:val="315"/>
          <w:jc w:val="center"/>
        </w:trPr>
        <w:tc>
          <w:tcPr>
            <w:tcW w:w="3300" w:type="dxa"/>
          </w:tcPr>
          <w:p w14:paraId="673CECF6"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Palencia </w:t>
            </w:r>
          </w:p>
        </w:tc>
        <w:tc>
          <w:tcPr>
            <w:tcW w:w="2791" w:type="dxa"/>
          </w:tcPr>
          <w:p w14:paraId="275B8AF6"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6%</w:t>
            </w:r>
          </w:p>
        </w:tc>
      </w:tr>
      <w:tr w:rsidR="00CF3056" w14:paraId="3BA81FAE" w14:textId="77777777">
        <w:trPr>
          <w:trHeight w:val="315"/>
          <w:jc w:val="center"/>
        </w:trPr>
        <w:tc>
          <w:tcPr>
            <w:tcW w:w="3300" w:type="dxa"/>
            <w:shd w:val="clear" w:color="auto" w:fill="D9D9D9"/>
          </w:tcPr>
          <w:p w14:paraId="4B6C41D4"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Zamora </w:t>
            </w:r>
          </w:p>
        </w:tc>
        <w:tc>
          <w:tcPr>
            <w:tcW w:w="2791" w:type="dxa"/>
            <w:shd w:val="clear" w:color="auto" w:fill="D9D9D9"/>
          </w:tcPr>
          <w:p w14:paraId="13263411"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6%</w:t>
            </w:r>
          </w:p>
        </w:tc>
      </w:tr>
      <w:tr w:rsidR="00CF3056" w14:paraId="6428CB1D" w14:textId="77777777">
        <w:trPr>
          <w:trHeight w:val="315"/>
          <w:jc w:val="center"/>
        </w:trPr>
        <w:tc>
          <w:tcPr>
            <w:tcW w:w="3300" w:type="dxa"/>
          </w:tcPr>
          <w:p w14:paraId="3BD43632"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Jaén </w:t>
            </w:r>
          </w:p>
        </w:tc>
        <w:tc>
          <w:tcPr>
            <w:tcW w:w="2791" w:type="dxa"/>
          </w:tcPr>
          <w:p w14:paraId="572FE9CA"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3%</w:t>
            </w:r>
          </w:p>
        </w:tc>
      </w:tr>
      <w:tr w:rsidR="00CF3056" w14:paraId="3AAD6B5E" w14:textId="77777777">
        <w:trPr>
          <w:trHeight w:val="315"/>
          <w:jc w:val="center"/>
        </w:trPr>
        <w:tc>
          <w:tcPr>
            <w:tcW w:w="3300" w:type="dxa"/>
            <w:shd w:val="clear" w:color="auto" w:fill="D9D9D9"/>
          </w:tcPr>
          <w:p w14:paraId="0C05047C" w14:textId="77777777" w:rsidR="00CF305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Pamplona </w:t>
            </w:r>
          </w:p>
        </w:tc>
        <w:tc>
          <w:tcPr>
            <w:tcW w:w="2791" w:type="dxa"/>
            <w:shd w:val="clear" w:color="auto" w:fill="D9D9D9"/>
          </w:tcPr>
          <w:p w14:paraId="3789C092" w14:textId="77777777" w:rsidR="00CF3056"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rPr>
              <w:t>2%</w:t>
            </w:r>
          </w:p>
        </w:tc>
      </w:tr>
    </w:tbl>
    <w:p w14:paraId="29FCD62F" w14:textId="77777777" w:rsidR="00CF3056" w:rsidRDefault="00CF3056">
      <w:pPr>
        <w:pBdr>
          <w:top w:val="nil"/>
          <w:left w:val="nil"/>
          <w:bottom w:val="nil"/>
          <w:right w:val="nil"/>
          <w:between w:val="nil"/>
        </w:pBdr>
        <w:spacing w:line="276" w:lineRule="auto"/>
        <w:jc w:val="both"/>
        <w:rPr>
          <w:rFonts w:ascii="Open Sans" w:eastAsia="Open Sans" w:hAnsi="Open Sans" w:cs="Open Sans"/>
        </w:rPr>
      </w:pPr>
    </w:p>
    <w:p w14:paraId="63B1852A" w14:textId="77777777" w:rsidR="00CF3056" w:rsidRDefault="00CF3056">
      <w:pPr>
        <w:pBdr>
          <w:top w:val="nil"/>
          <w:left w:val="nil"/>
          <w:bottom w:val="nil"/>
          <w:right w:val="nil"/>
          <w:between w:val="nil"/>
        </w:pBdr>
        <w:spacing w:line="276" w:lineRule="auto"/>
        <w:jc w:val="both"/>
        <w:rPr>
          <w:rFonts w:ascii="Open Sans" w:eastAsia="Open Sans" w:hAnsi="Open Sans" w:cs="Open Sans"/>
        </w:rPr>
      </w:pPr>
    </w:p>
    <w:p w14:paraId="3A1F8EA4" w14:textId="77777777" w:rsidR="00C7374F" w:rsidRDefault="00C7374F" w:rsidP="00C7374F">
      <w:pPr>
        <w:spacing w:line="276" w:lineRule="auto"/>
        <w:jc w:val="right"/>
        <w:rPr>
          <w:rFonts w:ascii="Open Sans Light" w:eastAsia="Open Sans Light" w:hAnsi="Open Sans Light" w:cs="Open Sans Light"/>
          <w:b/>
          <w:color w:val="303AB2"/>
        </w:rPr>
      </w:pPr>
    </w:p>
    <w:p w14:paraId="64D9648D" w14:textId="77777777" w:rsidR="00C7374F" w:rsidRDefault="00C7374F" w:rsidP="00C7374F">
      <w:pPr>
        <w:spacing w:line="276" w:lineRule="auto"/>
        <w:jc w:val="right"/>
        <w:rPr>
          <w:rFonts w:ascii="Open Sans Light" w:eastAsia="Open Sans Light" w:hAnsi="Open Sans Light" w:cs="Open Sans Light"/>
          <w:b/>
          <w:color w:val="303AB2"/>
        </w:rPr>
      </w:pPr>
    </w:p>
    <w:p w14:paraId="4FA7D6E2" w14:textId="77777777" w:rsidR="00C7374F" w:rsidRDefault="00C7374F" w:rsidP="00C7374F">
      <w:pPr>
        <w:spacing w:line="276" w:lineRule="auto"/>
        <w:jc w:val="right"/>
        <w:rPr>
          <w:rFonts w:ascii="Open Sans Light" w:eastAsia="Open Sans Light" w:hAnsi="Open Sans Light" w:cs="Open Sans Light"/>
          <w:b/>
          <w:color w:val="303AB2"/>
        </w:rPr>
      </w:pPr>
    </w:p>
    <w:p w14:paraId="08D35ED3" w14:textId="77777777" w:rsidR="00C7374F" w:rsidRDefault="00C7374F" w:rsidP="00C7374F">
      <w:pPr>
        <w:spacing w:line="276" w:lineRule="auto"/>
        <w:jc w:val="right"/>
        <w:rPr>
          <w:rFonts w:ascii="Open Sans Light" w:eastAsia="Open Sans Light" w:hAnsi="Open Sans Light" w:cs="Open Sans Light"/>
          <w:b/>
          <w:color w:val="303AB2"/>
        </w:rPr>
      </w:pPr>
    </w:p>
    <w:p w14:paraId="2964EAAA" w14:textId="77777777" w:rsidR="00C7374F" w:rsidRDefault="00C7374F" w:rsidP="00C7374F">
      <w:pPr>
        <w:spacing w:line="276" w:lineRule="auto"/>
        <w:jc w:val="right"/>
        <w:rPr>
          <w:rFonts w:ascii="Open Sans Light" w:eastAsia="Open Sans Light" w:hAnsi="Open Sans Light" w:cs="Open Sans Light"/>
          <w:b/>
          <w:color w:val="303AB2"/>
        </w:rPr>
      </w:pPr>
    </w:p>
    <w:p w14:paraId="3C3504B9" w14:textId="77777777" w:rsidR="00C7374F" w:rsidRDefault="00C7374F" w:rsidP="00C7374F">
      <w:pPr>
        <w:spacing w:line="276" w:lineRule="auto"/>
        <w:jc w:val="right"/>
        <w:rPr>
          <w:rFonts w:ascii="Open Sans Light" w:eastAsia="Open Sans Light" w:hAnsi="Open Sans Light" w:cs="Open Sans Light"/>
          <w:b/>
          <w:color w:val="303AB2"/>
        </w:rPr>
      </w:pPr>
    </w:p>
    <w:p w14:paraId="65D01668" w14:textId="77777777" w:rsidR="00C7374F" w:rsidRDefault="00C7374F" w:rsidP="00C7374F">
      <w:pPr>
        <w:spacing w:line="276" w:lineRule="auto"/>
        <w:jc w:val="right"/>
        <w:rPr>
          <w:rFonts w:ascii="Open Sans Light" w:eastAsia="Open Sans Light" w:hAnsi="Open Sans Light" w:cs="Open Sans Light"/>
          <w:b/>
          <w:color w:val="303AB2"/>
        </w:rPr>
      </w:pPr>
    </w:p>
    <w:p w14:paraId="5EEEE9FE" w14:textId="77777777" w:rsidR="00C7374F" w:rsidRDefault="00C7374F" w:rsidP="00C7374F">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E93A3A5" w14:textId="77777777" w:rsidR="00C7374F" w:rsidRDefault="00C7374F" w:rsidP="00C7374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0F9B9C5" w14:textId="77777777" w:rsidR="00C7374F" w:rsidRDefault="00C7374F" w:rsidP="00C7374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758A9B0" w14:textId="77777777" w:rsidR="00C7374F" w:rsidRDefault="00C7374F" w:rsidP="00C7374F">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551C9228" w14:textId="590311D6" w:rsidR="00C7374F" w:rsidRDefault="00C7374F" w:rsidP="00C7374F">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DataVenues</w:t>
      </w:r>
    </w:p>
    <w:p w14:paraId="441FE119" w14:textId="39EE979A" w:rsidR="00C7374F" w:rsidRDefault="00C7374F" w:rsidP="00C7374F">
      <w:pPr>
        <w:shd w:val="clear" w:color="auto" w:fill="FFFFFF"/>
        <w:spacing w:before="280" w:after="280" w:line="276" w:lineRule="auto"/>
        <w:jc w:val="both"/>
        <w:rPr>
          <w:rFonts w:ascii="Open Sans" w:eastAsia="Open Sans" w:hAnsi="Open Sans" w:cs="Open Sans"/>
          <w:sz w:val="22"/>
          <w:szCs w:val="22"/>
        </w:rPr>
      </w:pPr>
      <w:hyperlink r:id="rId14">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5">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w:t>
      </w:r>
      <w:hyperlink r:id="rId16">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incluye datos propios del portal, además de datos de catastro y Google Maps y permite realizar análisis de mercado de cada zona, con datos reales y actualizados de ofertas y demanda. Es una herramienta imprescindible para captar y valorar la cartera inmobiliaria y pone el Big Data al alcance de los profesionales inmobiliarios. </w:t>
      </w:r>
    </w:p>
    <w:p w14:paraId="2C4E9006" w14:textId="77777777" w:rsidR="00CF3056" w:rsidRDefault="00CF3056" w:rsidP="00C7374F">
      <w:pPr>
        <w:pBdr>
          <w:top w:val="nil"/>
          <w:left w:val="nil"/>
          <w:bottom w:val="nil"/>
          <w:right w:val="nil"/>
          <w:between w:val="nil"/>
        </w:pBdr>
        <w:spacing w:line="276" w:lineRule="auto"/>
        <w:jc w:val="both"/>
        <w:rPr>
          <w:rFonts w:ascii="Open Sans" w:eastAsia="Open Sans" w:hAnsi="Open Sans" w:cs="Open Sans"/>
        </w:rPr>
      </w:pPr>
    </w:p>
    <w:p w14:paraId="332B520A" w14:textId="77777777" w:rsidR="00CF305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1FF7269F" w14:textId="77777777" w:rsidR="00CF3056"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67916532" w14:textId="77777777" w:rsidR="00CF305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4FE41B49" w14:textId="77777777" w:rsidR="00CF305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CF79D7A" w14:textId="77777777" w:rsidR="00CF3056" w:rsidRDefault="00000000">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2939A22C" w14:textId="77777777" w:rsidR="00CF3056"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230F356C" w14:textId="77777777" w:rsidR="00CF3056"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98135FF" w14:textId="77777777" w:rsidR="00CF3056"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0D012F3D" w14:textId="77777777" w:rsidR="00CF3056"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CF3056">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C0221" w14:textId="77777777" w:rsidR="0063112E" w:rsidRDefault="0063112E">
      <w:r>
        <w:separator/>
      </w:r>
    </w:p>
  </w:endnote>
  <w:endnote w:type="continuationSeparator" w:id="0">
    <w:p w14:paraId="446E6127" w14:textId="77777777" w:rsidR="0063112E" w:rsidRDefault="0063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45FF487-1A45-4816-A629-AD674389394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D3A24C0-EFC4-403F-97B5-07D051A6FB4E}"/>
    <w:embedBold r:id="rId3" w:fontKey="{69EB2B04-56C6-46C4-98A4-638FC2007F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6DB0CA4-FCFC-4495-BBCE-1E918395372A}"/>
    <w:embedItalic r:id="rId5" w:fontKey="{254063FC-8093-4C5C-92F3-00F9832E6BBB}"/>
  </w:font>
  <w:font w:name="Cambria">
    <w:panose1 w:val="02040503050406030204"/>
    <w:charset w:val="00"/>
    <w:family w:val="roman"/>
    <w:pitch w:val="variable"/>
    <w:sig w:usb0="E00006FF" w:usb1="420024FF" w:usb2="02000000" w:usb3="00000000" w:csb0="0000019F" w:csb1="00000000"/>
    <w:embedRegular r:id="rId6" w:fontKey="{C6FEA607-111F-4C42-B6FC-3AD7A51229A8}"/>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7" w:fontKey="{798CE9D8-6CDB-495F-91DA-DDA1DC581A54}"/>
    <w:embedBold r:id="rId8" w:fontKey="{BF0A2A96-7A4F-4AFE-A4D4-E1C9A01B1D0C}"/>
  </w:font>
  <w:font w:name="Open Sans">
    <w:charset w:val="00"/>
    <w:family w:val="swiss"/>
    <w:pitch w:val="variable"/>
    <w:sig w:usb0="E00002EF" w:usb1="4000205B" w:usb2="00000028" w:usb3="00000000" w:csb0="0000019F" w:csb1="00000000"/>
    <w:embedRegular r:id="rId9" w:fontKey="{8B47F4E3-FCCE-4C1B-B91F-EB9F219F028D}"/>
    <w:embedBold r:id="rId10" w:fontKey="{A8655640-9EA5-4BCD-A975-DED209EC07D3}"/>
    <w:embedBoldItalic r:id="rId11" w:fontKey="{F549DFB5-602F-4451-825E-DFF511D679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A196D" w14:textId="77777777" w:rsidR="00CF305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0964599" wp14:editId="0FF8BF2C">
          <wp:simplePos x="0" y="0"/>
          <wp:positionH relativeFrom="column">
            <wp:posOffset>-1068040</wp:posOffset>
          </wp:positionH>
          <wp:positionV relativeFrom="paragraph">
            <wp:posOffset>174608</wp:posOffset>
          </wp:positionV>
          <wp:extent cx="7670550" cy="451315"/>
          <wp:effectExtent l="0" t="0" r="0" b="0"/>
          <wp:wrapNone/>
          <wp:docPr id="20668166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B6279" w14:textId="77777777" w:rsidR="0063112E" w:rsidRDefault="0063112E">
      <w:r>
        <w:separator/>
      </w:r>
    </w:p>
  </w:footnote>
  <w:footnote w:type="continuationSeparator" w:id="0">
    <w:p w14:paraId="0F22B47D" w14:textId="77777777" w:rsidR="0063112E" w:rsidRDefault="006311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5A0BE9"/>
    <w:multiLevelType w:val="multilevel"/>
    <w:tmpl w:val="18002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8412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056"/>
    <w:rsid w:val="0063112E"/>
    <w:rsid w:val="00A51B9B"/>
    <w:rsid w:val="00C7374F"/>
    <w:rsid w:val="00CF3056"/>
    <w:rsid w:val="00F411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0D085"/>
  <w15:docId w15:val="{37983B4A-8CBF-4FE3-AD33-474FBBC8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
    <w:basedOn w:val="TableNormal1"/>
    <w:rPr>
      <w:rFonts w:ascii="Cambria" w:eastAsia="Cambria" w:hAnsi="Cambria" w:cs="Cambria"/>
      <w:sz w:val="22"/>
      <w:szCs w:val="22"/>
    </w:rPr>
    <w:tblPr>
      <w:tblStyleRowBandSize w:val="1"/>
      <w:tblStyleColBandSize w:val="1"/>
      <w:tblCellMar>
        <w:left w:w="108" w:type="dxa"/>
        <w:right w:w="108" w:type="dxa"/>
      </w:tblCellMar>
    </w:tblPr>
  </w:style>
  <w:style w:type="paragraph" w:styleId="Revisin">
    <w:name w:val="Revision"/>
    <w:hidden/>
    <w:uiPriority w:val="99"/>
    <w:semiHidden/>
    <w:rsid w:val="007F0232"/>
  </w:style>
  <w:style w:type="table" w:customStyle="1" w:styleId="a0">
    <w:basedOn w:val="TableNormal0"/>
    <w:rPr>
      <w:rFonts w:ascii="Cambria" w:eastAsia="Cambria" w:hAnsi="Cambria" w:cs="Cambria"/>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atavenues.com/"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datavenues.com/" TargetMode="External"/><Relationship Id="rId23" Type="http://schemas.openxmlformats.org/officeDocument/2006/relationships/hyperlink" Target="http://adevinta.es" TargetMode="External"/><Relationship Id="rId10" Type="http://schemas.openxmlformats.org/officeDocument/2006/relationships/hyperlink" Target="https://www.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datavenues.com/" TargetMode="External"/><Relationship Id="rId14" Type="http://schemas.openxmlformats.org/officeDocument/2006/relationships/hyperlink" Target="https://datavenues.com/" TargetMode="External"/><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torn\OneDrive\Documents\Projectes\2025\090525_Draft%20&#205;ndex%20Negociaci&#243;\results_city_2025_apri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negotiation_index_march!$B$1</c:f>
              <c:strCache>
                <c:ptCount val="1"/>
                <c:pt idx="0">
                  <c:v>Índice de Negociación</c:v>
                </c:pt>
              </c:strCache>
            </c:strRef>
          </c:tx>
          <c:spPr>
            <a:solidFill>
              <a:schemeClr val="accent1">
                <a:lumMod val="75000"/>
              </a:schemeClr>
            </a:solidFill>
            <a:ln w="0">
              <a:noFill/>
            </a:ln>
            <a:effectLst/>
          </c:spPr>
          <c:invertIfNegative val="0"/>
          <c:cat>
            <c:strRef>
              <c:f>negotiation_index_march!$A$2:$A$52</c:f>
              <c:strCache>
                <c:ptCount val="51"/>
                <c:pt idx="0">
                  <c:v>Granada </c:v>
                </c:pt>
                <c:pt idx="1">
                  <c:v>Palma </c:v>
                </c:pt>
                <c:pt idx="2">
                  <c:v>Alicante </c:v>
                </c:pt>
                <c:pt idx="3">
                  <c:v>Málaga </c:v>
                </c:pt>
                <c:pt idx="4">
                  <c:v>Madrid </c:v>
                </c:pt>
                <c:pt idx="5">
                  <c:v>Almería </c:v>
                </c:pt>
                <c:pt idx="6">
                  <c:v>Valencia </c:v>
                </c:pt>
                <c:pt idx="7">
                  <c:v>León </c:v>
                </c:pt>
                <c:pt idx="8">
                  <c:v>Santa Cruz de T.</c:v>
                </c:pt>
                <c:pt idx="9">
                  <c:v>Murcia </c:v>
                </c:pt>
                <c:pt idx="10">
                  <c:v>Oviedo </c:v>
                </c:pt>
                <c:pt idx="11">
                  <c:v>Ávila </c:v>
                </c:pt>
                <c:pt idx="12">
                  <c:v>Burgos </c:v>
                </c:pt>
                <c:pt idx="13">
                  <c:v>Guadalajara </c:v>
                </c:pt>
                <c:pt idx="14">
                  <c:v>Las Palmas de G. C.</c:v>
                </c:pt>
                <c:pt idx="15">
                  <c:v>Pontevedra </c:v>
                </c:pt>
                <c:pt idx="16">
                  <c:v>Sevilla </c:v>
                </c:pt>
                <c:pt idx="17">
                  <c:v>Lugo </c:v>
                </c:pt>
                <c:pt idx="18">
                  <c:v>Salamanca </c:v>
                </c:pt>
                <c:pt idx="19">
                  <c:v>Tarragona </c:v>
                </c:pt>
                <c:pt idx="20">
                  <c:v>Barcelona </c:v>
                </c:pt>
                <c:pt idx="21">
                  <c:v>Castellón de la Plana </c:v>
                </c:pt>
                <c:pt idx="22">
                  <c:v>Girona </c:v>
                </c:pt>
                <c:pt idx="23">
                  <c:v>Huesca </c:v>
                </c:pt>
                <c:pt idx="24">
                  <c:v>Logroño </c:v>
                </c:pt>
                <c:pt idx="25">
                  <c:v>Santander </c:v>
                </c:pt>
                <c:pt idx="26">
                  <c:v>Segovia </c:v>
                </c:pt>
                <c:pt idx="27">
                  <c:v>Teruel </c:v>
                </c:pt>
                <c:pt idx="28">
                  <c:v>Vitoria </c:v>
                </c:pt>
                <c:pt idx="29">
                  <c:v>Badajoz </c:v>
                </c:pt>
                <c:pt idx="30">
                  <c:v>Cuenca </c:v>
                </c:pt>
                <c:pt idx="31">
                  <c:v>Orense </c:v>
                </c:pt>
                <c:pt idx="32">
                  <c:v>Valladolid </c:v>
                </c:pt>
                <c:pt idx="33">
                  <c:v>Vigo </c:v>
                </c:pt>
                <c:pt idx="34">
                  <c:v>Zaragoza </c:v>
                </c:pt>
                <c:pt idx="35">
                  <c:v>Albacete </c:v>
                </c:pt>
                <c:pt idx="36">
                  <c:v>Ciudad Real </c:v>
                </c:pt>
                <c:pt idx="37">
                  <c:v>Córdoba </c:v>
                </c:pt>
                <c:pt idx="38">
                  <c:v>A Coruña </c:v>
                </c:pt>
                <c:pt idx="39">
                  <c:v>Lleida </c:v>
                </c:pt>
                <c:pt idx="40">
                  <c:v>Cáceres </c:v>
                </c:pt>
                <c:pt idx="41">
                  <c:v>Cádiz </c:v>
                </c:pt>
                <c:pt idx="42">
                  <c:v>Huelva </c:v>
                </c:pt>
                <c:pt idx="43">
                  <c:v>Soria </c:v>
                </c:pt>
                <c:pt idx="44">
                  <c:v>Toledo </c:v>
                </c:pt>
                <c:pt idx="45">
                  <c:v>Bilbao </c:v>
                </c:pt>
                <c:pt idx="46">
                  <c:v>San Sebastián </c:v>
                </c:pt>
                <c:pt idx="47">
                  <c:v>Palencia </c:v>
                </c:pt>
                <c:pt idx="48">
                  <c:v>Zamora </c:v>
                </c:pt>
                <c:pt idx="49">
                  <c:v>Jaén </c:v>
                </c:pt>
                <c:pt idx="50">
                  <c:v>Pamplona </c:v>
                </c:pt>
              </c:strCache>
            </c:strRef>
          </c:cat>
          <c:val>
            <c:numRef>
              <c:f>negotiation_index_march!$B$2:$B$52</c:f>
              <c:numCache>
                <c:formatCode>0%</c:formatCode>
                <c:ptCount val="51"/>
                <c:pt idx="0">
                  <c:v>0.21</c:v>
                </c:pt>
                <c:pt idx="1">
                  <c:v>0.21</c:v>
                </c:pt>
                <c:pt idx="2">
                  <c:v>0.19</c:v>
                </c:pt>
                <c:pt idx="3">
                  <c:v>0.19</c:v>
                </c:pt>
                <c:pt idx="4">
                  <c:v>0.17</c:v>
                </c:pt>
                <c:pt idx="5">
                  <c:v>0.16</c:v>
                </c:pt>
                <c:pt idx="6">
                  <c:v>0.16</c:v>
                </c:pt>
                <c:pt idx="7">
                  <c:v>0.15</c:v>
                </c:pt>
                <c:pt idx="8">
                  <c:v>0.14000000000000001</c:v>
                </c:pt>
                <c:pt idx="9">
                  <c:v>0.13</c:v>
                </c:pt>
                <c:pt idx="10">
                  <c:v>0.13</c:v>
                </c:pt>
                <c:pt idx="11">
                  <c:v>0.12</c:v>
                </c:pt>
                <c:pt idx="12">
                  <c:v>0.12</c:v>
                </c:pt>
                <c:pt idx="13">
                  <c:v>0.12</c:v>
                </c:pt>
                <c:pt idx="14">
                  <c:v>0.12</c:v>
                </c:pt>
                <c:pt idx="15">
                  <c:v>0.12</c:v>
                </c:pt>
                <c:pt idx="16">
                  <c:v>0.12</c:v>
                </c:pt>
                <c:pt idx="17">
                  <c:v>0.11</c:v>
                </c:pt>
                <c:pt idx="18">
                  <c:v>0.11</c:v>
                </c:pt>
                <c:pt idx="19">
                  <c:v>0.11</c:v>
                </c:pt>
                <c:pt idx="20">
                  <c:v>0.1</c:v>
                </c:pt>
                <c:pt idx="21">
                  <c:v>0.1</c:v>
                </c:pt>
                <c:pt idx="22">
                  <c:v>0.1</c:v>
                </c:pt>
                <c:pt idx="23">
                  <c:v>0.1</c:v>
                </c:pt>
                <c:pt idx="24">
                  <c:v>0.1</c:v>
                </c:pt>
                <c:pt idx="25">
                  <c:v>0.1</c:v>
                </c:pt>
                <c:pt idx="26">
                  <c:v>0.1</c:v>
                </c:pt>
                <c:pt idx="27">
                  <c:v>0.1</c:v>
                </c:pt>
                <c:pt idx="28">
                  <c:v>0.1</c:v>
                </c:pt>
                <c:pt idx="29">
                  <c:v>0.09</c:v>
                </c:pt>
                <c:pt idx="30">
                  <c:v>0.09</c:v>
                </c:pt>
                <c:pt idx="31">
                  <c:v>0.09</c:v>
                </c:pt>
                <c:pt idx="32">
                  <c:v>0.09</c:v>
                </c:pt>
                <c:pt idx="33">
                  <c:v>0.09</c:v>
                </c:pt>
                <c:pt idx="34">
                  <c:v>0.09</c:v>
                </c:pt>
                <c:pt idx="35">
                  <c:v>0.08</c:v>
                </c:pt>
                <c:pt idx="36">
                  <c:v>0.08</c:v>
                </c:pt>
                <c:pt idx="37">
                  <c:v>0.08</c:v>
                </c:pt>
                <c:pt idx="38">
                  <c:v>0.08</c:v>
                </c:pt>
                <c:pt idx="39">
                  <c:v>0.08</c:v>
                </c:pt>
                <c:pt idx="40">
                  <c:v>7.0000000000000007E-2</c:v>
                </c:pt>
                <c:pt idx="41">
                  <c:v>7.0000000000000007E-2</c:v>
                </c:pt>
                <c:pt idx="42">
                  <c:v>7.0000000000000007E-2</c:v>
                </c:pt>
                <c:pt idx="43">
                  <c:v>7.0000000000000007E-2</c:v>
                </c:pt>
                <c:pt idx="44">
                  <c:v>7.0000000000000007E-2</c:v>
                </c:pt>
                <c:pt idx="45">
                  <c:v>0.06</c:v>
                </c:pt>
                <c:pt idx="46">
                  <c:v>0.06</c:v>
                </c:pt>
                <c:pt idx="47">
                  <c:v>0.06</c:v>
                </c:pt>
                <c:pt idx="48">
                  <c:v>0.06</c:v>
                </c:pt>
                <c:pt idx="49">
                  <c:v>0.03</c:v>
                </c:pt>
                <c:pt idx="50">
                  <c:v>0.02</c:v>
                </c:pt>
              </c:numCache>
            </c:numRef>
          </c:val>
          <c:extLst>
            <c:ext xmlns:c16="http://schemas.microsoft.com/office/drawing/2014/chart" uri="{C3380CC4-5D6E-409C-BE32-E72D297353CC}">
              <c16:uniqueId val="{00000000-B1D5-450E-82BA-4A18E623DCE2}"/>
            </c:ext>
          </c:extLst>
        </c:ser>
        <c:dLbls>
          <c:showLegendKey val="0"/>
          <c:showVal val="0"/>
          <c:showCatName val="0"/>
          <c:showSerName val="0"/>
          <c:showPercent val="0"/>
          <c:showBubbleSize val="0"/>
        </c:dLbls>
        <c:gapWidth val="219"/>
        <c:overlap val="-27"/>
        <c:axId val="1150492831"/>
        <c:axId val="1150491391"/>
      </c:barChart>
      <c:catAx>
        <c:axId val="1150492831"/>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150491391"/>
        <c:crosses val="autoZero"/>
        <c:auto val="1"/>
        <c:lblAlgn val="ctr"/>
        <c:lblOffset val="100"/>
        <c:noMultiLvlLbl val="0"/>
      </c:catAx>
      <c:valAx>
        <c:axId val="1150491391"/>
        <c:scaling>
          <c:orientation val="minMax"/>
          <c:max val="0.21000000000000002"/>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150492831"/>
        <c:crosses val="autoZero"/>
        <c:crossBetween val="between"/>
        <c:majorUnit val="5.000000000000001E-2"/>
        <c:minorUnit val="5.000000000000001E-2"/>
      </c:valAx>
      <c:spPr>
        <a:noFill/>
        <a:ln w="3175">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FUbN2Hw/HYibzWyomdLHOVopYQ==">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1210</Words>
  <Characters>6655</Characters>
  <Application>Microsoft Office Word</Application>
  <DocSecurity>0</DocSecurity>
  <Lines>55</Lines>
  <Paragraphs>15</Paragraphs>
  <ScaleCrop>false</ScaleCrop>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3</cp:revision>
  <dcterms:created xsi:type="dcterms:W3CDTF">2024-02-06T13:46:00Z</dcterms:created>
  <dcterms:modified xsi:type="dcterms:W3CDTF">2025-05-19T14:17:00Z</dcterms:modified>
</cp:coreProperties>
</file>