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7C0F" w14:textId="77777777" w:rsidR="003A7C14" w:rsidRDefault="00000000">
      <w:r>
        <w:rPr>
          <w:noProof/>
        </w:rPr>
        <w:drawing>
          <wp:anchor distT="0" distB="0" distL="114300" distR="114300" simplePos="0" relativeHeight="251658240" behindDoc="0" locked="0" layoutInCell="1" hidden="0" allowOverlap="1" wp14:anchorId="47A11437" wp14:editId="099155AE">
            <wp:simplePos x="0" y="0"/>
            <wp:positionH relativeFrom="column">
              <wp:posOffset>-1080130</wp:posOffset>
            </wp:positionH>
            <wp:positionV relativeFrom="paragraph">
              <wp:posOffset>-654681</wp:posOffset>
            </wp:positionV>
            <wp:extent cx="7581265" cy="1019175"/>
            <wp:effectExtent l="0" t="0" r="0" b="0"/>
            <wp:wrapNone/>
            <wp:docPr id="2093790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D242C7C" w14:textId="77777777" w:rsidR="003A7C14" w:rsidRDefault="003A7C14">
      <w:pPr>
        <w:jc w:val="right"/>
        <w:rPr>
          <w:rFonts w:ascii="National" w:eastAsia="National" w:hAnsi="National" w:cs="National"/>
          <w:color w:val="303AB2"/>
          <w:sz w:val="36"/>
          <w:szCs w:val="36"/>
        </w:rPr>
      </w:pPr>
    </w:p>
    <w:p w14:paraId="3FCB4D24" w14:textId="77777777" w:rsidR="003A7C14" w:rsidRDefault="003A7C14">
      <w:pPr>
        <w:rPr>
          <w:rFonts w:ascii="National" w:eastAsia="National" w:hAnsi="National" w:cs="National"/>
          <w:color w:val="303AB2"/>
          <w:sz w:val="18"/>
          <w:szCs w:val="18"/>
        </w:rPr>
      </w:pPr>
    </w:p>
    <w:p w14:paraId="755B2B7A" w14:textId="77777777" w:rsidR="003A7C14"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459FD983" w14:textId="77777777" w:rsidR="003A7C14"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La bajada de tipos eleva al 69% los compradores de vivienda con hipoteca, tres puntos más que hace un año</w:t>
      </w:r>
    </w:p>
    <w:p w14:paraId="2068498A" w14:textId="77777777" w:rsidR="003A7C14" w:rsidRDefault="003A7C14">
      <w:pPr>
        <w:spacing w:line="276" w:lineRule="auto"/>
        <w:ind w:right="4"/>
        <w:jc w:val="both"/>
        <w:rPr>
          <w:rFonts w:ascii="Open Sans" w:eastAsia="Open Sans" w:hAnsi="Open Sans" w:cs="Open Sans"/>
          <w:color w:val="303AB2"/>
        </w:rPr>
      </w:pPr>
    </w:p>
    <w:p w14:paraId="5BD9E988" w14:textId="77777777" w:rsidR="003A7C14"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mayoría (55%) de los hipotecados necesita únicamente financiación bancaria, pero un 14% de ellos tuvo que solicitar además ayuda familiar</w:t>
      </w:r>
    </w:p>
    <w:p w14:paraId="51E0DB4D" w14:textId="77777777" w:rsidR="003A7C14"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que compraron sin hipoteca: un 16% lo hizo con sus ahorros, un 8% gracias a ayuda familiar y un 7% vendiendo una antigua vivienda</w:t>
      </w:r>
    </w:p>
    <w:p w14:paraId="3A49EB18" w14:textId="77777777" w:rsidR="003A7C14"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perfil del hipotecado español es el de una mujer de 40 años que vive en familia y es de clase media-alta o alta</w:t>
      </w:r>
    </w:p>
    <w:p w14:paraId="40CCD48E" w14:textId="77777777" w:rsidR="003A7C14" w:rsidRDefault="003A7C14">
      <w:pPr>
        <w:pBdr>
          <w:top w:val="nil"/>
          <w:left w:val="nil"/>
          <w:bottom w:val="nil"/>
          <w:right w:val="nil"/>
          <w:between w:val="nil"/>
        </w:pBdr>
        <w:spacing w:line="276" w:lineRule="auto"/>
        <w:ind w:left="720"/>
        <w:jc w:val="both"/>
        <w:rPr>
          <w:rFonts w:ascii="Open Sans" w:eastAsia="Open Sans" w:hAnsi="Open Sans" w:cs="Open Sans"/>
          <w:color w:val="303AB2"/>
        </w:rPr>
      </w:pPr>
    </w:p>
    <w:p w14:paraId="0D032774" w14:textId="77777777" w:rsidR="003A7C14"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18 de junio de 2024</w:t>
      </w:r>
    </w:p>
    <w:p w14:paraId="4D0D34C7" w14:textId="77777777" w:rsidR="003A7C14" w:rsidRDefault="003A7C14">
      <w:pPr>
        <w:pBdr>
          <w:top w:val="nil"/>
          <w:left w:val="nil"/>
          <w:bottom w:val="nil"/>
          <w:right w:val="nil"/>
          <w:between w:val="nil"/>
        </w:pBdr>
        <w:spacing w:line="276" w:lineRule="auto"/>
        <w:ind w:left="-284"/>
        <w:jc w:val="both"/>
        <w:rPr>
          <w:rFonts w:ascii="Open Sans" w:eastAsia="Open Sans" w:hAnsi="Open Sans" w:cs="Open Sans"/>
        </w:rPr>
      </w:pPr>
    </w:p>
    <w:p w14:paraId="0EAE9382" w14:textId="77777777" w:rsidR="003A7C14" w:rsidRDefault="00000000">
      <w:pPr>
        <w:spacing w:line="276" w:lineRule="auto"/>
        <w:ind w:left="-284" w:right="4"/>
        <w:jc w:val="both"/>
        <w:rPr>
          <w:rFonts w:ascii="Open Sans" w:eastAsia="Open Sans" w:hAnsi="Open Sans" w:cs="Open Sans"/>
        </w:rPr>
      </w:pPr>
      <w:bookmarkStart w:id="0" w:name="_heading=h.gjdgxs" w:colFirst="0" w:colLast="0"/>
      <w:bookmarkEnd w:id="0"/>
      <w:r>
        <w:rPr>
          <w:rFonts w:ascii="Open Sans" w:eastAsia="Open Sans" w:hAnsi="Open Sans" w:cs="Open Sans"/>
        </w:rPr>
        <w:t xml:space="preserve">La actual desescalada de los tipos de interés y la consecuente mejora en las condiciones de financiación bancaria están marcando un cambio de ciclo en el mercado hipotecario español. Si en 2024 se había incrementado el porcentaje de demandantes efectivos de vivienda que actuaban en el mercado sin necesidad de hipotecarse, ahora esta tendencia se ha revertido. </w:t>
      </w:r>
      <w:r>
        <w:rPr>
          <w:rFonts w:ascii="Open Sans" w:eastAsia="Open Sans" w:hAnsi="Open Sans" w:cs="Open Sans"/>
          <w:b/>
        </w:rPr>
        <w:t xml:space="preserve">En 2025, un 69% de los compradores de inmuebles residenciales recurren a una hipoteca, una tasa que es tres </w:t>
      </w:r>
      <w:proofErr w:type="gramStart"/>
      <w:r>
        <w:rPr>
          <w:rFonts w:ascii="Open Sans" w:eastAsia="Open Sans" w:hAnsi="Open Sans" w:cs="Open Sans"/>
          <w:b/>
        </w:rPr>
        <w:t>puntos superior</w:t>
      </w:r>
      <w:proofErr w:type="gramEnd"/>
      <w:r>
        <w:rPr>
          <w:rFonts w:ascii="Open Sans" w:eastAsia="Open Sans" w:hAnsi="Open Sans" w:cs="Open Sans"/>
          <w:b/>
        </w:rPr>
        <w:t xml:space="preserve"> a la registrada en el ejercicio anterior</w:t>
      </w:r>
      <w:r>
        <w:rPr>
          <w:rFonts w:ascii="Open Sans" w:eastAsia="Open Sans" w:hAnsi="Open Sans" w:cs="Open Sans"/>
        </w:rPr>
        <w:t xml:space="preserve">. </w:t>
      </w:r>
    </w:p>
    <w:p w14:paraId="5A5D9434" w14:textId="77777777" w:rsidR="003A7C14" w:rsidRDefault="003A7C14">
      <w:pPr>
        <w:spacing w:line="276" w:lineRule="auto"/>
        <w:ind w:left="-284" w:right="4"/>
        <w:jc w:val="both"/>
        <w:rPr>
          <w:rFonts w:ascii="Open Sans" w:eastAsia="Open Sans" w:hAnsi="Open Sans" w:cs="Open Sans"/>
        </w:rPr>
      </w:pPr>
    </w:p>
    <w:p w14:paraId="530B6EA6" w14:textId="45742CD1" w:rsidR="003A7C14" w:rsidRDefault="00000000">
      <w:pPr>
        <w:spacing w:line="276" w:lineRule="auto"/>
        <w:ind w:left="-284" w:right="4"/>
        <w:jc w:val="both"/>
        <w:rPr>
          <w:rFonts w:ascii="Open Sans" w:eastAsia="Open Sans" w:hAnsi="Open Sans" w:cs="Open Sans"/>
        </w:rPr>
      </w:pPr>
      <w:r>
        <w:rPr>
          <w:rFonts w:ascii="Open Sans" w:eastAsia="Open Sans" w:hAnsi="Open Sans" w:cs="Open Sans"/>
        </w:rPr>
        <w:t xml:space="preserve">Dentro de este segmento, </w:t>
      </w:r>
      <w:r>
        <w:rPr>
          <w:rFonts w:ascii="Open Sans" w:eastAsia="Open Sans" w:hAnsi="Open Sans" w:cs="Open Sans"/>
          <w:b/>
        </w:rPr>
        <w:t>un 55% recibió únicamente financiación bancaria para adquirir una vivienda (un punto más que en 2024), mientras que un 14% solicitó ayuda familiar además de firmar una hipoteca (dos puntos más que el año anterior)</w:t>
      </w:r>
      <w:r>
        <w:rPr>
          <w:rFonts w:ascii="Open Sans" w:eastAsia="Open Sans" w:hAnsi="Open Sans" w:cs="Open Sans"/>
        </w:rPr>
        <w:t>. Estas son algunas de las conclusiones del informe “</w:t>
      </w:r>
      <w:hyperlink r:id="rId9" w:history="1">
        <w:r w:rsidRPr="00182E2B">
          <w:rPr>
            <w:rStyle w:val="Hipervnculo"/>
            <w:rFonts w:ascii="Open Sans" w:eastAsia="Open Sans" w:hAnsi="Open Sans" w:cs="Open Sans"/>
            <w:b/>
            <w:i/>
          </w:rPr>
          <w:t>Perfil del hipotecado español en 2025</w:t>
        </w:r>
      </w:hyperlink>
      <w:r>
        <w:rPr>
          <w:rFonts w:ascii="Open Sans" w:eastAsia="Open Sans" w:hAnsi="Open Sans" w:cs="Open Sans"/>
        </w:rPr>
        <w:t xml:space="preserve">”, elaborado por </w:t>
      </w:r>
      <w:hyperlink r:id="rId10">
        <w:r w:rsidRPr="00182E2B">
          <w:rPr>
            <w:rFonts w:ascii="Open Sans" w:eastAsia="Open Sans" w:hAnsi="Open Sans" w:cs="Open Sans"/>
            <w:b/>
            <w:bCs/>
            <w:color w:val="0000FF"/>
            <w:u w:val="single"/>
          </w:rPr>
          <w:t xml:space="preserve">Fotocasa </w:t>
        </w:r>
        <w:proofErr w:type="spellStart"/>
        <w:r w:rsidRPr="00182E2B">
          <w:rPr>
            <w:rFonts w:ascii="Open Sans" w:eastAsia="Open Sans" w:hAnsi="Open Sans" w:cs="Open Sans"/>
            <w:b/>
            <w:bCs/>
            <w:color w:val="0000FF"/>
            <w:u w:val="single"/>
          </w:rPr>
          <w:t>Research</w:t>
        </w:r>
        <w:proofErr w:type="spellEnd"/>
      </w:hyperlink>
      <w:r>
        <w:rPr>
          <w:rFonts w:ascii="Open Sans" w:eastAsia="Open Sans" w:hAnsi="Open Sans" w:cs="Open Sans"/>
        </w:rPr>
        <w:t xml:space="preserve"> y que traza, un año más, una radiografía de cómo se hipotecan los españoles. </w:t>
      </w:r>
    </w:p>
    <w:p w14:paraId="78A0B563" w14:textId="77777777" w:rsidR="003A7C14" w:rsidRDefault="003A7C14">
      <w:pPr>
        <w:spacing w:line="276" w:lineRule="auto"/>
        <w:ind w:left="-284" w:right="4"/>
        <w:jc w:val="both"/>
        <w:rPr>
          <w:rFonts w:ascii="Open Sans" w:eastAsia="Open Sans" w:hAnsi="Open Sans" w:cs="Open Sans"/>
        </w:rPr>
      </w:pPr>
    </w:p>
    <w:p w14:paraId="485B840F" w14:textId="77777777" w:rsidR="003A7C14" w:rsidRDefault="00000000">
      <w:pPr>
        <w:spacing w:line="276" w:lineRule="auto"/>
        <w:ind w:left="-284" w:right="4"/>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rPr>
        <w:t>un 31% de los compradores de vivienda no están demandando en la actualidad financiación bancaria a la hora de adquirir un inmueble</w:t>
      </w:r>
      <w:r>
        <w:rPr>
          <w:rFonts w:ascii="Open Sans" w:eastAsia="Open Sans" w:hAnsi="Open Sans" w:cs="Open Sans"/>
        </w:rPr>
        <w:t xml:space="preserve">. Dentro de este tipo de demandantes, el 16% pudo realizar la operación gracias a sus ahorros (un punto menos que en 2024), el 8% recibió ayuda de sus familiares (dos </w:t>
      </w:r>
      <w:r>
        <w:rPr>
          <w:rFonts w:ascii="Open Sans" w:eastAsia="Open Sans" w:hAnsi="Open Sans" w:cs="Open Sans"/>
        </w:rPr>
        <w:lastRenderedPageBreak/>
        <w:t>puntos menos a nivel interanual), y el 7% financió la operación vendiendo su antigua vivienda (el mismo porcentaje que el año anterior). En este sentido, la decisión de recurrir o no a una hipoteca viene obviamente condicionada por la ayuda familiar o la disponibilidad de ahorros, pero también por el atractivo de disponer de unas condiciones hipotecarias más ventajosas.</w:t>
      </w:r>
    </w:p>
    <w:p w14:paraId="79E61F45" w14:textId="77777777" w:rsidR="003A7C14" w:rsidRDefault="003A7C14">
      <w:pPr>
        <w:spacing w:line="276" w:lineRule="auto"/>
        <w:ind w:left="-284" w:right="4"/>
        <w:jc w:val="both"/>
        <w:rPr>
          <w:rFonts w:ascii="Open Sans" w:eastAsia="Open Sans" w:hAnsi="Open Sans" w:cs="Open Sans"/>
        </w:rPr>
      </w:pPr>
    </w:p>
    <w:p w14:paraId="0C4A8285" w14:textId="77777777" w:rsidR="003A7C14" w:rsidRDefault="00000000">
      <w:pPr>
        <w:spacing w:line="276" w:lineRule="auto"/>
        <w:ind w:left="-284" w:right="141"/>
        <w:jc w:val="both"/>
        <w:rPr>
          <w:rFonts w:ascii="Open Sans" w:eastAsia="Open Sans" w:hAnsi="Open Sans" w:cs="Open Sans"/>
        </w:rPr>
      </w:pPr>
      <w:r>
        <w:rPr>
          <w:rFonts w:ascii="Open Sans" w:eastAsia="Open Sans" w:hAnsi="Open Sans" w:cs="Open Sans"/>
        </w:rPr>
        <w:t xml:space="preserve">“El cambio de ciclo en el mercado hipotecario vuelve a fomentar que la compra de vivienda vuelva a apoyarse en la hipoteca. Este repunte de tres puntos demuestra que el mercado se está reactivando gracias a una mayor confianza y a unas condiciones más favorables para los hogares. Sin embargo, es importante subrayar que, aunque mejoren las hipotecas, la ayuda familiar y el ahorro siguen siendo claves para muchos compradores. Esto refleja que la accesibilidad a la vivienda continúa siendo un reto para una parte de la población, especialmente para los más jóvenes o para aquellos sin un colchón económico previo”,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 xml:space="preserve">. </w:t>
      </w:r>
    </w:p>
    <w:p w14:paraId="217DE3E3" w14:textId="77777777" w:rsidR="003A7C14" w:rsidRDefault="003A7C14">
      <w:pPr>
        <w:spacing w:line="276" w:lineRule="auto"/>
        <w:ind w:left="-284" w:right="141"/>
        <w:jc w:val="both"/>
        <w:rPr>
          <w:rFonts w:ascii="Open Sans" w:eastAsia="Open Sans" w:hAnsi="Open Sans" w:cs="Open Sans"/>
          <w:b/>
        </w:rPr>
      </w:pPr>
    </w:p>
    <w:p w14:paraId="759C3E73" w14:textId="63EB24A0" w:rsidR="003A7C14" w:rsidRDefault="007E0F41">
      <w:pPr>
        <w:spacing w:line="276" w:lineRule="auto"/>
        <w:ind w:left="-284" w:right="141"/>
        <w:jc w:val="both"/>
        <w:rPr>
          <w:b/>
          <w:sz w:val="28"/>
          <w:szCs w:val="28"/>
        </w:rPr>
      </w:pPr>
      <w:r>
        <w:rPr>
          <w:noProof/>
        </w:rPr>
        <w:drawing>
          <wp:inline distT="0" distB="0" distL="0" distR="0" wp14:anchorId="4EE8F201" wp14:editId="13ECCB9F">
            <wp:extent cx="5943600" cy="3967641"/>
            <wp:effectExtent l="0" t="0" r="0" b="0"/>
            <wp:docPr id="47578003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0036" name="Imagen 1" descr="Diagrama&#10;&#10;El contenido generado por IA puede ser incorrecto."/>
                    <pic:cNvPicPr/>
                  </pic:nvPicPr>
                  <pic:blipFill>
                    <a:blip r:embed="rId12"/>
                    <a:stretch>
                      <a:fillRect/>
                    </a:stretch>
                  </pic:blipFill>
                  <pic:spPr>
                    <a:xfrm>
                      <a:off x="0" y="0"/>
                      <a:ext cx="5945242" cy="3968737"/>
                    </a:xfrm>
                    <a:prstGeom prst="rect">
                      <a:avLst/>
                    </a:prstGeom>
                  </pic:spPr>
                </pic:pic>
              </a:graphicData>
            </a:graphic>
          </wp:inline>
        </w:drawing>
      </w:r>
    </w:p>
    <w:p w14:paraId="752BFAE3" w14:textId="77777777" w:rsidR="007E0F41" w:rsidRDefault="007E0F41">
      <w:pPr>
        <w:spacing w:line="276" w:lineRule="auto"/>
        <w:ind w:left="-284" w:right="141"/>
        <w:jc w:val="both"/>
        <w:rPr>
          <w:b/>
          <w:sz w:val="28"/>
          <w:szCs w:val="28"/>
        </w:rPr>
      </w:pPr>
    </w:p>
    <w:p w14:paraId="42CA83A4" w14:textId="77777777" w:rsidR="007E0F41" w:rsidRDefault="007E0F41">
      <w:pPr>
        <w:spacing w:line="276" w:lineRule="auto"/>
        <w:ind w:left="-284" w:right="141"/>
        <w:jc w:val="both"/>
        <w:rPr>
          <w:b/>
          <w:sz w:val="28"/>
          <w:szCs w:val="28"/>
        </w:rPr>
      </w:pPr>
    </w:p>
    <w:p w14:paraId="37C64118" w14:textId="77777777" w:rsidR="007E0F41" w:rsidRDefault="007E0F41">
      <w:pPr>
        <w:spacing w:line="276" w:lineRule="auto"/>
        <w:ind w:left="-284" w:right="141"/>
        <w:jc w:val="both"/>
        <w:rPr>
          <w:b/>
          <w:sz w:val="28"/>
          <w:szCs w:val="28"/>
        </w:rPr>
      </w:pPr>
    </w:p>
    <w:p w14:paraId="0614AA75" w14:textId="77777777" w:rsidR="003A7C14" w:rsidRDefault="003A7C14">
      <w:pPr>
        <w:spacing w:line="276" w:lineRule="auto"/>
        <w:ind w:left="-284" w:right="4"/>
        <w:jc w:val="both"/>
        <w:rPr>
          <w:rFonts w:ascii="Open Sans" w:eastAsia="Open Sans" w:hAnsi="Open Sans" w:cs="Open Sans"/>
        </w:rPr>
      </w:pPr>
    </w:p>
    <w:p w14:paraId="61DBF489" w14:textId="77777777" w:rsidR="003A7C14"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Mujer de 40 años, el perfil mayoritario del hipotecado español</w:t>
      </w:r>
    </w:p>
    <w:p w14:paraId="4E412826" w14:textId="77777777" w:rsidR="003A7C14" w:rsidRDefault="003A7C14">
      <w:pPr>
        <w:spacing w:line="276" w:lineRule="auto"/>
        <w:ind w:left="-284" w:right="4"/>
        <w:jc w:val="both"/>
        <w:rPr>
          <w:rFonts w:ascii="Open Sans" w:eastAsia="Open Sans" w:hAnsi="Open Sans" w:cs="Open Sans"/>
        </w:rPr>
      </w:pPr>
    </w:p>
    <w:p w14:paraId="34AE27BA" w14:textId="77777777" w:rsidR="003A7C14" w:rsidRDefault="00000000">
      <w:pPr>
        <w:spacing w:line="276" w:lineRule="auto"/>
        <w:ind w:left="-284" w:right="4"/>
        <w:jc w:val="both"/>
        <w:rPr>
          <w:rFonts w:ascii="Open Sans" w:eastAsia="Open Sans" w:hAnsi="Open Sans" w:cs="Open Sans"/>
        </w:rPr>
      </w:pPr>
      <w:r>
        <w:rPr>
          <w:rFonts w:ascii="Open Sans" w:eastAsia="Open Sans" w:hAnsi="Open Sans" w:cs="Open Sans"/>
        </w:rPr>
        <w:t xml:space="preserve">El perfil del hipotecado español continúa siendo en 2025 femenino y de mediana edad, aunque ambas variables han evolucionado en los últimos doce meses. Actualmente, </w:t>
      </w:r>
      <w:r>
        <w:rPr>
          <w:rFonts w:ascii="Open Sans" w:eastAsia="Open Sans" w:hAnsi="Open Sans" w:cs="Open Sans"/>
          <w:b/>
        </w:rPr>
        <w:t>se trata mayoritariamente de una mujer (en el 54% de los casos, cuatro puntos menos que en 2024), con una edad media de 40 años (dos menos que en el ejercicio anterior)</w:t>
      </w:r>
      <w:r>
        <w:rPr>
          <w:rFonts w:ascii="Open Sans" w:eastAsia="Open Sans" w:hAnsi="Open Sans" w:cs="Open Sans"/>
        </w:rPr>
        <w:t xml:space="preserve">. A nivel sociodemográfico, además, se trata de una persona de clase alta o medio-alta (en el 66% de los casos), ya que los hipotecados de clase media (30%) o baja (4%) representan porcentajes muy menores. </w:t>
      </w:r>
    </w:p>
    <w:p w14:paraId="1836CFF5" w14:textId="77777777" w:rsidR="003A7C14" w:rsidRDefault="003A7C14">
      <w:pPr>
        <w:spacing w:line="276" w:lineRule="auto"/>
        <w:ind w:left="-284" w:right="4"/>
        <w:jc w:val="both"/>
        <w:rPr>
          <w:rFonts w:ascii="Open Sans" w:eastAsia="Open Sans" w:hAnsi="Open Sans" w:cs="Open Sans"/>
        </w:rPr>
      </w:pPr>
    </w:p>
    <w:p w14:paraId="09D4A520" w14:textId="77777777" w:rsidR="003A7C14" w:rsidRDefault="00000000">
      <w:pPr>
        <w:spacing w:line="276" w:lineRule="auto"/>
        <w:ind w:left="-284" w:right="4"/>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la mayoría de los compradores hipotecados vive en familia</w:t>
      </w:r>
      <w:r>
        <w:rPr>
          <w:rFonts w:ascii="Open Sans" w:eastAsia="Open Sans" w:hAnsi="Open Sans" w:cs="Open Sans"/>
        </w:rPr>
        <w:t>. Un 35% convive con pareja e hijos, mientras que un 35% lo hace únicamente con su pareja. Asimismo, el 93% de estos hipotecados residía anteriormente en un inmueble de su propiedad, mientras que el 7% lo hace en uno de alquiler. Por último, entre estos compradores que recurren a financiación bancaria para adquirir una vivienda, un 88% la destinarán a residencia habitual, un 7% a segunda residencia y un 3% a inversión.</w:t>
      </w:r>
    </w:p>
    <w:p w14:paraId="5BDB324B" w14:textId="0ADCC3A8" w:rsidR="003A7C14" w:rsidRDefault="007E0F41">
      <w:pPr>
        <w:spacing w:line="276" w:lineRule="auto"/>
        <w:ind w:right="-426"/>
        <w:jc w:val="center"/>
        <w:rPr>
          <w:rFonts w:ascii="Open Sans" w:eastAsia="Open Sans" w:hAnsi="Open Sans" w:cs="Open Sans"/>
          <w:b/>
          <w:sz w:val="28"/>
          <w:szCs w:val="28"/>
        </w:rPr>
      </w:pPr>
      <w:r>
        <w:rPr>
          <w:noProof/>
        </w:rPr>
        <w:drawing>
          <wp:inline distT="0" distB="0" distL="0" distR="0" wp14:anchorId="524ABD20" wp14:editId="54C7A3F7">
            <wp:extent cx="5557808" cy="4678680"/>
            <wp:effectExtent l="0" t="0" r="5080" b="7620"/>
            <wp:docPr id="609523757"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3757" name="Imagen 1" descr="Escala de tiempo&#10;&#10;El contenido generado por IA puede ser incorrecto."/>
                    <pic:cNvPicPr/>
                  </pic:nvPicPr>
                  <pic:blipFill>
                    <a:blip r:embed="rId13"/>
                    <a:stretch>
                      <a:fillRect/>
                    </a:stretch>
                  </pic:blipFill>
                  <pic:spPr>
                    <a:xfrm>
                      <a:off x="0" y="0"/>
                      <a:ext cx="5568637" cy="4687796"/>
                    </a:xfrm>
                    <a:prstGeom prst="rect">
                      <a:avLst/>
                    </a:prstGeom>
                  </pic:spPr>
                </pic:pic>
              </a:graphicData>
            </a:graphic>
          </wp:inline>
        </w:drawing>
      </w:r>
    </w:p>
    <w:p w14:paraId="212B6BF4" w14:textId="77777777" w:rsidR="003A7C14" w:rsidRDefault="00000000">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9D92298" w14:textId="77777777" w:rsidR="003A7C14" w:rsidRDefault="00000000">
      <w:pPr>
        <w:shd w:val="clear" w:color="auto" w:fill="FFFFFF"/>
        <w:spacing w:before="280" w:after="280" w:line="276" w:lineRule="auto"/>
        <w:ind w:left="-28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A10E87A" w14:textId="77777777" w:rsidR="003A7C14" w:rsidRDefault="00000000">
      <w:pPr>
        <w:shd w:val="clear" w:color="auto" w:fill="FFFFFF"/>
        <w:spacing w:before="280" w:after="280" w:line="276" w:lineRule="auto"/>
        <w:ind w:left="-28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5B36032" w14:textId="77777777" w:rsidR="003A7C14" w:rsidRDefault="00000000">
      <w:pPr>
        <w:shd w:val="clear" w:color="auto" w:fill="FFFFFF"/>
        <w:spacing w:before="280" w:after="280" w:line="276" w:lineRule="auto"/>
        <w:ind w:left="-28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D7E29C4" w14:textId="77777777" w:rsidR="003A7C14" w:rsidRDefault="00000000">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C15289C" w14:textId="77777777" w:rsidR="003A7C14" w:rsidRDefault="00000000">
      <w:pPr>
        <w:spacing w:before="143" w:after="200"/>
        <w:ind w:left="-28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2C3AB6F" w14:textId="77777777" w:rsidR="003A7C14" w:rsidRDefault="00000000">
      <w:pPr>
        <w:spacing w:before="143" w:after="200"/>
        <w:ind w:left="-28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7949518" w14:textId="77777777" w:rsidR="003A7C14" w:rsidRDefault="00000000">
      <w:pPr>
        <w:spacing w:before="143" w:after="200"/>
        <w:ind w:left="-28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A289668" w14:textId="77777777" w:rsidR="003A7C14" w:rsidRDefault="00000000">
      <w:pPr>
        <w:spacing w:before="143" w:after="200"/>
        <w:ind w:left="-284"/>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21EE1B6" w14:textId="77777777" w:rsidR="003A7C14" w:rsidRDefault="003A7C14">
      <w:pPr>
        <w:spacing w:before="143" w:after="200"/>
        <w:ind w:left="-284"/>
        <w:jc w:val="both"/>
        <w:rPr>
          <w:rFonts w:ascii="Open Sans" w:eastAsia="Open Sans" w:hAnsi="Open Sans" w:cs="Open Sans"/>
        </w:rPr>
      </w:pPr>
    </w:p>
    <w:p w14:paraId="45C5B2FF" w14:textId="77777777" w:rsidR="003A7C14" w:rsidRDefault="00000000">
      <w:pPr>
        <w:spacing w:line="276" w:lineRule="auto"/>
        <w:ind w:left="-28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C70BD19" w14:textId="77777777" w:rsidR="003A7C14" w:rsidRDefault="00000000">
      <w:pPr>
        <w:shd w:val="clear" w:color="auto" w:fill="FFFFFF"/>
        <w:spacing w:line="276" w:lineRule="auto"/>
        <w:ind w:left="-28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134778" w14:textId="77777777" w:rsidR="003A7C14" w:rsidRDefault="00000000">
      <w:pPr>
        <w:shd w:val="clear" w:color="auto" w:fill="FFFFFF"/>
        <w:spacing w:line="276" w:lineRule="auto"/>
        <w:ind w:left="-284"/>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2AA982D6" w14:textId="77777777" w:rsidR="003A7C14" w:rsidRDefault="00000000">
      <w:pPr>
        <w:shd w:val="clear" w:color="auto" w:fill="FFFFFF"/>
        <w:spacing w:line="276" w:lineRule="auto"/>
        <w:ind w:lef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40D2714" w14:textId="77777777" w:rsidR="003A7C14" w:rsidRDefault="003A7C14">
      <w:pPr>
        <w:spacing w:line="276" w:lineRule="auto"/>
        <w:ind w:left="-284"/>
        <w:jc w:val="right"/>
        <w:rPr>
          <w:rFonts w:ascii="Open Sans" w:eastAsia="Open Sans" w:hAnsi="Open Sans" w:cs="Open Sans"/>
          <w:color w:val="000000"/>
          <w:sz w:val="22"/>
          <w:szCs w:val="22"/>
        </w:rPr>
      </w:pPr>
    </w:p>
    <w:sectPr w:rsidR="003A7C14">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DE7B4" w14:textId="77777777" w:rsidR="00716AE9" w:rsidRDefault="00716AE9">
      <w:r>
        <w:separator/>
      </w:r>
    </w:p>
  </w:endnote>
  <w:endnote w:type="continuationSeparator" w:id="0">
    <w:p w14:paraId="0D31EA32" w14:textId="77777777" w:rsidR="00716AE9" w:rsidRDefault="0071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6BFE2D-1AFE-476D-87A4-DC55C976A5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E451E52-38E8-494D-B20F-BE1B30638F6F}"/>
    <w:embedBold r:id="rId3" w:fontKey="{50BBC4E8-848E-4A21-8288-30BF3EB191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A3EB55-1F73-4CD6-99A1-B34B88C640D9}"/>
    <w:embedItalic r:id="rId5" w:fontKey="{E1A51C18-7A77-4B03-97B6-C4636BBACD6D}"/>
  </w:font>
  <w:font w:name="Cambria">
    <w:panose1 w:val="02040503050406030204"/>
    <w:charset w:val="00"/>
    <w:family w:val="roman"/>
    <w:pitch w:val="variable"/>
    <w:sig w:usb0="E00006FF" w:usb1="420024FF" w:usb2="02000000" w:usb3="00000000" w:csb0="0000019F" w:csb1="00000000"/>
    <w:embedRegular r:id="rId6" w:fontKey="{2FBF2C03-86DA-4B13-9685-47ED65D1A3B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8E47EA5-F5D1-43A6-93EE-C14D3D4480A8}"/>
    <w:embedBold r:id="rId8" w:fontKey="{0EE119B1-D0A3-4AB6-B2C9-A82475E9AE2C}"/>
    <w:embedBoldItalic r:id="rId9" w:fontKey="{1250C055-77C0-4611-993F-3A09F9B9831C}"/>
  </w:font>
  <w:font w:name="Open Sans Light">
    <w:charset w:val="00"/>
    <w:family w:val="swiss"/>
    <w:pitch w:val="variable"/>
    <w:sig w:usb0="E00002EF" w:usb1="4000205B" w:usb2="00000028" w:usb3="00000000" w:csb0="0000019F" w:csb1="00000000"/>
    <w:embedRegular r:id="rId10" w:fontKey="{8D81DB37-057E-4129-AE2C-17DED9EBC5CE}"/>
    <w:embedBold r:id="rId11" w:fontKey="{A690303F-2A75-49DB-909A-D3DB8A379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56B3" w14:textId="77777777" w:rsidR="003A7C1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E6709AF" wp14:editId="61EB6261">
          <wp:simplePos x="0" y="0"/>
          <wp:positionH relativeFrom="column">
            <wp:posOffset>-1068055</wp:posOffset>
          </wp:positionH>
          <wp:positionV relativeFrom="paragraph">
            <wp:posOffset>174608</wp:posOffset>
          </wp:positionV>
          <wp:extent cx="7670550" cy="451315"/>
          <wp:effectExtent l="0" t="0" r="0" b="0"/>
          <wp:wrapNone/>
          <wp:docPr id="2093790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38C0E" w14:textId="77777777" w:rsidR="00716AE9" w:rsidRDefault="00716AE9">
      <w:r>
        <w:separator/>
      </w:r>
    </w:p>
  </w:footnote>
  <w:footnote w:type="continuationSeparator" w:id="0">
    <w:p w14:paraId="55DD0457" w14:textId="77777777" w:rsidR="00716AE9" w:rsidRDefault="00716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15871"/>
    <w:multiLevelType w:val="multilevel"/>
    <w:tmpl w:val="627C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3746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C14"/>
    <w:rsid w:val="00182E2B"/>
    <w:rsid w:val="00382CD7"/>
    <w:rsid w:val="003A7C14"/>
    <w:rsid w:val="00716AE9"/>
    <w:rsid w:val="007E0F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E3D8F"/>
  <w15:docId w15:val="{88D8742C-128C-4417-B283-E318D79D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Perfil-del-hipotecado-espaniol-en-2025.pdf"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h2ZEdVlZBFqYOfVwxPDj1wIpQ==">CgMxLjAyCGguZ2pkZ3hzMgloLjJzOGV5bzE4AHIhMTg3TFhFejVhUW9YN1FNOWRmc2swZVMzclQzTEdFMHA1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971</Words>
  <Characters>5343</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2025-06-17T16:22:00Z</dcterms:modified>
</cp:coreProperties>
</file>