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EC7C4F" w14:textId="77777777" w:rsidR="00C16042" w:rsidRDefault="00000000">
      <w:r>
        <w:rPr>
          <w:noProof/>
        </w:rPr>
        <w:drawing>
          <wp:anchor distT="0" distB="0" distL="114300" distR="114300" simplePos="0" relativeHeight="251658240" behindDoc="0" locked="0" layoutInCell="1" hidden="0" allowOverlap="1" wp14:anchorId="67B8BB5F" wp14:editId="34F92CC4">
            <wp:simplePos x="0" y="0"/>
            <wp:positionH relativeFrom="column">
              <wp:posOffset>-1080117</wp:posOffset>
            </wp:positionH>
            <wp:positionV relativeFrom="paragraph">
              <wp:posOffset>-654666</wp:posOffset>
            </wp:positionV>
            <wp:extent cx="7581265" cy="1019175"/>
            <wp:effectExtent l="0" t="0" r="0" b="0"/>
            <wp:wrapNone/>
            <wp:docPr id="2066816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581265" cy="1019175"/>
                    </a:xfrm>
                    <a:prstGeom prst="rect">
                      <a:avLst/>
                    </a:prstGeom>
                    <a:ln/>
                  </pic:spPr>
                </pic:pic>
              </a:graphicData>
            </a:graphic>
          </wp:anchor>
        </w:drawing>
      </w:r>
    </w:p>
    <w:p w14:paraId="4769DA0F" w14:textId="77777777" w:rsidR="00C16042" w:rsidRDefault="00C16042">
      <w:pPr>
        <w:jc w:val="right"/>
        <w:rPr>
          <w:rFonts w:ascii="National" w:eastAsia="National" w:hAnsi="National" w:cs="National"/>
          <w:color w:val="303AB2"/>
          <w:sz w:val="36"/>
          <w:szCs w:val="36"/>
        </w:rPr>
      </w:pPr>
    </w:p>
    <w:p w14:paraId="42DF58ED" w14:textId="77777777" w:rsidR="00C16042" w:rsidRDefault="00C16042">
      <w:pPr>
        <w:jc w:val="center"/>
        <w:rPr>
          <w:rFonts w:ascii="National" w:eastAsia="National" w:hAnsi="National" w:cs="National"/>
          <w:b/>
          <w:color w:val="1DBDC5"/>
          <w:sz w:val="34"/>
          <w:szCs w:val="34"/>
        </w:rPr>
      </w:pPr>
    </w:p>
    <w:p w14:paraId="0D635005" w14:textId="3E695C14" w:rsidR="00C16042" w:rsidRDefault="00000000">
      <w:pPr>
        <w:jc w:val="center"/>
        <w:rPr>
          <w:rFonts w:ascii="National" w:eastAsia="National" w:hAnsi="National" w:cs="National"/>
          <w:b/>
          <w:color w:val="1DBDC5"/>
          <w:sz w:val="34"/>
          <w:szCs w:val="34"/>
        </w:rPr>
      </w:pPr>
      <w:r>
        <w:rPr>
          <w:rFonts w:ascii="National" w:eastAsia="National" w:hAnsi="National" w:cs="National"/>
          <w:b/>
          <w:color w:val="1DBDC5"/>
          <w:sz w:val="34"/>
          <w:szCs w:val="34"/>
        </w:rPr>
        <w:t>PERFIL DEL COMPRADOR DE SEGUNDA RESIDENCIA</w:t>
      </w:r>
      <w:r w:rsidR="00DE57D5">
        <w:rPr>
          <w:rFonts w:ascii="National" w:eastAsia="National" w:hAnsi="National" w:cs="National"/>
          <w:b/>
          <w:color w:val="1DBDC5"/>
          <w:sz w:val="34"/>
          <w:szCs w:val="34"/>
        </w:rPr>
        <w:t xml:space="preserve"> EN 2025</w:t>
      </w:r>
    </w:p>
    <w:p w14:paraId="36019414" w14:textId="39BED6AF" w:rsidR="00C16042" w:rsidRPr="00DE57D5" w:rsidRDefault="00000000">
      <w:pPr>
        <w:jc w:val="center"/>
        <w:rPr>
          <w:rFonts w:ascii="National" w:eastAsia="National" w:hAnsi="National" w:cs="National"/>
          <w:b/>
          <w:color w:val="303AB2"/>
          <w:sz w:val="54"/>
          <w:szCs w:val="54"/>
        </w:rPr>
      </w:pPr>
      <w:r w:rsidRPr="00DE57D5">
        <w:rPr>
          <w:rFonts w:ascii="National" w:eastAsia="National" w:hAnsi="National" w:cs="National"/>
          <w:b/>
          <w:color w:val="303AB2"/>
          <w:sz w:val="54"/>
          <w:szCs w:val="54"/>
        </w:rPr>
        <w:t>Se reduce la brecha en la demanda de segunda residencia entre la compra (54%) y el alquiler (46%)</w:t>
      </w:r>
    </w:p>
    <w:p w14:paraId="759A88F2" w14:textId="77777777" w:rsidR="00C16042" w:rsidRDefault="00C16042">
      <w:pPr>
        <w:jc w:val="center"/>
        <w:rPr>
          <w:rFonts w:ascii="Open Sans" w:eastAsia="Open Sans" w:hAnsi="Open Sans" w:cs="Open Sans"/>
          <w:color w:val="303AB2"/>
        </w:rPr>
      </w:pPr>
    </w:p>
    <w:p w14:paraId="2B42122E" w14:textId="77777777" w:rsidR="00DE57D5" w:rsidRDefault="00DE57D5" w:rsidP="00DE57D5">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305E9190" w14:textId="0832BD54" w:rsidR="00C16042" w:rsidRPr="00A87D7D" w:rsidRDefault="00000000" w:rsidP="008C729D">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sidRPr="00A87D7D">
        <w:rPr>
          <w:rFonts w:ascii="Open Sans Light" w:eastAsia="Open Sans Light" w:hAnsi="Open Sans Light" w:cs="Open Sans Light"/>
          <w:b/>
          <w:color w:val="303AB2"/>
        </w:rPr>
        <w:t>El 10 % de los demandantes de vivienda busca segunda residencia</w:t>
      </w:r>
      <w:r w:rsidR="008C729D" w:rsidRPr="00A87D7D">
        <w:rPr>
          <w:rFonts w:ascii="Open Sans Light" w:eastAsia="Open Sans Light" w:hAnsi="Open Sans Light" w:cs="Open Sans Light"/>
          <w:b/>
          <w:color w:val="303AB2"/>
        </w:rPr>
        <w:t>, una cifra que se mantiene esta</w:t>
      </w:r>
      <w:r w:rsidR="009B7269" w:rsidRPr="00A87D7D">
        <w:rPr>
          <w:rFonts w:ascii="Open Sans Light" w:eastAsia="Open Sans Light" w:hAnsi="Open Sans Light" w:cs="Open Sans Light"/>
          <w:b/>
          <w:color w:val="303AB2"/>
        </w:rPr>
        <w:t>b</w:t>
      </w:r>
      <w:r w:rsidR="008C729D" w:rsidRPr="00A87D7D">
        <w:rPr>
          <w:rFonts w:ascii="Open Sans Light" w:eastAsia="Open Sans Light" w:hAnsi="Open Sans Light" w:cs="Open Sans Light"/>
          <w:b/>
          <w:color w:val="303AB2"/>
        </w:rPr>
        <w:t xml:space="preserve">le respecto al año pasado, </w:t>
      </w:r>
      <w:r w:rsidRPr="00A87D7D">
        <w:rPr>
          <w:rFonts w:ascii="Open Sans Light" w:eastAsia="Open Sans Light" w:hAnsi="Open Sans Light" w:cs="Open Sans Light"/>
          <w:b/>
          <w:color w:val="303AB2"/>
        </w:rPr>
        <w:t>aunque es un descenso con respecto a hace 3 años</w:t>
      </w:r>
    </w:p>
    <w:p w14:paraId="7EEF2A04" w14:textId="77777777" w:rsidR="008C729D" w:rsidRPr="00A87D7D" w:rsidRDefault="008C729D" w:rsidP="008C729D">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sidRPr="00A87D7D">
        <w:rPr>
          <w:rFonts w:ascii="Open Sans Light" w:eastAsia="Open Sans Light" w:hAnsi="Open Sans Light" w:cs="Open Sans Light"/>
          <w:b/>
          <w:color w:val="303AB2"/>
        </w:rPr>
        <w:t>Hace un año la distancia entre los que querían comprar y alquilar era de 17 puntos porcentuales y en 2025 la diferencia es de 8 puntos porcentuales, ya que en 2024 un 59% de la demanda buscaba comprar y un 41% buscaba alquilara</w:t>
      </w:r>
    </w:p>
    <w:p w14:paraId="10D7B54B" w14:textId="6043C2AE" w:rsidR="008C729D" w:rsidRPr="00A87D7D" w:rsidRDefault="008C729D" w:rsidP="008C729D">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sidRPr="00A87D7D">
        <w:rPr>
          <w:rFonts w:ascii="Open Sans Light" w:eastAsia="Open Sans Light" w:hAnsi="Open Sans Light" w:cs="Open Sans Light"/>
          <w:b/>
          <w:color w:val="303AB2"/>
        </w:rPr>
        <w:t>Desde la pandemia, la compra de vivienda como segunda residencia sigue siendo la opción escogida por la demanda</w:t>
      </w:r>
    </w:p>
    <w:p w14:paraId="08E88A60" w14:textId="77777777" w:rsidR="00C16042" w:rsidRDefault="00C16042">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08F47A32" w14:textId="77777777" w:rsidR="00DE57D5" w:rsidRDefault="00DE57D5">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5C113D5F" w14:textId="20C0366B" w:rsidR="00C16042"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213284">
        <w:rPr>
          <w:rFonts w:ascii="Open Sans Light" w:eastAsia="Open Sans Light" w:hAnsi="Open Sans Light" w:cs="Open Sans Light"/>
          <w:b/>
          <w:color w:val="303AB2"/>
        </w:rPr>
        <w:t>17</w:t>
      </w:r>
      <w:r>
        <w:rPr>
          <w:rFonts w:ascii="Open Sans Light" w:eastAsia="Open Sans Light" w:hAnsi="Open Sans Light" w:cs="Open Sans Light"/>
          <w:b/>
          <w:color w:val="303AB2"/>
        </w:rPr>
        <w:t xml:space="preserve"> de junio de 2025</w:t>
      </w:r>
    </w:p>
    <w:p w14:paraId="1C6C3DB4" w14:textId="77777777" w:rsidR="00C16042" w:rsidRDefault="00C16042">
      <w:pPr>
        <w:pBdr>
          <w:top w:val="nil"/>
          <w:left w:val="nil"/>
          <w:bottom w:val="nil"/>
          <w:right w:val="nil"/>
          <w:between w:val="nil"/>
        </w:pBdr>
        <w:spacing w:line="276" w:lineRule="auto"/>
        <w:jc w:val="both"/>
        <w:rPr>
          <w:rFonts w:ascii="Open Sans" w:eastAsia="Open Sans" w:hAnsi="Open Sans" w:cs="Open Sans"/>
        </w:rPr>
      </w:pPr>
    </w:p>
    <w:p w14:paraId="7F87F435" w14:textId="77777777" w:rsidR="00C1604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búsqueda de segunda residencia en España en 2025 </w:t>
      </w:r>
      <w:r w:rsidRPr="00213284">
        <w:rPr>
          <w:rFonts w:ascii="Open Sans" w:eastAsia="Open Sans" w:hAnsi="Open Sans" w:cs="Open Sans"/>
          <w:b/>
          <w:bCs/>
        </w:rPr>
        <w:t>se mantiene estable, situándose en el 10% del conjunto de demandantes</w:t>
      </w:r>
      <w:r>
        <w:rPr>
          <w:rFonts w:ascii="Open Sans" w:eastAsia="Open Sans" w:hAnsi="Open Sans" w:cs="Open Sans"/>
        </w:rPr>
        <w:t xml:space="preserve">. Es el mismo porcentaje registrado en 2024, frente al 12% de 2023 y el 11% registrado en 2021 y 2022. Así lo indican los datos de </w:t>
      </w:r>
      <w:hyperlink r:id="rId10">
        <w:r w:rsidR="00C16042">
          <w:rPr>
            <w:rFonts w:ascii="Open Sans" w:eastAsia="Open Sans" w:hAnsi="Open Sans" w:cs="Open Sans"/>
            <w:color w:val="0000FF"/>
            <w:u w:val="single"/>
          </w:rPr>
          <w:t xml:space="preserve">Fotocasa </w:t>
        </w:r>
        <w:proofErr w:type="spellStart"/>
        <w:r w:rsidR="00C16042">
          <w:rPr>
            <w:rFonts w:ascii="Open Sans" w:eastAsia="Open Sans" w:hAnsi="Open Sans" w:cs="Open Sans"/>
            <w:color w:val="0000FF"/>
            <w:u w:val="single"/>
          </w:rPr>
          <w:t>Research</w:t>
        </w:r>
        <w:proofErr w:type="spellEnd"/>
      </w:hyperlink>
      <w:r>
        <w:rPr>
          <w:rFonts w:ascii="Open Sans" w:eastAsia="Open Sans" w:hAnsi="Open Sans" w:cs="Open Sans"/>
        </w:rPr>
        <w:t xml:space="preserve"> a partir de una encuesta sobre más de 3.000 particulares en búsqueda activa de vivienda en el mercado.</w:t>
      </w:r>
    </w:p>
    <w:p w14:paraId="1DB0A2F2" w14:textId="77777777" w:rsidR="00C16042" w:rsidRDefault="00C16042">
      <w:pPr>
        <w:pBdr>
          <w:top w:val="nil"/>
          <w:left w:val="nil"/>
          <w:bottom w:val="nil"/>
          <w:right w:val="nil"/>
          <w:between w:val="nil"/>
        </w:pBdr>
        <w:spacing w:line="276" w:lineRule="auto"/>
        <w:jc w:val="both"/>
        <w:rPr>
          <w:rFonts w:ascii="Open Sans" w:eastAsia="Open Sans" w:hAnsi="Open Sans" w:cs="Open Sans"/>
        </w:rPr>
      </w:pPr>
    </w:p>
    <w:p w14:paraId="1C67E3F9" w14:textId="0F8E7C90" w:rsidR="00C16042" w:rsidRPr="00DE57D5"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Esta estabilidad se produce por tanto tras el retroceso vivido el año anterior. En este sentido, debe recordarse que el porcentaje había mostrado una tendencia al alza desde el 9% de 2020, el año crítico de la crisis sanitaria. Por lo tanto, </w:t>
      </w:r>
      <w:r w:rsidRPr="00DE57D5">
        <w:rPr>
          <w:rFonts w:ascii="Open Sans" w:eastAsia="Open Sans" w:hAnsi="Open Sans" w:cs="Open Sans"/>
          <w:b/>
          <w:bCs/>
        </w:rPr>
        <w:t>este 10% de 2025</w:t>
      </w:r>
      <w:r w:rsidR="00DE57D5" w:rsidRPr="00DE57D5">
        <w:rPr>
          <w:rFonts w:ascii="Open Sans" w:eastAsia="Open Sans" w:hAnsi="Open Sans" w:cs="Open Sans"/>
          <w:b/>
          <w:bCs/>
        </w:rPr>
        <w:t xml:space="preserve"> </w:t>
      </w:r>
      <w:r w:rsidRPr="00DE57D5">
        <w:rPr>
          <w:rFonts w:ascii="Open Sans" w:eastAsia="Open Sans" w:hAnsi="Open Sans" w:cs="Open Sans"/>
          <w:b/>
          <w:bCs/>
        </w:rPr>
        <w:t>se mantiene a la par con la registrada justo antes de la pandemia, en 2019.</w:t>
      </w:r>
    </w:p>
    <w:p w14:paraId="58A19AED" w14:textId="77777777" w:rsidR="00C16042" w:rsidRDefault="00C16042">
      <w:pPr>
        <w:pBdr>
          <w:top w:val="nil"/>
          <w:left w:val="nil"/>
          <w:bottom w:val="nil"/>
          <w:right w:val="nil"/>
          <w:between w:val="nil"/>
        </w:pBdr>
        <w:spacing w:line="276" w:lineRule="auto"/>
        <w:jc w:val="both"/>
        <w:rPr>
          <w:rFonts w:ascii="Open Sans" w:eastAsia="Open Sans" w:hAnsi="Open Sans" w:cs="Open Sans"/>
        </w:rPr>
      </w:pPr>
    </w:p>
    <w:p w14:paraId="41E67DBD" w14:textId="5397D448" w:rsidR="00DE57D5" w:rsidRPr="00DE57D5" w:rsidRDefault="00DE57D5" w:rsidP="00DE57D5">
      <w:pPr>
        <w:pBdr>
          <w:top w:val="nil"/>
          <w:left w:val="nil"/>
          <w:bottom w:val="nil"/>
          <w:right w:val="nil"/>
          <w:between w:val="nil"/>
        </w:pBdr>
        <w:spacing w:line="276" w:lineRule="auto"/>
        <w:jc w:val="both"/>
        <w:rPr>
          <w:rFonts w:ascii="Open Sans" w:eastAsia="Open Sans" w:hAnsi="Open Sans" w:cs="Open Sans"/>
          <w:lang w:val="es-ES"/>
        </w:rPr>
      </w:pPr>
      <w:r w:rsidRPr="00DE57D5">
        <w:rPr>
          <w:rFonts w:ascii="Open Sans" w:eastAsia="Open Sans" w:hAnsi="Open Sans" w:cs="Open Sans"/>
          <w:noProof/>
          <w:lang w:val="es-ES"/>
        </w:rPr>
        <w:lastRenderedPageBreak/>
        <w:drawing>
          <wp:inline distT="0" distB="0" distL="0" distR="0" wp14:anchorId="06FA0D8D" wp14:editId="52BAB02C">
            <wp:extent cx="5791896" cy="3185160"/>
            <wp:effectExtent l="0" t="0" r="0" b="0"/>
            <wp:docPr id="2013430694" name="Imagen 2"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30694" name="Imagen 2" descr="Gráfico, Gráfico de líneas&#10;&#10;El contenido generado por IA puede ser incorrec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3248" cy="3185904"/>
                    </a:xfrm>
                    <a:prstGeom prst="rect">
                      <a:avLst/>
                    </a:prstGeom>
                    <a:noFill/>
                    <a:ln>
                      <a:noFill/>
                    </a:ln>
                  </pic:spPr>
                </pic:pic>
              </a:graphicData>
            </a:graphic>
          </wp:inline>
        </w:drawing>
      </w:r>
    </w:p>
    <w:p w14:paraId="79DEFAB0" w14:textId="77777777" w:rsidR="00DE57D5" w:rsidRDefault="00DE57D5">
      <w:pPr>
        <w:pBdr>
          <w:top w:val="nil"/>
          <w:left w:val="nil"/>
          <w:bottom w:val="nil"/>
          <w:right w:val="nil"/>
          <w:between w:val="nil"/>
        </w:pBdr>
        <w:spacing w:line="276" w:lineRule="auto"/>
        <w:jc w:val="both"/>
        <w:rPr>
          <w:rFonts w:ascii="Open Sans" w:eastAsia="Open Sans" w:hAnsi="Open Sans" w:cs="Open Sans"/>
        </w:rPr>
      </w:pPr>
    </w:p>
    <w:p w14:paraId="40470F75" w14:textId="77777777" w:rsidR="00C16042" w:rsidRPr="00DE57D5"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Pero si en el peso conjunto de los demandantes de segunda vivienda se advierte una continuidad respecto al año anterior, en </w:t>
      </w:r>
      <w:r w:rsidRPr="00DE57D5">
        <w:rPr>
          <w:rFonts w:ascii="Open Sans" w:eastAsia="Open Sans" w:hAnsi="Open Sans" w:cs="Open Sans"/>
          <w:b/>
          <w:bCs/>
        </w:rPr>
        <w:t>su distribución entre compradores y arrendatarios sí se advierte una significativa fluctuación, regresando a los niveles de 2023.</w:t>
      </w:r>
    </w:p>
    <w:p w14:paraId="0128C131" w14:textId="77777777" w:rsidR="00C16042" w:rsidRDefault="00C16042">
      <w:pPr>
        <w:pBdr>
          <w:top w:val="nil"/>
          <w:left w:val="nil"/>
          <w:bottom w:val="nil"/>
          <w:right w:val="nil"/>
          <w:between w:val="nil"/>
        </w:pBdr>
        <w:spacing w:line="276" w:lineRule="auto"/>
        <w:jc w:val="both"/>
        <w:rPr>
          <w:rFonts w:ascii="Open Sans" w:eastAsia="Open Sans" w:hAnsi="Open Sans" w:cs="Open Sans"/>
        </w:rPr>
      </w:pPr>
    </w:p>
    <w:p w14:paraId="1388256F" w14:textId="646A3DBA" w:rsidR="00C1604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Así, si en 2024 la distribución de los demandantes de segunda residencia era de un 59% de ellos en la compra y un 41% en el alquiler, un año después la diferencia se acorta notablemente. De este modo, </w:t>
      </w:r>
      <w:r w:rsidR="00DE57D5">
        <w:rPr>
          <w:rFonts w:ascii="Open Sans" w:eastAsia="Open Sans" w:hAnsi="Open Sans" w:cs="Open Sans"/>
        </w:rPr>
        <w:t>en</w:t>
      </w:r>
      <w:r>
        <w:rPr>
          <w:rFonts w:ascii="Open Sans" w:eastAsia="Open Sans" w:hAnsi="Open Sans" w:cs="Open Sans"/>
        </w:rPr>
        <w:t xml:space="preserve"> 2025 </w:t>
      </w:r>
      <w:r w:rsidRPr="00DE57D5">
        <w:rPr>
          <w:rFonts w:ascii="Open Sans" w:eastAsia="Open Sans" w:hAnsi="Open Sans" w:cs="Open Sans"/>
          <w:b/>
          <w:bCs/>
        </w:rPr>
        <w:t>los que tienen como objetivo comprar segunda residencia se contraen hasta el 54%</w:t>
      </w:r>
      <w:r>
        <w:rPr>
          <w:rFonts w:ascii="Open Sans" w:eastAsia="Open Sans" w:hAnsi="Open Sans" w:cs="Open Sans"/>
        </w:rPr>
        <w:t xml:space="preserve"> (el mismo porcentaje que dos años antes), </w:t>
      </w:r>
      <w:r w:rsidRPr="00DE57D5">
        <w:rPr>
          <w:rFonts w:ascii="Open Sans" w:eastAsia="Open Sans" w:hAnsi="Open Sans" w:cs="Open Sans"/>
          <w:b/>
          <w:bCs/>
        </w:rPr>
        <w:t>mientras que los aspirantes a inquilinos suben al 46%</w:t>
      </w:r>
      <w:r>
        <w:rPr>
          <w:rFonts w:ascii="Open Sans" w:eastAsia="Open Sans" w:hAnsi="Open Sans" w:cs="Open Sans"/>
        </w:rPr>
        <w:t xml:space="preserve"> (idéntica cifra que en 2023). </w:t>
      </w:r>
    </w:p>
    <w:p w14:paraId="406DA92C" w14:textId="77777777" w:rsidR="00DE57D5" w:rsidRDefault="00DE57D5">
      <w:pPr>
        <w:pBdr>
          <w:top w:val="nil"/>
          <w:left w:val="nil"/>
          <w:bottom w:val="nil"/>
          <w:right w:val="nil"/>
          <w:between w:val="nil"/>
        </w:pBdr>
        <w:spacing w:line="276" w:lineRule="auto"/>
        <w:jc w:val="both"/>
        <w:rPr>
          <w:rFonts w:ascii="Open Sans" w:eastAsia="Open Sans" w:hAnsi="Open Sans" w:cs="Open Sans"/>
        </w:rPr>
      </w:pPr>
    </w:p>
    <w:p w14:paraId="42FDEB47" w14:textId="77777777" w:rsidR="00C16042" w:rsidRPr="00DE57D5"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Hablamos, por tanto, de que en el último año la distancia entre ambos colectivos (compradores e inquilinos de vivienda de segunda residencia) </w:t>
      </w:r>
      <w:r w:rsidRPr="00DE57D5">
        <w:rPr>
          <w:rFonts w:ascii="Open Sans" w:eastAsia="Open Sans" w:hAnsi="Open Sans" w:cs="Open Sans"/>
          <w:b/>
          <w:bCs/>
        </w:rPr>
        <w:t xml:space="preserve">ha bajado de los diecisiete puntos a tan solo ocho. </w:t>
      </w:r>
    </w:p>
    <w:p w14:paraId="40425158" w14:textId="77777777" w:rsidR="00DE57D5" w:rsidRDefault="00DE57D5">
      <w:pPr>
        <w:pBdr>
          <w:top w:val="nil"/>
          <w:left w:val="nil"/>
          <w:bottom w:val="nil"/>
          <w:right w:val="nil"/>
          <w:between w:val="nil"/>
        </w:pBdr>
        <w:spacing w:line="276" w:lineRule="auto"/>
        <w:jc w:val="both"/>
        <w:rPr>
          <w:rFonts w:ascii="Open Sans" w:eastAsia="Open Sans" w:hAnsi="Open Sans" w:cs="Open Sans"/>
        </w:rPr>
      </w:pPr>
    </w:p>
    <w:p w14:paraId="7696D93F" w14:textId="77777777" w:rsidR="00DE57D5" w:rsidRPr="00DE57D5" w:rsidRDefault="00DE57D5" w:rsidP="00DE57D5">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“La búsqueda de segunda residencia se mantiene estable, pero se observa una evolución interesante en los perfiles y motivaciones. Cada vez se reduce más la brecha entre quienes desean comprar y quienes optan por alquilar, lo que refleja una creciente diversificación en el modo de acceder a este tipo de vivienda. El perfil del comprador sigue siendo mayoritariamente masculino y socioeconómicamente alto, con una edad media más avanzada. En cambio, el </w:t>
      </w:r>
      <w:r>
        <w:rPr>
          <w:rFonts w:ascii="Open Sans" w:eastAsia="Open Sans" w:hAnsi="Open Sans" w:cs="Open Sans"/>
        </w:rPr>
        <w:lastRenderedPageBreak/>
        <w:t xml:space="preserve">alquiler de segunda residencia está ganando terreno entre mujeres y personas más jóvenes, lo que podría estar relacionado con un menor poder adquisitivo y una búsqueda de mayor flexibilidad”, </w:t>
      </w:r>
      <w:r w:rsidRPr="00DE57D5">
        <w:rPr>
          <w:rFonts w:ascii="Open Sans" w:eastAsia="Open Sans" w:hAnsi="Open Sans" w:cs="Open Sans"/>
          <w:b/>
          <w:bCs/>
        </w:rPr>
        <w:t xml:space="preserve">comenta María Matos, directora de estudios y portavoz de </w:t>
      </w:r>
      <w:hyperlink r:id="rId12">
        <w:r w:rsidRPr="00DE57D5">
          <w:rPr>
            <w:rFonts w:ascii="Open Sans" w:eastAsia="Open Sans" w:hAnsi="Open Sans" w:cs="Open Sans"/>
            <w:b/>
            <w:bCs/>
            <w:color w:val="1155CC"/>
            <w:u w:val="single"/>
          </w:rPr>
          <w:t>Fotocasa</w:t>
        </w:r>
      </w:hyperlink>
      <w:r w:rsidRPr="00DE57D5">
        <w:rPr>
          <w:rFonts w:ascii="Open Sans" w:eastAsia="Open Sans" w:hAnsi="Open Sans" w:cs="Open Sans"/>
          <w:b/>
          <w:bCs/>
        </w:rPr>
        <w:t xml:space="preserve">. </w:t>
      </w:r>
    </w:p>
    <w:p w14:paraId="2237D178" w14:textId="77777777" w:rsidR="00C16042" w:rsidRDefault="00C16042">
      <w:pPr>
        <w:pBdr>
          <w:top w:val="nil"/>
          <w:left w:val="nil"/>
          <w:bottom w:val="nil"/>
          <w:right w:val="nil"/>
          <w:between w:val="nil"/>
        </w:pBdr>
        <w:spacing w:line="276" w:lineRule="auto"/>
        <w:jc w:val="both"/>
        <w:rPr>
          <w:rFonts w:ascii="Open Sans" w:eastAsia="Open Sans" w:hAnsi="Open Sans" w:cs="Open Sans"/>
        </w:rPr>
      </w:pPr>
    </w:p>
    <w:p w14:paraId="526BB7CB" w14:textId="77777777" w:rsidR="00C1604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Sin embargo, este acercamiento está aún muy lejos de la tendencia de los años anteriores a la pandemia, como puede verse en la gráfica, cuando los porcentajes eran inversos a los actuales. El punto de inflexión comenzó en 2021, cuando el alquiler comenzó a perder prevalencia con un 57% frente a una compra que, con el 43%, inició su camino ascendente.</w:t>
      </w:r>
    </w:p>
    <w:p w14:paraId="0E9900BC" w14:textId="77777777" w:rsidR="00DE57D5" w:rsidRDefault="00DE57D5">
      <w:pPr>
        <w:pBdr>
          <w:top w:val="nil"/>
          <w:left w:val="nil"/>
          <w:bottom w:val="nil"/>
          <w:right w:val="nil"/>
          <w:between w:val="nil"/>
        </w:pBdr>
        <w:spacing w:line="276" w:lineRule="auto"/>
        <w:jc w:val="both"/>
        <w:rPr>
          <w:rFonts w:ascii="Open Sans" w:eastAsia="Open Sans" w:hAnsi="Open Sans" w:cs="Open Sans"/>
        </w:rPr>
      </w:pPr>
    </w:p>
    <w:p w14:paraId="646C7D6E" w14:textId="686286F2" w:rsidR="00DE57D5" w:rsidRPr="00DE57D5" w:rsidRDefault="00DE57D5" w:rsidP="00DE57D5">
      <w:pPr>
        <w:pBdr>
          <w:top w:val="nil"/>
          <w:left w:val="nil"/>
          <w:bottom w:val="nil"/>
          <w:right w:val="nil"/>
          <w:between w:val="nil"/>
        </w:pBdr>
        <w:spacing w:line="276" w:lineRule="auto"/>
        <w:jc w:val="both"/>
        <w:rPr>
          <w:rFonts w:ascii="Open Sans" w:eastAsia="Open Sans" w:hAnsi="Open Sans" w:cs="Open Sans"/>
          <w:lang w:val="es-ES"/>
        </w:rPr>
      </w:pPr>
      <w:r w:rsidRPr="00DE57D5">
        <w:rPr>
          <w:rFonts w:ascii="Open Sans" w:eastAsia="Open Sans" w:hAnsi="Open Sans" w:cs="Open Sans"/>
          <w:noProof/>
          <w:lang w:val="es-ES"/>
        </w:rPr>
        <w:drawing>
          <wp:inline distT="0" distB="0" distL="0" distR="0" wp14:anchorId="07B9227B" wp14:editId="7551807A">
            <wp:extent cx="5753100" cy="3612176"/>
            <wp:effectExtent l="0" t="0" r="0" b="7620"/>
            <wp:docPr id="1667749185" name="Imagen 4" descr="Gráfico, Gráfico de dispers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49185" name="Imagen 4" descr="Gráfico, Gráfico de dispersión&#10;&#10;El contenido generado por IA puede ser incorrec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7296" cy="3614810"/>
                    </a:xfrm>
                    <a:prstGeom prst="rect">
                      <a:avLst/>
                    </a:prstGeom>
                    <a:noFill/>
                    <a:ln>
                      <a:noFill/>
                    </a:ln>
                  </pic:spPr>
                </pic:pic>
              </a:graphicData>
            </a:graphic>
          </wp:inline>
        </w:drawing>
      </w:r>
    </w:p>
    <w:p w14:paraId="478CF53D" w14:textId="77777777" w:rsidR="00C16042" w:rsidRDefault="00C16042">
      <w:pPr>
        <w:pBdr>
          <w:top w:val="nil"/>
          <w:left w:val="nil"/>
          <w:bottom w:val="nil"/>
          <w:right w:val="nil"/>
          <w:between w:val="nil"/>
        </w:pBdr>
        <w:spacing w:line="276" w:lineRule="auto"/>
        <w:jc w:val="both"/>
        <w:rPr>
          <w:rFonts w:ascii="Open Sans" w:eastAsia="Open Sans" w:hAnsi="Open Sans" w:cs="Open Sans"/>
        </w:rPr>
      </w:pPr>
    </w:p>
    <w:p w14:paraId="05A90F43" w14:textId="77777777" w:rsidR="00C16042"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41BB389C" w14:textId="77777777" w:rsidR="00C16042"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sidR="00C16042">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46778626" w14:textId="77777777" w:rsidR="00C16042"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5">
        <w:r w:rsidR="00C16042">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72623299" w14:textId="77777777" w:rsidR="00C16042"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3C3C0CC5" w14:textId="77777777" w:rsidR="00C16042"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p>
    <w:p w14:paraId="66C2BEB3" w14:textId="77777777" w:rsidR="00C16042"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6">
        <w:r w:rsidR="00C16042">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proofErr w:type="spellStart"/>
        <w:r w:rsidR="00C16042">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8">
        <w:r w:rsidR="00C16042">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sidR="00C16042">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sidR="00C16042">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rsidR="00C16042">
        <w:fldChar w:fldCharType="begin"/>
      </w:r>
      <w:r w:rsidR="00C16042">
        <w:instrText>HYPERLINK "https://www.milanuncios.com/" \h</w:instrText>
      </w:r>
      <w:r w:rsidR="00C16042">
        <w:fldChar w:fldCharType="separate"/>
      </w:r>
      <w:r w:rsidR="00C16042">
        <w:rPr>
          <w:rFonts w:ascii="Open Sans" w:eastAsia="Open Sans" w:hAnsi="Open Sans" w:cs="Open Sans"/>
          <w:color w:val="1155CC"/>
          <w:sz w:val="22"/>
          <w:szCs w:val="22"/>
          <w:u w:val="single"/>
        </w:rPr>
        <w:t>Milanuncios</w:t>
      </w:r>
      <w:proofErr w:type="spellEnd"/>
      <w:r w:rsidR="00C16042">
        <w:fldChar w:fldCharType="end"/>
      </w:r>
      <w:r>
        <w:rPr>
          <w:rFonts w:ascii="Open Sans" w:eastAsia="Open Sans" w:hAnsi="Open Sans" w:cs="Open Sans"/>
          <w:sz w:val="22"/>
          <w:szCs w:val="22"/>
        </w:rPr>
        <w:t>).</w:t>
      </w:r>
    </w:p>
    <w:p w14:paraId="581AD0C3" w14:textId="77777777" w:rsidR="00C16042"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17C7ACB9" w14:textId="77777777" w:rsidR="00C16042"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6239ED8D" w14:textId="77777777" w:rsidR="00C16042" w:rsidRDefault="00000000">
      <w:pPr>
        <w:spacing w:before="143" w:after="200"/>
        <w:jc w:val="both"/>
      </w:pPr>
      <w:r>
        <w:rPr>
          <w:rFonts w:ascii="Open Sans" w:eastAsia="Open Sans" w:hAnsi="Open Sans" w:cs="Open Sans"/>
          <w:sz w:val="22"/>
          <w:szCs w:val="22"/>
        </w:rPr>
        <w:t xml:space="preserve">Más información en </w:t>
      </w:r>
      <w:hyperlink r:id="rId21">
        <w:r w:rsidR="00C16042">
          <w:rPr>
            <w:rFonts w:ascii="Open Sans" w:eastAsia="Open Sans" w:hAnsi="Open Sans" w:cs="Open Sans"/>
            <w:color w:val="1155CC"/>
            <w:sz w:val="22"/>
            <w:szCs w:val="22"/>
            <w:u w:val="single"/>
          </w:rPr>
          <w:t>adevinta.es</w:t>
        </w:r>
      </w:hyperlink>
    </w:p>
    <w:p w14:paraId="635B2AD7" w14:textId="77777777" w:rsidR="00C16042" w:rsidRDefault="00C16042">
      <w:pPr>
        <w:spacing w:before="143" w:after="200"/>
        <w:jc w:val="both"/>
        <w:rPr>
          <w:rFonts w:ascii="Open Sans" w:eastAsia="Open Sans" w:hAnsi="Open Sans" w:cs="Open Sans"/>
        </w:rPr>
      </w:pPr>
    </w:p>
    <w:p w14:paraId="3B87542B" w14:textId="77777777" w:rsidR="00C16042"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51B4DC32" w14:textId="77777777" w:rsidR="00C16042"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2705D8E" w14:textId="77777777" w:rsidR="00C16042" w:rsidRDefault="00C16042">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4BC1DFEF" w14:textId="77777777" w:rsidR="00C16042"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C16042">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F1BDF" w14:textId="77777777" w:rsidR="002F5A10" w:rsidRDefault="002F5A10">
      <w:r>
        <w:separator/>
      </w:r>
    </w:p>
  </w:endnote>
  <w:endnote w:type="continuationSeparator" w:id="0">
    <w:p w14:paraId="7E897A83" w14:textId="77777777" w:rsidR="002F5A10" w:rsidRDefault="002F5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58D3FB2-8FED-4D95-80DD-67D0A8DCE00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26B3F98-C7A7-450F-91B5-6C0DC88D939C}"/>
    <w:embedBold r:id="rId3" w:fontKey="{D8387D13-86AF-4A5B-8215-DFDDAB4090F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AEE42A0-9402-4E31-B9A0-F05161800C0C}"/>
    <w:embedItalic r:id="rId5" w:fontKey="{4F2C2CB6-6CD4-43A6-9F7A-5394A50EF9A1}"/>
  </w:font>
  <w:font w:name="Cambria">
    <w:panose1 w:val="02040503050406030204"/>
    <w:charset w:val="00"/>
    <w:family w:val="roman"/>
    <w:pitch w:val="variable"/>
    <w:sig w:usb0="E00006FF" w:usb1="420024FF" w:usb2="02000000" w:usb3="00000000" w:csb0="0000019F" w:csb1="00000000"/>
    <w:embedRegular r:id="rId6" w:fontKey="{D293BEEE-575E-4EF8-B931-897D5C6525B9}"/>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97CD00DD-05F0-4ED2-A33B-2A2148585B01}"/>
    <w:embedBold r:id="rId8" w:fontKey="{1BE77223-7912-41EF-918C-7EB52DCF4D30}"/>
  </w:font>
  <w:font w:name="Open Sans Light">
    <w:charset w:val="00"/>
    <w:family w:val="swiss"/>
    <w:pitch w:val="variable"/>
    <w:sig w:usb0="E00002EF" w:usb1="4000205B" w:usb2="00000028" w:usb3="00000000" w:csb0="0000019F" w:csb1="00000000"/>
    <w:embedRegular r:id="rId9" w:fontKey="{A24169BE-2423-4FD5-B2AD-A412A1BF319E}"/>
    <w:embedBold r:id="rId10" w:fontKey="{1430CEC8-E939-4D85-913F-4707020DC2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6DA7E" w14:textId="77777777" w:rsidR="00C16042"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4197A339" wp14:editId="715DA0CA">
          <wp:simplePos x="0" y="0"/>
          <wp:positionH relativeFrom="column">
            <wp:posOffset>-1068041</wp:posOffset>
          </wp:positionH>
          <wp:positionV relativeFrom="paragraph">
            <wp:posOffset>174608</wp:posOffset>
          </wp:positionV>
          <wp:extent cx="7670550" cy="451315"/>
          <wp:effectExtent l="0" t="0" r="0" b="0"/>
          <wp:wrapNone/>
          <wp:docPr id="20668166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A8D03" w14:textId="77777777" w:rsidR="002F5A10" w:rsidRDefault="002F5A10">
      <w:r>
        <w:separator/>
      </w:r>
    </w:p>
  </w:footnote>
  <w:footnote w:type="continuationSeparator" w:id="0">
    <w:p w14:paraId="1E5115AC" w14:textId="77777777" w:rsidR="002F5A10" w:rsidRDefault="002F5A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5E447D"/>
    <w:multiLevelType w:val="multilevel"/>
    <w:tmpl w:val="7062E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83764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042"/>
    <w:rsid w:val="0012051F"/>
    <w:rsid w:val="001F7F5C"/>
    <w:rsid w:val="00213284"/>
    <w:rsid w:val="002D2BC5"/>
    <w:rsid w:val="002F5A10"/>
    <w:rsid w:val="005E5CE7"/>
    <w:rsid w:val="008C729D"/>
    <w:rsid w:val="009B7269"/>
    <w:rsid w:val="00A17643"/>
    <w:rsid w:val="00A87D7D"/>
    <w:rsid w:val="00B22E1A"/>
    <w:rsid w:val="00B31936"/>
    <w:rsid w:val="00C16042"/>
    <w:rsid w:val="00DE57D5"/>
    <w:rsid w:val="00DF58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EFE24"/>
  <w15:docId w15:val="{CF3A7888-2ED8-43BF-9890-53AFF0F33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818972">
      <w:bodyDiv w:val="1"/>
      <w:marLeft w:val="0"/>
      <w:marRight w:val="0"/>
      <w:marTop w:val="0"/>
      <w:marBottom w:val="0"/>
      <w:divBdr>
        <w:top w:val="none" w:sz="0" w:space="0" w:color="auto"/>
        <w:left w:val="none" w:sz="0" w:space="0" w:color="auto"/>
        <w:bottom w:val="none" w:sz="0" w:space="0" w:color="auto"/>
        <w:right w:val="none" w:sz="0" w:space="0" w:color="auto"/>
      </w:divBdr>
    </w:div>
    <w:div w:id="671417836">
      <w:bodyDiv w:val="1"/>
      <w:marLeft w:val="0"/>
      <w:marRight w:val="0"/>
      <w:marTop w:val="0"/>
      <w:marBottom w:val="0"/>
      <w:divBdr>
        <w:top w:val="none" w:sz="0" w:space="0" w:color="auto"/>
        <w:left w:val="none" w:sz="0" w:space="0" w:color="auto"/>
        <w:bottom w:val="none" w:sz="0" w:space="0" w:color="auto"/>
        <w:right w:val="none" w:sz="0" w:space="0" w:color="auto"/>
      </w:divBdr>
    </w:div>
    <w:div w:id="690036863">
      <w:bodyDiv w:val="1"/>
      <w:marLeft w:val="0"/>
      <w:marRight w:val="0"/>
      <w:marTop w:val="0"/>
      <w:marBottom w:val="0"/>
      <w:divBdr>
        <w:top w:val="none" w:sz="0" w:space="0" w:color="auto"/>
        <w:left w:val="none" w:sz="0" w:space="0" w:color="auto"/>
        <w:bottom w:val="none" w:sz="0" w:space="0" w:color="auto"/>
        <w:right w:val="none" w:sz="0" w:space="0" w:color="auto"/>
      </w:divBdr>
    </w:div>
    <w:div w:id="1318608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www.infojobs.net/" TargetMode="External"/><Relationship Id="rId3" Type="http://schemas.openxmlformats.org/officeDocument/2006/relationships/numbering" Target="numbering.xml"/><Relationship Id="rId21" Type="http://schemas.openxmlformats.org/officeDocument/2006/relationships/hyperlink" Target="http://adevinta.es" TargetMode="External"/><Relationship Id="rId7" Type="http://schemas.openxmlformats.org/officeDocument/2006/relationships/footnotes" Target="footnotes.xml"/><Relationship Id="rId12" Type="http://schemas.openxmlformats.org/officeDocument/2006/relationships/hyperlink" Target="https://www.fotocasa.es/es/" TargetMode="External"/><Relationship Id="rId17" Type="http://schemas.openxmlformats.org/officeDocument/2006/relationships/hyperlink" Target="https://www.habitaclia.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rensa.fotocasa.es" TargetMode="External"/><Relationship Id="rId23" Type="http://schemas.openxmlformats.org/officeDocument/2006/relationships/footer" Target="footer1.xml"/><Relationship Id="rId10" Type="http://schemas.openxmlformats.org/officeDocument/2006/relationships/hyperlink" Target="https://research.fotocasa.es/" TargetMode="External"/><Relationship Id="rId19" Type="http://schemas.openxmlformats.org/officeDocument/2006/relationships/hyperlink" Target="https://www.coches.ne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fotocasa.es/indice/"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5XrbbUDQj/owApvGvLgLkBrIgA==">CgMxLjAyCWguMnM4ZXlvMTgAciExTE5XS1l0Vlk4U2ZDOTI4M0Y5S0lhRTQ3bUdXLXBHdnM=</go:docsCustomData>
</go:gDocsCustomXmlDataStorage>
</file>

<file path=customXml/itemProps1.xml><?xml version="1.0" encoding="utf-8"?>
<ds:datastoreItem xmlns:ds="http://schemas.openxmlformats.org/officeDocument/2006/customXml" ds:itemID="{42ABDFAC-B7D5-43F9-850C-90A207F91DC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850</Words>
  <Characters>4681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7</cp:revision>
  <dcterms:created xsi:type="dcterms:W3CDTF">2024-02-06T13:46:00Z</dcterms:created>
  <dcterms:modified xsi:type="dcterms:W3CDTF">2025-06-16T07:55:00Z</dcterms:modified>
</cp:coreProperties>
</file>