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E4B2A6" w14:textId="77777777" w:rsidR="003127E9" w:rsidRDefault="007428EE">
      <w:r>
        <w:rPr>
          <w:noProof/>
        </w:rPr>
        <w:drawing>
          <wp:anchor distT="0" distB="0" distL="114300" distR="114300" simplePos="0" relativeHeight="251658240" behindDoc="0" locked="0" layoutInCell="1" hidden="0" allowOverlap="1" wp14:anchorId="7DFD0AEA" wp14:editId="6F98C052">
            <wp:simplePos x="0" y="0"/>
            <wp:positionH relativeFrom="column">
              <wp:posOffset>-1080118</wp:posOffset>
            </wp:positionH>
            <wp:positionV relativeFrom="paragraph">
              <wp:posOffset>-654667</wp:posOffset>
            </wp:positionV>
            <wp:extent cx="7581265" cy="1019175"/>
            <wp:effectExtent l="0" t="0" r="0" b="0"/>
            <wp:wrapNone/>
            <wp:docPr id="206681661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7581265" cy="1019175"/>
                    </a:xfrm>
                    <a:prstGeom prst="rect">
                      <a:avLst/>
                    </a:prstGeom>
                    <a:ln/>
                  </pic:spPr>
                </pic:pic>
              </a:graphicData>
            </a:graphic>
          </wp:anchor>
        </w:drawing>
      </w:r>
    </w:p>
    <w:p w14:paraId="44A6487F" w14:textId="77777777" w:rsidR="003127E9" w:rsidRDefault="003127E9">
      <w:pPr>
        <w:jc w:val="right"/>
        <w:rPr>
          <w:rFonts w:ascii="National" w:eastAsia="National" w:hAnsi="National" w:cs="National"/>
          <w:color w:val="303AB2"/>
          <w:sz w:val="36"/>
          <w:szCs w:val="36"/>
        </w:rPr>
      </w:pPr>
    </w:p>
    <w:p w14:paraId="7DA0ECE8" w14:textId="77777777" w:rsidR="00C73BB9" w:rsidRDefault="00C73BB9">
      <w:pPr>
        <w:jc w:val="center"/>
        <w:rPr>
          <w:rFonts w:ascii="National" w:eastAsia="National" w:hAnsi="National" w:cs="National"/>
          <w:b/>
          <w:color w:val="1DBDC5"/>
          <w:sz w:val="34"/>
          <w:szCs w:val="34"/>
        </w:rPr>
      </w:pPr>
    </w:p>
    <w:p w14:paraId="1184DD46" w14:textId="36FC06E2" w:rsidR="003127E9" w:rsidRDefault="00A029DC">
      <w:pPr>
        <w:jc w:val="center"/>
        <w:rPr>
          <w:rFonts w:ascii="National" w:eastAsia="National" w:hAnsi="National" w:cs="National"/>
          <w:b/>
          <w:color w:val="1DBDC5"/>
          <w:sz w:val="34"/>
          <w:szCs w:val="34"/>
        </w:rPr>
      </w:pPr>
      <w:r>
        <w:rPr>
          <w:rFonts w:ascii="National" w:eastAsia="National" w:hAnsi="National" w:cs="National"/>
          <w:b/>
          <w:color w:val="1DBDC5"/>
          <w:sz w:val="34"/>
          <w:szCs w:val="34"/>
        </w:rPr>
        <w:t>RADIOGRAFÍA DEL MERCADO DE LA VIVIENDA EN 2025</w:t>
      </w:r>
    </w:p>
    <w:p w14:paraId="31297D81" w14:textId="47BB8980" w:rsidR="003127E9" w:rsidRDefault="00367DF3">
      <w:pPr>
        <w:jc w:val="center"/>
        <w:rPr>
          <w:rFonts w:ascii="National" w:eastAsia="National" w:hAnsi="National" w:cs="National"/>
          <w:b/>
          <w:color w:val="303AB2"/>
          <w:sz w:val="46"/>
          <w:szCs w:val="46"/>
        </w:rPr>
      </w:pPr>
      <w:r>
        <w:rPr>
          <w:rFonts w:ascii="National" w:eastAsia="National" w:hAnsi="National" w:cs="National"/>
          <w:b/>
          <w:color w:val="303AB2"/>
          <w:sz w:val="46"/>
          <w:szCs w:val="46"/>
        </w:rPr>
        <w:t>Crece hasta el 25% el porcentaje de españoles que viven de alquiler en 2025</w:t>
      </w:r>
    </w:p>
    <w:p w14:paraId="1FC084BF" w14:textId="77777777" w:rsidR="003127E9" w:rsidRDefault="003127E9">
      <w:pPr>
        <w:jc w:val="center"/>
        <w:rPr>
          <w:rFonts w:ascii="Open Sans" w:eastAsia="Open Sans" w:hAnsi="Open Sans" w:cs="Open Sans"/>
          <w:color w:val="303AB2"/>
        </w:rPr>
      </w:pPr>
    </w:p>
    <w:p w14:paraId="7BD8CD00" w14:textId="65C35390" w:rsidR="00E10841" w:rsidRDefault="00D9267B" w:rsidP="006A53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L</w:t>
      </w:r>
      <w:r w:rsidR="00367DF3">
        <w:rPr>
          <w:rFonts w:ascii="Open Sans Light" w:eastAsia="Open Sans Light" w:hAnsi="Open Sans Light" w:cs="Open Sans Light"/>
          <w:b/>
          <w:color w:val="303AB2"/>
        </w:rPr>
        <w:t>a tasa de</w:t>
      </w:r>
      <w:r>
        <w:rPr>
          <w:rFonts w:ascii="Open Sans Light" w:eastAsia="Open Sans Light" w:hAnsi="Open Sans Light" w:cs="Open Sans Light"/>
          <w:b/>
          <w:color w:val="303AB2"/>
        </w:rPr>
        <w:t xml:space="preserve"> inquilinos </w:t>
      </w:r>
      <w:r w:rsidR="0018647A">
        <w:rPr>
          <w:rFonts w:ascii="Open Sans Light" w:eastAsia="Open Sans Light" w:hAnsi="Open Sans Light" w:cs="Open Sans Light"/>
          <w:b/>
          <w:color w:val="303AB2"/>
        </w:rPr>
        <w:t xml:space="preserve">en el mercado inmobiliario español </w:t>
      </w:r>
      <w:r w:rsidR="00367DF3">
        <w:rPr>
          <w:rFonts w:ascii="Open Sans Light" w:eastAsia="Open Sans Light" w:hAnsi="Open Sans Light" w:cs="Open Sans Light"/>
          <w:b/>
          <w:color w:val="303AB2"/>
        </w:rPr>
        <w:t>ha crecido siete puntos porcentuales desde 2018</w:t>
      </w:r>
    </w:p>
    <w:p w14:paraId="2D24BC4C" w14:textId="7DC6BB9F" w:rsidR="003127E9" w:rsidRDefault="00D9267B" w:rsidP="00D9267B">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 xml:space="preserve">Por </w:t>
      </w:r>
      <w:r w:rsidR="00CD5100">
        <w:rPr>
          <w:rFonts w:ascii="Open Sans Light" w:eastAsia="Open Sans Light" w:hAnsi="Open Sans Light" w:cs="Open Sans Light"/>
          <w:b/>
          <w:color w:val="303AB2"/>
        </w:rPr>
        <w:t>otro lado, un 58% de los españoles son propietarios de una vivienda en la actualidad</w:t>
      </w:r>
    </w:p>
    <w:p w14:paraId="768E5A48" w14:textId="6A64A9F3" w:rsidR="0018647A" w:rsidRDefault="0018647A" w:rsidP="00D9267B">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E</w:t>
      </w:r>
      <w:r w:rsidRPr="0018647A">
        <w:rPr>
          <w:rFonts w:ascii="Open Sans Light" w:eastAsia="Open Sans Light" w:hAnsi="Open Sans Light" w:cs="Open Sans Light"/>
          <w:b/>
          <w:color w:val="303AB2"/>
        </w:rPr>
        <w:t>ntre los mayores de 55 años predomina claramente la tenencia de vivienda en propiedad, con un 78% del total</w:t>
      </w:r>
    </w:p>
    <w:p w14:paraId="4050497B" w14:textId="77777777" w:rsidR="00D9267B" w:rsidRPr="00D9267B" w:rsidRDefault="00D9267B" w:rsidP="00D9267B">
      <w:pPr>
        <w:pBdr>
          <w:top w:val="nil"/>
          <w:left w:val="nil"/>
          <w:bottom w:val="nil"/>
          <w:right w:val="nil"/>
          <w:between w:val="nil"/>
        </w:pBdr>
        <w:spacing w:line="276" w:lineRule="auto"/>
        <w:ind w:left="720"/>
        <w:jc w:val="both"/>
        <w:rPr>
          <w:rFonts w:ascii="Open Sans Light" w:eastAsia="Open Sans Light" w:hAnsi="Open Sans Light" w:cs="Open Sans Light"/>
          <w:b/>
          <w:color w:val="303AB2"/>
        </w:rPr>
      </w:pPr>
    </w:p>
    <w:p w14:paraId="75587750" w14:textId="0E520D0A" w:rsidR="003127E9" w:rsidRDefault="007428EE">
      <w:p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 xml:space="preserve">Madrid, </w:t>
      </w:r>
      <w:r w:rsidR="003F28D3">
        <w:rPr>
          <w:rFonts w:ascii="Open Sans Light" w:eastAsia="Open Sans Light" w:hAnsi="Open Sans Light" w:cs="Open Sans Light"/>
          <w:b/>
          <w:color w:val="303AB2"/>
        </w:rPr>
        <w:t>2</w:t>
      </w:r>
      <w:r w:rsidR="00E10841">
        <w:rPr>
          <w:rFonts w:ascii="Open Sans Light" w:eastAsia="Open Sans Light" w:hAnsi="Open Sans Light" w:cs="Open Sans Light"/>
          <w:b/>
          <w:color w:val="303AB2"/>
        </w:rPr>
        <w:t>3</w:t>
      </w:r>
      <w:r>
        <w:rPr>
          <w:rFonts w:ascii="Open Sans Light" w:eastAsia="Open Sans Light" w:hAnsi="Open Sans Light" w:cs="Open Sans Light"/>
          <w:b/>
          <w:color w:val="303AB2"/>
        </w:rPr>
        <w:t xml:space="preserve"> de </w:t>
      </w:r>
      <w:r w:rsidR="00E10841">
        <w:rPr>
          <w:rFonts w:ascii="Open Sans Light" w:eastAsia="Open Sans Light" w:hAnsi="Open Sans Light" w:cs="Open Sans Light"/>
          <w:b/>
          <w:color w:val="303AB2"/>
        </w:rPr>
        <w:t>junio</w:t>
      </w:r>
      <w:r>
        <w:rPr>
          <w:rFonts w:ascii="Open Sans Light" w:eastAsia="Open Sans Light" w:hAnsi="Open Sans Light" w:cs="Open Sans Light"/>
          <w:b/>
          <w:color w:val="303AB2"/>
        </w:rPr>
        <w:t xml:space="preserve"> de 2025</w:t>
      </w:r>
    </w:p>
    <w:p w14:paraId="3D848631" w14:textId="77777777" w:rsidR="003F28D3" w:rsidRDefault="003F28D3">
      <w:pPr>
        <w:pBdr>
          <w:top w:val="nil"/>
          <w:left w:val="nil"/>
          <w:bottom w:val="nil"/>
          <w:right w:val="nil"/>
          <w:between w:val="nil"/>
        </w:pBdr>
        <w:spacing w:line="276" w:lineRule="auto"/>
        <w:jc w:val="both"/>
        <w:rPr>
          <w:rFonts w:ascii="Open Sans Light" w:eastAsia="Open Sans Light" w:hAnsi="Open Sans Light" w:cs="Open Sans Light"/>
          <w:b/>
          <w:color w:val="303AB2"/>
        </w:rPr>
      </w:pPr>
    </w:p>
    <w:p w14:paraId="169210AF" w14:textId="59A5A4DB" w:rsidR="00CD38BA" w:rsidRDefault="00367DF3" w:rsidP="00044CC2">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El porcentaje de españoles que viven en una vivienda de alquiler sigue aumentando año tras año y ha alcanzado el 25% del total este 2025. Se trata de una tasa relativamente estable en el tiempo, pero con una tendencia al alza. Esta cifra ha crecido en dos puntos porcentuales desde 2022, cuando la proporción de inquilinos se situaba en el 23%. Si se exceptúan periodos temporales excepcionales como 2021, cuando se registraron hasta un 26% de españoles viviendo de alquiler justo en el periodo posterior a la pandemia, la tendencia histórica es creciente. En la actualidad, el porcentaje de inquilinos es siete </w:t>
      </w:r>
      <w:proofErr w:type="gramStart"/>
      <w:r>
        <w:rPr>
          <w:rFonts w:ascii="Open Sans" w:eastAsia="Open Sans" w:hAnsi="Open Sans" w:cs="Open Sans"/>
        </w:rPr>
        <w:t>puntos superior</w:t>
      </w:r>
      <w:proofErr w:type="gramEnd"/>
      <w:r>
        <w:rPr>
          <w:rFonts w:ascii="Open Sans" w:eastAsia="Open Sans" w:hAnsi="Open Sans" w:cs="Open Sans"/>
        </w:rPr>
        <w:t xml:space="preserve"> al apuntado en 2018, cuando estos se limitaban al 18% del total.</w:t>
      </w:r>
      <w:r w:rsidR="00A005A9">
        <w:rPr>
          <w:rFonts w:ascii="Open Sans" w:eastAsia="Open Sans" w:hAnsi="Open Sans" w:cs="Open Sans"/>
        </w:rPr>
        <w:t xml:space="preserve"> </w:t>
      </w:r>
      <w:r w:rsidR="0033529A" w:rsidRPr="003C2A87">
        <w:rPr>
          <w:rFonts w:ascii="Open Sans" w:eastAsia="Open Sans" w:hAnsi="Open Sans" w:cs="Open Sans"/>
          <w:b/>
          <w:bCs/>
        </w:rPr>
        <w:t>Es</w:t>
      </w:r>
      <w:r w:rsidR="00CD38BA">
        <w:rPr>
          <w:rFonts w:ascii="Open Sans" w:eastAsia="Open Sans" w:hAnsi="Open Sans" w:cs="Open Sans"/>
          <w:b/>
          <w:bCs/>
        </w:rPr>
        <w:t>tas son algunas d</w:t>
      </w:r>
      <w:r w:rsidR="0033529A" w:rsidRPr="003C2A87">
        <w:rPr>
          <w:rFonts w:ascii="Open Sans" w:eastAsia="Open Sans" w:hAnsi="Open Sans" w:cs="Open Sans"/>
          <w:b/>
          <w:bCs/>
        </w:rPr>
        <w:t>e las principales conclusiones que refleja el informe </w:t>
      </w:r>
      <w:r w:rsidR="007C7012">
        <w:rPr>
          <w:rFonts w:ascii="Open Sans" w:eastAsia="Open Sans" w:hAnsi="Open Sans" w:cs="Open Sans"/>
          <w:b/>
          <w:bCs/>
        </w:rPr>
        <w:t>“</w:t>
      </w:r>
      <w:hyperlink r:id="rId9" w:history="1">
        <w:r w:rsidR="0033529A" w:rsidRPr="007C7012">
          <w:rPr>
            <w:rStyle w:val="Hipervnculo"/>
            <w:rFonts w:ascii="Open Sans" w:eastAsia="Open Sans" w:hAnsi="Open Sans" w:cs="Open Sans"/>
            <w:b/>
            <w:bCs/>
            <w:i/>
            <w:iCs/>
          </w:rPr>
          <w:t>Radiografía de</w:t>
        </w:r>
        <w:r w:rsidR="007C7012" w:rsidRPr="007C7012">
          <w:rPr>
            <w:rStyle w:val="Hipervnculo"/>
            <w:rFonts w:ascii="Open Sans" w:eastAsia="Open Sans" w:hAnsi="Open Sans" w:cs="Open Sans"/>
            <w:b/>
            <w:bCs/>
            <w:i/>
            <w:iCs/>
          </w:rPr>
          <w:t xml:space="preserve">l mercado de la vivienda </w:t>
        </w:r>
        <w:r w:rsidR="0033529A" w:rsidRPr="007C7012">
          <w:rPr>
            <w:rStyle w:val="Hipervnculo"/>
            <w:rFonts w:ascii="Open Sans" w:eastAsia="Open Sans" w:hAnsi="Open Sans" w:cs="Open Sans"/>
            <w:b/>
            <w:bCs/>
            <w:i/>
            <w:iCs/>
          </w:rPr>
          <w:t>en el primer semestre de 202</w:t>
        </w:r>
        <w:r w:rsidR="00A005A9" w:rsidRPr="007C7012">
          <w:rPr>
            <w:rStyle w:val="Hipervnculo"/>
            <w:rFonts w:ascii="Open Sans" w:eastAsia="Open Sans" w:hAnsi="Open Sans" w:cs="Open Sans"/>
            <w:b/>
            <w:bCs/>
            <w:i/>
            <w:iCs/>
          </w:rPr>
          <w:t>5</w:t>
        </w:r>
      </w:hyperlink>
      <w:r w:rsidR="007C7012">
        <w:rPr>
          <w:rFonts w:ascii="Open Sans" w:eastAsia="Open Sans" w:hAnsi="Open Sans" w:cs="Open Sans"/>
          <w:b/>
          <w:bCs/>
          <w:i/>
          <w:iCs/>
        </w:rPr>
        <w:t>”</w:t>
      </w:r>
      <w:r w:rsidR="0033529A" w:rsidRPr="003C2A87">
        <w:rPr>
          <w:rFonts w:ascii="Open Sans" w:eastAsia="Open Sans" w:hAnsi="Open Sans" w:cs="Open Sans"/>
          <w:b/>
          <w:bCs/>
        </w:rPr>
        <w:t> realizado por </w:t>
      </w:r>
      <w:hyperlink r:id="rId10" w:history="1">
        <w:r w:rsidR="0033529A" w:rsidRPr="003C2A87">
          <w:rPr>
            <w:rStyle w:val="Hipervnculo"/>
            <w:rFonts w:ascii="Open Sans" w:eastAsia="Open Sans" w:hAnsi="Open Sans" w:cs="Open Sans"/>
            <w:b/>
            <w:bCs/>
          </w:rPr>
          <w:t xml:space="preserve">Fotocasa </w:t>
        </w:r>
        <w:proofErr w:type="spellStart"/>
        <w:r w:rsidR="0033529A" w:rsidRPr="003C2A87">
          <w:rPr>
            <w:rStyle w:val="Hipervnculo"/>
            <w:rFonts w:ascii="Open Sans" w:eastAsia="Open Sans" w:hAnsi="Open Sans" w:cs="Open Sans"/>
            <w:b/>
            <w:bCs/>
          </w:rPr>
          <w:t>Research</w:t>
        </w:r>
        <w:proofErr w:type="spellEnd"/>
      </w:hyperlink>
      <w:r w:rsidR="0033529A" w:rsidRPr="0033529A">
        <w:rPr>
          <w:rFonts w:ascii="Open Sans" w:eastAsia="Open Sans" w:hAnsi="Open Sans" w:cs="Open Sans"/>
        </w:rPr>
        <w:t>.</w:t>
      </w:r>
    </w:p>
    <w:p w14:paraId="4DA41158" w14:textId="77777777" w:rsidR="007B5319" w:rsidRDefault="007B5319" w:rsidP="007B5319">
      <w:pPr>
        <w:pBdr>
          <w:top w:val="nil"/>
          <w:left w:val="nil"/>
          <w:bottom w:val="nil"/>
          <w:right w:val="nil"/>
          <w:between w:val="nil"/>
        </w:pBdr>
        <w:spacing w:line="276" w:lineRule="auto"/>
        <w:jc w:val="both"/>
        <w:rPr>
          <w:rFonts w:ascii="Open Sans" w:eastAsia="Open Sans" w:hAnsi="Open Sans" w:cs="Open Sans"/>
          <w:lang w:val="la-Latn"/>
        </w:rPr>
      </w:pPr>
    </w:p>
    <w:p w14:paraId="03D4D9C5" w14:textId="091FEB2D" w:rsidR="007B5319" w:rsidRDefault="007B5319" w:rsidP="007B5319">
      <w:pPr>
        <w:pBdr>
          <w:top w:val="nil"/>
          <w:left w:val="nil"/>
          <w:bottom w:val="nil"/>
          <w:right w:val="nil"/>
          <w:between w:val="nil"/>
        </w:pBdr>
        <w:spacing w:line="276" w:lineRule="auto"/>
        <w:jc w:val="both"/>
        <w:rPr>
          <w:rFonts w:ascii="Open Sans" w:eastAsia="Open Sans" w:hAnsi="Open Sans" w:cs="Open Sans"/>
          <w:lang w:val="la-Latn"/>
        </w:rPr>
      </w:pPr>
      <w:r w:rsidRPr="00CD5100">
        <w:rPr>
          <w:rFonts w:ascii="Open Sans" w:eastAsia="Open Sans" w:hAnsi="Open Sans" w:cs="Open Sans"/>
          <w:lang w:val="la-Latn"/>
        </w:rPr>
        <w:t>“</w:t>
      </w:r>
      <w:r w:rsidR="007C7012">
        <w:rPr>
          <w:rFonts w:ascii="Open Sans" w:eastAsia="Open Sans" w:hAnsi="Open Sans" w:cs="Open Sans"/>
          <w:lang w:val="la-Latn"/>
        </w:rPr>
        <w:t xml:space="preserve">Estos datos </w:t>
      </w:r>
      <w:r>
        <w:rPr>
          <w:rFonts w:ascii="Open Sans" w:eastAsia="Open Sans" w:hAnsi="Open Sans" w:cs="Open Sans"/>
          <w:lang w:val="la-Latn"/>
        </w:rPr>
        <w:t>corroboran lo que apuntan las fuentes oficiales</w:t>
      </w:r>
      <w:r w:rsidR="00C73BB9">
        <w:rPr>
          <w:rFonts w:ascii="Open Sans" w:eastAsia="Open Sans" w:hAnsi="Open Sans" w:cs="Open Sans"/>
          <w:lang w:val="la-Latn"/>
        </w:rPr>
        <w:t>.</w:t>
      </w:r>
      <w:r>
        <w:rPr>
          <w:rFonts w:ascii="Open Sans" w:eastAsia="Open Sans" w:hAnsi="Open Sans" w:cs="Open Sans"/>
          <w:lang w:val="la-Latn"/>
        </w:rPr>
        <w:t xml:space="preserve"> </w:t>
      </w:r>
      <w:r w:rsidR="00C73BB9">
        <w:rPr>
          <w:rFonts w:ascii="Open Sans" w:eastAsia="Open Sans" w:hAnsi="Open Sans" w:cs="Open Sans"/>
          <w:lang w:val="la-Latn"/>
        </w:rPr>
        <w:t>E</w:t>
      </w:r>
      <w:r>
        <w:rPr>
          <w:rFonts w:ascii="Open Sans" w:eastAsia="Open Sans" w:hAnsi="Open Sans" w:cs="Open Sans"/>
          <w:lang w:val="la-Latn"/>
        </w:rPr>
        <w:t>n las últimas dos décadas, la opción de arrendar un inmueble ha ido ganando peso y el porcentaje de inquilinos ha ido creciendo de forma lenta pero firme hasta alcanzar el 25% actual. Las razones son múltiples y pasan por nuevos usos sociales</w:t>
      </w:r>
      <w:r w:rsidR="00C73BB9">
        <w:rPr>
          <w:rFonts w:ascii="Open Sans" w:eastAsia="Open Sans" w:hAnsi="Open Sans" w:cs="Open Sans"/>
          <w:lang w:val="la-Latn"/>
        </w:rPr>
        <w:t xml:space="preserve"> (</w:t>
      </w:r>
      <w:r>
        <w:rPr>
          <w:rFonts w:ascii="Open Sans" w:eastAsia="Open Sans" w:hAnsi="Open Sans" w:cs="Open Sans"/>
          <w:lang w:val="la-Latn"/>
        </w:rPr>
        <w:t>más mobilidad laboral y una mayor población concentrada en ciudades); razones económicas</w:t>
      </w:r>
      <w:r w:rsidR="00C73BB9">
        <w:rPr>
          <w:rFonts w:ascii="Open Sans" w:eastAsia="Open Sans" w:hAnsi="Open Sans" w:cs="Open Sans"/>
          <w:lang w:val="la-Latn"/>
        </w:rPr>
        <w:t>,</w:t>
      </w:r>
      <w:r>
        <w:rPr>
          <w:rFonts w:ascii="Open Sans" w:eastAsia="Open Sans" w:hAnsi="Open Sans" w:cs="Open Sans"/>
          <w:lang w:val="la-Latn"/>
        </w:rPr>
        <w:t xml:space="preserve"> como las dificultades para acceder a una vivienda de compra </w:t>
      </w:r>
      <w:r w:rsidR="00C73BB9">
        <w:rPr>
          <w:rFonts w:ascii="Open Sans" w:eastAsia="Open Sans" w:hAnsi="Open Sans" w:cs="Open Sans"/>
          <w:lang w:val="la-Latn"/>
        </w:rPr>
        <w:t>que sufren</w:t>
      </w:r>
      <w:r>
        <w:rPr>
          <w:rFonts w:ascii="Open Sans" w:eastAsia="Open Sans" w:hAnsi="Open Sans" w:cs="Open Sans"/>
          <w:lang w:val="la-Latn"/>
        </w:rPr>
        <w:t xml:space="preserve"> los jóvenes o las familias con menor renta</w:t>
      </w:r>
      <w:r w:rsidR="006B2BB4">
        <w:rPr>
          <w:rFonts w:ascii="Open Sans" w:eastAsia="Open Sans" w:hAnsi="Open Sans" w:cs="Open Sans"/>
          <w:lang w:val="la-Latn"/>
        </w:rPr>
        <w:t>, entre otros</w:t>
      </w:r>
      <w:r>
        <w:rPr>
          <w:rFonts w:ascii="Open Sans" w:eastAsia="Open Sans" w:hAnsi="Open Sans" w:cs="Open Sans"/>
          <w:lang w:val="la-Latn"/>
        </w:rPr>
        <w:t xml:space="preserve">; o motivaciones culturales, </w:t>
      </w:r>
      <w:r>
        <w:rPr>
          <w:rFonts w:ascii="Open Sans" w:eastAsia="Open Sans" w:hAnsi="Open Sans" w:cs="Open Sans"/>
          <w:lang w:val="la-Latn"/>
        </w:rPr>
        <w:lastRenderedPageBreak/>
        <w:t>como la concepción de España como un país de propietarios, algo todavía extendido pero de menor calado para las nuevas generaciones. Todo ello ha fomentado un progresivo auge del alquiler que</w:t>
      </w:r>
      <w:r w:rsidR="00C73BB9">
        <w:rPr>
          <w:rFonts w:ascii="Open Sans" w:eastAsia="Open Sans" w:hAnsi="Open Sans" w:cs="Open Sans"/>
          <w:lang w:val="la-Latn"/>
        </w:rPr>
        <w:t>,</w:t>
      </w:r>
      <w:r>
        <w:rPr>
          <w:rFonts w:ascii="Open Sans" w:eastAsia="Open Sans" w:hAnsi="Open Sans" w:cs="Open Sans"/>
          <w:lang w:val="la-Latn"/>
        </w:rPr>
        <w:t xml:space="preserve"> poco a poco</w:t>
      </w:r>
      <w:r w:rsidR="00C73BB9">
        <w:rPr>
          <w:rFonts w:ascii="Open Sans" w:eastAsia="Open Sans" w:hAnsi="Open Sans" w:cs="Open Sans"/>
          <w:lang w:val="la-Latn"/>
        </w:rPr>
        <w:t>,</w:t>
      </w:r>
      <w:r>
        <w:rPr>
          <w:rFonts w:ascii="Open Sans" w:eastAsia="Open Sans" w:hAnsi="Open Sans" w:cs="Open Sans"/>
          <w:lang w:val="la-Latn"/>
        </w:rPr>
        <w:t xml:space="preserve"> </w:t>
      </w:r>
      <w:r w:rsidR="00C73BB9">
        <w:rPr>
          <w:rFonts w:ascii="Open Sans" w:eastAsia="Open Sans" w:hAnsi="Open Sans" w:cs="Open Sans"/>
          <w:lang w:val="la-Latn"/>
        </w:rPr>
        <w:t xml:space="preserve">nos </w:t>
      </w:r>
      <w:r>
        <w:rPr>
          <w:rFonts w:ascii="Open Sans" w:eastAsia="Open Sans" w:hAnsi="Open Sans" w:cs="Open Sans"/>
          <w:lang w:val="la-Latn"/>
        </w:rPr>
        <w:t>acerca al promedio de nuestro entorno europeo, donde el porcentaje de inquilinos supera el 30% de media”</w:t>
      </w:r>
      <w:r w:rsidRPr="00CD5100">
        <w:rPr>
          <w:rFonts w:ascii="Open Sans" w:eastAsia="Open Sans" w:hAnsi="Open Sans" w:cs="Open Sans"/>
          <w:lang w:val="la-Latn"/>
        </w:rPr>
        <w:t xml:space="preserve">, explica </w:t>
      </w:r>
      <w:r w:rsidRPr="00CD5100">
        <w:rPr>
          <w:rFonts w:ascii="Open Sans" w:eastAsia="Open Sans" w:hAnsi="Open Sans" w:cs="Open Sans"/>
          <w:b/>
          <w:lang w:val="la-Latn"/>
        </w:rPr>
        <w:t xml:space="preserve">María Matos, directora de Estudios y portavoz de </w:t>
      </w:r>
      <w:r w:rsidR="007C7012">
        <w:rPr>
          <w:rFonts w:ascii="Open Sans" w:eastAsia="Open Sans" w:hAnsi="Open Sans" w:cs="Open Sans"/>
          <w:b/>
          <w:lang w:val="la-Latn"/>
        </w:rPr>
        <w:fldChar w:fldCharType="begin"/>
      </w:r>
      <w:r w:rsidR="007C7012">
        <w:rPr>
          <w:rFonts w:ascii="Open Sans" w:eastAsia="Open Sans" w:hAnsi="Open Sans" w:cs="Open Sans"/>
          <w:b/>
          <w:lang w:val="la-Latn"/>
        </w:rPr>
        <w:instrText>HYPERLINK "https://www.fotocasa.es"</w:instrText>
      </w:r>
      <w:r w:rsidR="007C7012">
        <w:rPr>
          <w:rFonts w:ascii="Open Sans" w:eastAsia="Open Sans" w:hAnsi="Open Sans" w:cs="Open Sans"/>
          <w:b/>
          <w:lang w:val="la-Latn"/>
        </w:rPr>
      </w:r>
      <w:r w:rsidR="007C7012">
        <w:rPr>
          <w:rFonts w:ascii="Open Sans" w:eastAsia="Open Sans" w:hAnsi="Open Sans" w:cs="Open Sans"/>
          <w:b/>
          <w:lang w:val="la-Latn"/>
        </w:rPr>
        <w:fldChar w:fldCharType="separate"/>
      </w:r>
      <w:r w:rsidRPr="007C7012">
        <w:rPr>
          <w:rStyle w:val="Hipervnculo"/>
          <w:rFonts w:ascii="Open Sans" w:eastAsia="Open Sans" w:hAnsi="Open Sans" w:cs="Open Sans"/>
          <w:b/>
          <w:lang w:val="la-Latn"/>
        </w:rPr>
        <w:t>Fotocasa</w:t>
      </w:r>
      <w:r w:rsidR="007C7012">
        <w:rPr>
          <w:rFonts w:ascii="Open Sans" w:eastAsia="Open Sans" w:hAnsi="Open Sans" w:cs="Open Sans"/>
          <w:b/>
          <w:lang w:val="la-Latn"/>
        </w:rPr>
        <w:fldChar w:fldCharType="end"/>
      </w:r>
      <w:r w:rsidRPr="00CD5100">
        <w:rPr>
          <w:rFonts w:ascii="Open Sans" w:eastAsia="Open Sans" w:hAnsi="Open Sans" w:cs="Open Sans"/>
          <w:lang w:val="la-Latn"/>
        </w:rPr>
        <w:t>.</w:t>
      </w:r>
    </w:p>
    <w:p w14:paraId="43C1A7CB" w14:textId="77777777" w:rsidR="000D794B" w:rsidRDefault="000D794B" w:rsidP="007B5319">
      <w:pPr>
        <w:pBdr>
          <w:top w:val="nil"/>
          <w:left w:val="nil"/>
          <w:bottom w:val="nil"/>
          <w:right w:val="nil"/>
          <w:between w:val="nil"/>
        </w:pBdr>
        <w:spacing w:line="276" w:lineRule="auto"/>
        <w:jc w:val="both"/>
        <w:rPr>
          <w:rFonts w:ascii="Open Sans" w:eastAsia="Open Sans" w:hAnsi="Open Sans" w:cs="Open Sans"/>
          <w:lang w:val="la-Latn"/>
        </w:rPr>
      </w:pPr>
    </w:p>
    <w:p w14:paraId="63F2D593" w14:textId="77777777" w:rsidR="007B5319" w:rsidRPr="00CD5100" w:rsidRDefault="007B5319" w:rsidP="007B5319">
      <w:pPr>
        <w:pBdr>
          <w:top w:val="nil"/>
          <w:left w:val="nil"/>
          <w:bottom w:val="nil"/>
          <w:right w:val="nil"/>
          <w:between w:val="nil"/>
        </w:pBdr>
        <w:spacing w:line="276" w:lineRule="auto"/>
        <w:jc w:val="both"/>
        <w:rPr>
          <w:rFonts w:ascii="Open Sans" w:eastAsia="Open Sans" w:hAnsi="Open Sans" w:cs="Open Sans"/>
          <w:lang w:val="la-Latn"/>
        </w:rPr>
      </w:pPr>
    </w:p>
    <w:p w14:paraId="18BEC98D" w14:textId="522FB938" w:rsidR="007B5319" w:rsidRPr="007B5319" w:rsidRDefault="007B5319" w:rsidP="00C73BB9">
      <w:pPr>
        <w:pBdr>
          <w:top w:val="nil"/>
          <w:left w:val="nil"/>
          <w:bottom w:val="nil"/>
          <w:right w:val="nil"/>
          <w:between w:val="nil"/>
        </w:pBdr>
        <w:spacing w:line="276" w:lineRule="auto"/>
        <w:jc w:val="center"/>
        <w:rPr>
          <w:rFonts w:ascii="Open Sans" w:eastAsia="Open Sans" w:hAnsi="Open Sans" w:cs="Open Sans"/>
          <w:lang w:val="la-Latn"/>
        </w:rPr>
      </w:pPr>
      <w:r>
        <w:rPr>
          <w:noProof/>
        </w:rPr>
        <w:drawing>
          <wp:inline distT="0" distB="0" distL="0" distR="0" wp14:anchorId="0BE18758" wp14:editId="36DC68F7">
            <wp:extent cx="5810985" cy="3009900"/>
            <wp:effectExtent l="0" t="0" r="0" b="0"/>
            <wp:docPr id="1577855067" name="Picture 1" descr="A graph with numbers and a blue b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7855067" name="Picture 1" descr="A graph with numbers and a blue bar&#10;&#10;AI-generated content may be incorre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23055" cy="3016152"/>
                    </a:xfrm>
                    <a:prstGeom prst="rect">
                      <a:avLst/>
                    </a:prstGeom>
                    <a:noFill/>
                    <a:ln>
                      <a:noFill/>
                    </a:ln>
                  </pic:spPr>
                </pic:pic>
              </a:graphicData>
            </a:graphic>
          </wp:inline>
        </w:drawing>
      </w:r>
    </w:p>
    <w:p w14:paraId="762528AE" w14:textId="77777777" w:rsidR="007B5319" w:rsidRDefault="007B5319" w:rsidP="007B5319">
      <w:pPr>
        <w:pBdr>
          <w:top w:val="nil"/>
          <w:left w:val="nil"/>
          <w:bottom w:val="nil"/>
          <w:right w:val="nil"/>
          <w:between w:val="nil"/>
        </w:pBdr>
        <w:spacing w:line="276" w:lineRule="auto"/>
        <w:jc w:val="both"/>
        <w:rPr>
          <w:rFonts w:ascii="Open Sans" w:eastAsia="Open Sans" w:hAnsi="Open Sans" w:cs="Open Sans"/>
        </w:rPr>
      </w:pPr>
    </w:p>
    <w:p w14:paraId="29B01439" w14:textId="77777777" w:rsidR="000D794B" w:rsidRDefault="000D794B" w:rsidP="00367DF3">
      <w:pPr>
        <w:pBdr>
          <w:top w:val="nil"/>
          <w:left w:val="nil"/>
          <w:bottom w:val="nil"/>
          <w:right w:val="nil"/>
          <w:between w:val="nil"/>
        </w:pBdr>
        <w:spacing w:line="276" w:lineRule="auto"/>
        <w:jc w:val="both"/>
        <w:rPr>
          <w:rFonts w:ascii="Open Sans" w:eastAsia="Open Sans" w:hAnsi="Open Sans" w:cs="Open Sans"/>
        </w:rPr>
      </w:pPr>
    </w:p>
    <w:p w14:paraId="034CA862" w14:textId="719E252A" w:rsidR="000D794B" w:rsidRPr="000D794B" w:rsidRDefault="000D794B" w:rsidP="000D794B">
      <w:pPr>
        <w:spacing w:line="276" w:lineRule="auto"/>
        <w:jc w:val="both"/>
        <w:rPr>
          <w:rFonts w:ascii="National" w:eastAsia="National" w:hAnsi="National" w:cs="National"/>
          <w:b/>
          <w:color w:val="303AB2"/>
          <w:sz w:val="32"/>
          <w:szCs w:val="32"/>
        </w:rPr>
      </w:pPr>
      <w:r w:rsidRPr="000D794B">
        <w:rPr>
          <w:rFonts w:ascii="National" w:eastAsia="National" w:hAnsi="National" w:cs="National"/>
          <w:b/>
          <w:color w:val="303AB2"/>
          <w:sz w:val="32"/>
          <w:szCs w:val="32"/>
        </w:rPr>
        <w:t>El 58% de los españoles es propietaria de una vivienda</w:t>
      </w:r>
    </w:p>
    <w:p w14:paraId="09E1877B" w14:textId="77777777" w:rsidR="000D794B" w:rsidRDefault="000D794B" w:rsidP="00367DF3">
      <w:pPr>
        <w:pBdr>
          <w:top w:val="nil"/>
          <w:left w:val="nil"/>
          <w:bottom w:val="nil"/>
          <w:right w:val="nil"/>
          <w:between w:val="nil"/>
        </w:pBdr>
        <w:spacing w:line="276" w:lineRule="auto"/>
        <w:jc w:val="both"/>
        <w:rPr>
          <w:rFonts w:ascii="Open Sans" w:eastAsia="Open Sans" w:hAnsi="Open Sans" w:cs="Open Sans"/>
        </w:rPr>
      </w:pPr>
    </w:p>
    <w:p w14:paraId="0D6C74E0" w14:textId="2EE45D71" w:rsidR="00CD5100" w:rsidRDefault="007B5319" w:rsidP="00367DF3">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Por otro lado, </w:t>
      </w:r>
      <w:r w:rsidRPr="00367DF3">
        <w:rPr>
          <w:rFonts w:ascii="Open Sans" w:eastAsia="Open Sans" w:hAnsi="Open Sans" w:cs="Open Sans"/>
        </w:rPr>
        <w:t xml:space="preserve">es necesario matizar que no es lo mismo es vivir en una </w:t>
      </w:r>
      <w:r>
        <w:rPr>
          <w:rFonts w:ascii="Open Sans" w:eastAsia="Open Sans" w:hAnsi="Open Sans" w:cs="Open Sans"/>
        </w:rPr>
        <w:t>vivienda</w:t>
      </w:r>
      <w:r w:rsidRPr="00367DF3">
        <w:rPr>
          <w:rFonts w:ascii="Open Sans" w:eastAsia="Open Sans" w:hAnsi="Open Sans" w:cs="Open Sans"/>
        </w:rPr>
        <w:t xml:space="preserve"> de propiedad que ser propietarios</w:t>
      </w:r>
      <w:r>
        <w:rPr>
          <w:rFonts w:ascii="Open Sans" w:eastAsia="Open Sans" w:hAnsi="Open Sans" w:cs="Open Sans"/>
        </w:rPr>
        <w:t xml:space="preserve">. Así pues, si se observa la población mayor de 18 años teniendo en cuenta este criterio, en 2024 había en España un 61% de propietarios, que se reparten entre un 28% de poseedores únicos y un 36% de copropietarios. Un año después, estas cifras han experimentado leves cambios: </w:t>
      </w:r>
      <w:r w:rsidRPr="00CD5100">
        <w:rPr>
          <w:rFonts w:ascii="Open Sans" w:eastAsia="Open Sans" w:hAnsi="Open Sans" w:cs="Open Sans"/>
          <w:b/>
          <w:bCs/>
        </w:rPr>
        <w:t>actualmente, un 58% de la población es propietaria de una vivienda, distribuidos entre un 29% de dueños únicos y un 32% de copropietarios</w:t>
      </w:r>
      <w:r>
        <w:rPr>
          <w:rFonts w:ascii="Open Sans" w:eastAsia="Open Sans" w:hAnsi="Open Sans" w:cs="Open Sans"/>
        </w:rPr>
        <w:t>.</w:t>
      </w:r>
    </w:p>
    <w:p w14:paraId="07C243A4" w14:textId="77777777" w:rsidR="007B5319" w:rsidRPr="007B5319" w:rsidRDefault="007B5319" w:rsidP="00367DF3">
      <w:pPr>
        <w:pBdr>
          <w:top w:val="nil"/>
          <w:left w:val="nil"/>
          <w:bottom w:val="nil"/>
          <w:right w:val="nil"/>
          <w:between w:val="nil"/>
        </w:pBdr>
        <w:spacing w:line="276" w:lineRule="auto"/>
        <w:jc w:val="both"/>
        <w:rPr>
          <w:rFonts w:ascii="Open Sans" w:eastAsia="Open Sans" w:hAnsi="Open Sans" w:cs="Open Sans"/>
          <w:lang w:val="la-Latn"/>
        </w:rPr>
      </w:pPr>
    </w:p>
    <w:p w14:paraId="6BD43CB8" w14:textId="004FDED9" w:rsidR="00CD5100" w:rsidRDefault="00CD5100" w:rsidP="00C73BB9">
      <w:pPr>
        <w:spacing w:line="276" w:lineRule="auto"/>
        <w:jc w:val="center"/>
        <w:rPr>
          <w:rFonts w:ascii="National" w:eastAsia="National" w:hAnsi="National" w:cs="National"/>
          <w:b/>
          <w:color w:val="303AB2"/>
          <w:sz w:val="32"/>
          <w:szCs w:val="32"/>
        </w:rPr>
      </w:pPr>
      <w:r>
        <w:rPr>
          <w:noProof/>
        </w:rPr>
        <w:lastRenderedPageBreak/>
        <w:drawing>
          <wp:inline distT="0" distB="0" distL="0" distR="0" wp14:anchorId="77CB894D" wp14:editId="7EA671CA">
            <wp:extent cx="5639585" cy="3192780"/>
            <wp:effectExtent l="0" t="0" r="0" b="7620"/>
            <wp:docPr id="979826339" name="Picture 2" descr="A hand holding keys to another ha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826339" name="Picture 2" descr="A hand holding keys to another hand&#10;&#10;AI-generated content may be incorrec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662640" cy="3205832"/>
                    </a:xfrm>
                    <a:prstGeom prst="rect">
                      <a:avLst/>
                    </a:prstGeom>
                    <a:noFill/>
                    <a:ln>
                      <a:noFill/>
                    </a:ln>
                  </pic:spPr>
                </pic:pic>
              </a:graphicData>
            </a:graphic>
          </wp:inline>
        </w:drawing>
      </w:r>
    </w:p>
    <w:p w14:paraId="1E56730B" w14:textId="77777777" w:rsidR="000D794B" w:rsidRDefault="000D794B" w:rsidP="005C4CF7">
      <w:pPr>
        <w:spacing w:line="276" w:lineRule="auto"/>
        <w:jc w:val="both"/>
        <w:rPr>
          <w:rFonts w:ascii="National" w:eastAsia="National" w:hAnsi="National" w:cs="National"/>
          <w:b/>
          <w:color w:val="303AB2"/>
          <w:sz w:val="32"/>
          <w:szCs w:val="32"/>
        </w:rPr>
      </w:pPr>
    </w:p>
    <w:p w14:paraId="601FAC8C" w14:textId="77777777" w:rsidR="000D794B" w:rsidRDefault="000D794B" w:rsidP="005C4CF7">
      <w:pPr>
        <w:spacing w:line="276" w:lineRule="auto"/>
        <w:jc w:val="both"/>
        <w:rPr>
          <w:rFonts w:ascii="National" w:eastAsia="National" w:hAnsi="National" w:cs="National"/>
          <w:b/>
          <w:color w:val="303AB2"/>
          <w:sz w:val="32"/>
          <w:szCs w:val="32"/>
        </w:rPr>
      </w:pPr>
    </w:p>
    <w:p w14:paraId="3622E738" w14:textId="2591A97B" w:rsidR="00C73BB9" w:rsidRDefault="0018647A" w:rsidP="005C4CF7">
      <w:pPr>
        <w:spacing w:line="276" w:lineRule="auto"/>
        <w:jc w:val="both"/>
        <w:rPr>
          <w:rFonts w:ascii="National" w:eastAsia="National" w:hAnsi="National" w:cs="National"/>
          <w:b/>
          <w:color w:val="303AB2"/>
          <w:sz w:val="32"/>
          <w:szCs w:val="32"/>
        </w:rPr>
      </w:pPr>
      <w:r>
        <w:rPr>
          <w:rFonts w:ascii="National" w:eastAsia="National" w:hAnsi="National" w:cs="National"/>
          <w:b/>
          <w:color w:val="303AB2"/>
          <w:sz w:val="32"/>
          <w:szCs w:val="32"/>
        </w:rPr>
        <w:t>El porcentaje de propietarios aumenta con la edad</w:t>
      </w:r>
    </w:p>
    <w:p w14:paraId="360917BB" w14:textId="77777777" w:rsidR="00C73BB9" w:rsidRDefault="00C73BB9" w:rsidP="005C4CF7">
      <w:pPr>
        <w:spacing w:line="276" w:lineRule="auto"/>
        <w:jc w:val="both"/>
        <w:rPr>
          <w:rFonts w:ascii="National" w:eastAsia="National" w:hAnsi="National" w:cs="National"/>
          <w:b/>
          <w:color w:val="303AB2"/>
          <w:sz w:val="32"/>
          <w:szCs w:val="32"/>
        </w:rPr>
      </w:pPr>
    </w:p>
    <w:p w14:paraId="2D365882" w14:textId="77777777" w:rsidR="000D794B" w:rsidRDefault="00CD5100" w:rsidP="005C4CF7">
      <w:pPr>
        <w:spacing w:line="276" w:lineRule="auto"/>
        <w:jc w:val="both"/>
        <w:rPr>
          <w:rFonts w:ascii="Open Sans" w:eastAsia="Open Sans" w:hAnsi="Open Sans" w:cs="Open Sans"/>
        </w:rPr>
      </w:pPr>
      <w:r w:rsidRPr="00CD5100">
        <w:rPr>
          <w:rFonts w:ascii="Open Sans" w:eastAsia="Open Sans" w:hAnsi="Open Sans" w:cs="Open Sans"/>
        </w:rPr>
        <w:t xml:space="preserve">Por otro lado, </w:t>
      </w:r>
      <w:r w:rsidR="0018647A">
        <w:rPr>
          <w:rFonts w:ascii="Open Sans" w:eastAsia="Open Sans" w:hAnsi="Open Sans" w:cs="Open Sans"/>
        </w:rPr>
        <w:t>existe una clara correlación entre el porcentaje de propietarios y el hecho de tener una edad más avanzada</w:t>
      </w:r>
      <w:r w:rsidRPr="00CD5100">
        <w:rPr>
          <w:rFonts w:ascii="Open Sans" w:eastAsia="Open Sans" w:hAnsi="Open Sans" w:cs="Open Sans"/>
        </w:rPr>
        <w:t>, en línea con las etapas del ciclo vital</w:t>
      </w:r>
      <w:r w:rsidR="0018647A">
        <w:rPr>
          <w:rFonts w:ascii="Open Sans" w:eastAsia="Open Sans" w:hAnsi="Open Sans" w:cs="Open Sans"/>
        </w:rPr>
        <w:t>, las necesidades de emancipación, los ingresos medios o las necesidades de movilidad geográfica</w:t>
      </w:r>
      <w:r w:rsidRPr="00CD5100">
        <w:rPr>
          <w:rFonts w:ascii="Open Sans" w:eastAsia="Open Sans" w:hAnsi="Open Sans" w:cs="Open Sans"/>
        </w:rPr>
        <w:t xml:space="preserve">. Así, </w:t>
      </w:r>
      <w:r w:rsidRPr="0018647A">
        <w:rPr>
          <w:rFonts w:ascii="Open Sans" w:eastAsia="Open Sans" w:hAnsi="Open Sans" w:cs="Open Sans"/>
          <w:b/>
          <w:bCs/>
        </w:rPr>
        <w:t xml:space="preserve">entre los mayores de 55 años predomina claramente la tenencia de vivienda en propiedad o copropiedad, con un 78% </w:t>
      </w:r>
      <w:r w:rsidR="0018647A" w:rsidRPr="0018647A">
        <w:rPr>
          <w:rFonts w:ascii="Open Sans" w:eastAsia="Open Sans" w:hAnsi="Open Sans" w:cs="Open Sans"/>
          <w:b/>
          <w:bCs/>
        </w:rPr>
        <w:t>del total</w:t>
      </w:r>
      <w:r w:rsidR="0018647A">
        <w:rPr>
          <w:rFonts w:ascii="Open Sans" w:eastAsia="Open Sans" w:hAnsi="Open Sans" w:cs="Open Sans"/>
        </w:rPr>
        <w:t xml:space="preserve"> </w:t>
      </w:r>
      <w:r w:rsidRPr="00CD5100">
        <w:rPr>
          <w:rFonts w:ascii="Open Sans" w:eastAsia="Open Sans" w:hAnsi="Open Sans" w:cs="Open Sans"/>
        </w:rPr>
        <w:t xml:space="preserve">(ligeramente por debajo del 80% registrado en 2024). </w:t>
      </w:r>
    </w:p>
    <w:p w14:paraId="0696F34E" w14:textId="77777777" w:rsidR="000D794B" w:rsidRDefault="000D794B" w:rsidP="005C4CF7">
      <w:pPr>
        <w:spacing w:line="276" w:lineRule="auto"/>
        <w:jc w:val="both"/>
        <w:rPr>
          <w:rFonts w:ascii="Open Sans" w:eastAsia="Open Sans" w:hAnsi="Open Sans" w:cs="Open Sans"/>
        </w:rPr>
      </w:pPr>
    </w:p>
    <w:p w14:paraId="6A15F6FA" w14:textId="18EE3C96" w:rsidR="00CD5100" w:rsidRPr="00C73BB9" w:rsidRDefault="00CD5100" w:rsidP="005C4CF7">
      <w:pPr>
        <w:spacing w:line="276" w:lineRule="auto"/>
        <w:jc w:val="both"/>
        <w:rPr>
          <w:rFonts w:ascii="National" w:eastAsia="National" w:hAnsi="National" w:cs="National"/>
          <w:b/>
          <w:color w:val="303AB2"/>
          <w:sz w:val="32"/>
          <w:szCs w:val="32"/>
        </w:rPr>
      </w:pPr>
      <w:r w:rsidRPr="00CD5100">
        <w:rPr>
          <w:rFonts w:ascii="Open Sans" w:eastAsia="Open Sans" w:hAnsi="Open Sans" w:cs="Open Sans"/>
        </w:rPr>
        <w:t>En cambio, esta proporción disminuye gradualmente en los grupos más jóvenes, alcanzando solo el 14% entre los menores de 25 años. Aun así, esta cifra representa una mejora de cuatro puntos respecto al 10% del año anterior.</w:t>
      </w:r>
    </w:p>
    <w:p w14:paraId="1340DFB0" w14:textId="77777777" w:rsidR="00CD5100" w:rsidRDefault="00CD5100" w:rsidP="005C4CF7">
      <w:pPr>
        <w:spacing w:line="276" w:lineRule="auto"/>
        <w:jc w:val="both"/>
        <w:rPr>
          <w:rFonts w:ascii="National" w:eastAsia="National" w:hAnsi="National" w:cs="National"/>
          <w:b/>
          <w:color w:val="303AB2"/>
          <w:sz w:val="32"/>
          <w:szCs w:val="32"/>
        </w:rPr>
      </w:pPr>
    </w:p>
    <w:p w14:paraId="464D58F6" w14:textId="2F8D7385" w:rsidR="00CD38BA" w:rsidRDefault="0018647A" w:rsidP="00C73BB9">
      <w:pPr>
        <w:pBdr>
          <w:top w:val="nil"/>
          <w:left w:val="nil"/>
          <w:bottom w:val="nil"/>
          <w:right w:val="nil"/>
          <w:between w:val="nil"/>
        </w:pBdr>
        <w:spacing w:line="276" w:lineRule="auto"/>
        <w:jc w:val="center"/>
        <w:rPr>
          <w:rFonts w:ascii="Open Sans" w:eastAsia="Open Sans" w:hAnsi="Open Sans" w:cs="Open Sans"/>
        </w:rPr>
      </w:pPr>
      <w:r>
        <w:rPr>
          <w:noProof/>
        </w:rPr>
        <w:lastRenderedPageBreak/>
        <w:drawing>
          <wp:inline distT="0" distB="0" distL="0" distR="0" wp14:anchorId="161B4C85" wp14:editId="41223F8D">
            <wp:extent cx="5441508" cy="3474720"/>
            <wp:effectExtent l="0" t="0" r="6985" b="0"/>
            <wp:docPr id="1553671710" name="Picture 3" descr="A graph with blue and green b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671710" name="Picture 3" descr="A graph with blue and green bars&#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47656" cy="3478646"/>
                    </a:xfrm>
                    <a:prstGeom prst="rect">
                      <a:avLst/>
                    </a:prstGeom>
                    <a:noFill/>
                    <a:ln>
                      <a:noFill/>
                    </a:ln>
                  </pic:spPr>
                </pic:pic>
              </a:graphicData>
            </a:graphic>
          </wp:inline>
        </w:drawing>
      </w:r>
    </w:p>
    <w:p w14:paraId="520615AB" w14:textId="77777777" w:rsidR="00CD38BA" w:rsidRDefault="00CD38BA" w:rsidP="00CD38BA">
      <w:pPr>
        <w:pBdr>
          <w:top w:val="nil"/>
          <w:left w:val="nil"/>
          <w:bottom w:val="nil"/>
          <w:right w:val="nil"/>
          <w:between w:val="nil"/>
        </w:pBdr>
        <w:spacing w:line="276" w:lineRule="auto"/>
        <w:jc w:val="both"/>
        <w:rPr>
          <w:rFonts w:ascii="Open Sans" w:eastAsia="Open Sans" w:hAnsi="Open Sans" w:cs="Open Sans"/>
        </w:rPr>
      </w:pPr>
    </w:p>
    <w:p w14:paraId="7BEE7E35" w14:textId="77777777" w:rsidR="0018647A" w:rsidRDefault="0018647A">
      <w:pPr>
        <w:spacing w:line="276" w:lineRule="auto"/>
        <w:jc w:val="right"/>
        <w:rPr>
          <w:rFonts w:ascii="Open Sans Light" w:eastAsia="Open Sans Light" w:hAnsi="Open Sans Light" w:cs="Open Sans Light"/>
          <w:b/>
          <w:color w:val="303AB2"/>
        </w:rPr>
      </w:pPr>
    </w:p>
    <w:p w14:paraId="6E2ED30C" w14:textId="77777777" w:rsidR="0018647A" w:rsidRDefault="0018647A">
      <w:pPr>
        <w:spacing w:line="276" w:lineRule="auto"/>
        <w:jc w:val="right"/>
        <w:rPr>
          <w:rFonts w:ascii="Open Sans Light" w:eastAsia="Open Sans Light" w:hAnsi="Open Sans Light" w:cs="Open Sans Light"/>
          <w:b/>
          <w:color w:val="303AB2"/>
        </w:rPr>
      </w:pPr>
    </w:p>
    <w:p w14:paraId="6E22951A" w14:textId="076CA627" w:rsidR="003127E9" w:rsidRDefault="007428EE">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Sobre Fotocasa</w:t>
      </w:r>
    </w:p>
    <w:p w14:paraId="3FBEF3C4" w14:textId="77777777" w:rsidR="003127E9" w:rsidRDefault="007428EE">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Portal inmobiliario que cuenta con inmuebles de segunda mano, promociones de obra nueva y viviendas de alquiler. Cada mes genera un tráfico de 34 millones de visitas (75% a través de dispositivos móviles). Mensualmente elabora el </w:t>
      </w:r>
      <w:hyperlink r:id="rId14">
        <w:r w:rsidR="003127E9">
          <w:rPr>
            <w:rFonts w:ascii="Open Sans" w:eastAsia="Open Sans" w:hAnsi="Open Sans" w:cs="Open Sans"/>
            <w:color w:val="0000FF"/>
            <w:sz w:val="22"/>
            <w:szCs w:val="22"/>
            <w:u w:val="single"/>
          </w:rPr>
          <w:t>índice inmobiliario Fotocasa</w:t>
        </w:r>
      </w:hyperlink>
      <w:r>
        <w:rPr>
          <w:rFonts w:ascii="Open Sans" w:eastAsia="Open Sans" w:hAnsi="Open Sans" w:cs="Open Sans"/>
          <w:sz w:val="22"/>
          <w:szCs w:val="22"/>
        </w:rPr>
        <w:t xml:space="preserve">, un informe de referencia sobre la evolución del precio medio de la vivienda en España, tanto en venta como en alquiler. </w:t>
      </w:r>
    </w:p>
    <w:p w14:paraId="1B9A80A5" w14:textId="77777777" w:rsidR="003127E9" w:rsidRDefault="007428EE">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 xml:space="preserve">Toda nuestra información la puedes encontrar en nuestra </w:t>
      </w:r>
      <w:hyperlink r:id="rId15">
        <w:r w:rsidR="003127E9">
          <w:rPr>
            <w:rFonts w:ascii="Open Sans" w:eastAsia="Open Sans" w:hAnsi="Open Sans" w:cs="Open Sans"/>
            <w:color w:val="0000FF"/>
            <w:sz w:val="22"/>
            <w:szCs w:val="22"/>
            <w:u w:val="single"/>
          </w:rPr>
          <w:t>Sala de Prensa</w:t>
        </w:r>
      </w:hyperlink>
      <w:r>
        <w:rPr>
          <w:rFonts w:ascii="Open Sans" w:eastAsia="Open Sans" w:hAnsi="Open Sans" w:cs="Open Sans"/>
          <w:sz w:val="22"/>
          <w:szCs w:val="22"/>
        </w:rPr>
        <w:t xml:space="preserve">. </w:t>
      </w:r>
    </w:p>
    <w:bookmarkStart w:id="0" w:name="_heading=h.2s8eyo1" w:colFirst="0" w:colLast="0"/>
    <w:bookmarkEnd w:id="0"/>
    <w:p w14:paraId="1145F6A3" w14:textId="77777777" w:rsidR="003127E9" w:rsidRDefault="007428EE">
      <w:pPr>
        <w:shd w:val="clear" w:color="auto" w:fill="FFFFFF"/>
        <w:spacing w:before="280" w:after="280" w:line="276" w:lineRule="auto"/>
        <w:jc w:val="both"/>
        <w:rPr>
          <w:rFonts w:ascii="Open Sans" w:eastAsia="Open Sans" w:hAnsi="Open Sans" w:cs="Open Sans"/>
          <w:sz w:val="22"/>
          <w:szCs w:val="22"/>
        </w:rPr>
      </w:pPr>
      <w:r>
        <w:fldChar w:fldCharType="begin"/>
      </w:r>
      <w:r>
        <w:instrText>HYPERLINK "https://www.fotocasa.es/es/quienes-somos/" \h</w:instrText>
      </w:r>
      <w:r>
        <w:fldChar w:fldCharType="separate"/>
      </w:r>
      <w:r>
        <w:rPr>
          <w:rFonts w:ascii="Open Sans" w:eastAsia="Open Sans" w:hAnsi="Open Sans" w:cs="Open Sans"/>
          <w:color w:val="0000FF"/>
          <w:sz w:val="22"/>
          <w:szCs w:val="22"/>
          <w:u w:val="single"/>
        </w:rPr>
        <w:t>Más información sobre Fotocasa</w:t>
      </w:r>
      <w:r>
        <w:fldChar w:fldCharType="end"/>
      </w:r>
      <w:r>
        <w:rPr>
          <w:rFonts w:ascii="Open Sans" w:eastAsia="Open Sans" w:hAnsi="Open Sans" w:cs="Open Sans"/>
          <w:sz w:val="22"/>
          <w:szCs w:val="22"/>
        </w:rPr>
        <w:t xml:space="preserve">. </w:t>
      </w:r>
    </w:p>
    <w:p w14:paraId="441383A3" w14:textId="77777777" w:rsidR="003127E9" w:rsidRDefault="007428EE">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 xml:space="preserve">Sobre </w:t>
      </w:r>
      <w:proofErr w:type="spellStart"/>
      <w:r>
        <w:rPr>
          <w:rFonts w:ascii="Open Sans Light" w:eastAsia="Open Sans Light" w:hAnsi="Open Sans Light" w:cs="Open Sans Light"/>
          <w:b/>
          <w:color w:val="303AB2"/>
        </w:rPr>
        <w:t>Adevinta</w:t>
      </w:r>
      <w:proofErr w:type="spellEnd"/>
    </w:p>
    <w:p w14:paraId="3BADD570" w14:textId="77777777" w:rsidR="003127E9" w:rsidRDefault="007428EE">
      <w:pPr>
        <w:spacing w:before="143" w:after="200"/>
        <w:jc w:val="both"/>
        <w:rPr>
          <w:rFonts w:ascii="Open Sans" w:eastAsia="Open Sans" w:hAnsi="Open Sans" w:cs="Open Sans"/>
        </w:rPr>
      </w:pP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es un grupo de empresas líder en </w:t>
      </w:r>
      <w:proofErr w:type="spellStart"/>
      <w:r>
        <w:rPr>
          <w:rFonts w:ascii="Open Sans" w:eastAsia="Open Sans" w:hAnsi="Open Sans" w:cs="Open Sans"/>
          <w:sz w:val="22"/>
          <w:szCs w:val="22"/>
        </w:rPr>
        <w:t>marketplaces</w:t>
      </w:r>
      <w:proofErr w:type="spellEnd"/>
      <w:r>
        <w:rPr>
          <w:rFonts w:ascii="Open Sans" w:eastAsia="Open Sans" w:hAnsi="Open Sans" w:cs="Open Sans"/>
          <w:sz w:val="22"/>
          <w:szCs w:val="22"/>
        </w:rPr>
        <w:t xml:space="preserve"> digitales y una de las principales empresas del sector tecnológico del país, con más de 18 millones de usuarios únicos al mes en sus plataformas de los sectores inmobiliario (</w:t>
      </w:r>
      <w:hyperlink r:id="rId16">
        <w:r w:rsidR="003127E9">
          <w:rPr>
            <w:rFonts w:ascii="Open Sans" w:eastAsia="Open Sans" w:hAnsi="Open Sans" w:cs="Open Sans"/>
            <w:color w:val="1155CC"/>
            <w:sz w:val="22"/>
            <w:szCs w:val="22"/>
            <w:u w:val="single"/>
          </w:rPr>
          <w:t>Fotocasa</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17">
        <w:proofErr w:type="spellStart"/>
        <w:r w:rsidR="003127E9">
          <w:rPr>
            <w:rFonts w:ascii="Open Sans" w:eastAsia="Open Sans" w:hAnsi="Open Sans" w:cs="Open Sans"/>
            <w:color w:val="1155CC"/>
            <w:sz w:val="22"/>
            <w:szCs w:val="22"/>
            <w:u w:val="single"/>
          </w:rPr>
          <w:t>habitaclia</w:t>
        </w:r>
        <w:proofErr w:type="spellEnd"/>
      </w:hyperlink>
      <w:r>
        <w:rPr>
          <w:rFonts w:ascii="Open Sans" w:eastAsia="Open Sans" w:hAnsi="Open Sans" w:cs="Open Sans"/>
          <w:sz w:val="22"/>
          <w:szCs w:val="22"/>
        </w:rPr>
        <w:t>), empleo (</w:t>
      </w:r>
      <w:hyperlink r:id="rId18">
        <w:r w:rsidR="003127E9">
          <w:rPr>
            <w:rFonts w:ascii="Open Sans" w:eastAsia="Open Sans" w:hAnsi="Open Sans" w:cs="Open Sans"/>
            <w:color w:val="1155CC"/>
            <w:sz w:val="22"/>
            <w:szCs w:val="22"/>
            <w:u w:val="single"/>
          </w:rPr>
          <w:t>InfoJobs</w:t>
        </w:r>
      </w:hyperlink>
      <w:r>
        <w:rPr>
          <w:rFonts w:ascii="Open Sans" w:eastAsia="Open Sans" w:hAnsi="Open Sans" w:cs="Open Sans"/>
          <w:sz w:val="22"/>
          <w:szCs w:val="22"/>
        </w:rPr>
        <w:t>), motor (</w:t>
      </w:r>
      <w:hyperlink r:id="rId19">
        <w:r w:rsidR="003127E9">
          <w:rPr>
            <w:rFonts w:ascii="Open Sans" w:eastAsia="Open Sans" w:hAnsi="Open Sans" w:cs="Open Sans"/>
            <w:color w:val="1155CC"/>
            <w:sz w:val="22"/>
            <w:szCs w:val="22"/>
            <w:u w:val="single"/>
          </w:rPr>
          <w:t>coches.net</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20">
        <w:r w:rsidR="003127E9">
          <w:rPr>
            <w:rFonts w:ascii="Open Sans" w:eastAsia="Open Sans" w:hAnsi="Open Sans" w:cs="Open Sans"/>
            <w:color w:val="1155CC"/>
            <w:sz w:val="22"/>
            <w:szCs w:val="22"/>
            <w:u w:val="single"/>
          </w:rPr>
          <w:t>motos.net</w:t>
        </w:r>
      </w:hyperlink>
      <w:r>
        <w:rPr>
          <w:rFonts w:ascii="Open Sans" w:eastAsia="Open Sans" w:hAnsi="Open Sans" w:cs="Open Sans"/>
          <w:sz w:val="22"/>
          <w:szCs w:val="22"/>
        </w:rPr>
        <w:t>) y compraventa de artículos de segunda mano (</w:t>
      </w:r>
      <w:proofErr w:type="spellStart"/>
      <w:r w:rsidR="003127E9">
        <w:fldChar w:fldCharType="begin"/>
      </w:r>
      <w:r w:rsidR="003127E9">
        <w:instrText>HYPERLINK "https://www.milanuncios.com/" \h</w:instrText>
      </w:r>
      <w:r w:rsidR="003127E9">
        <w:fldChar w:fldCharType="separate"/>
      </w:r>
      <w:r w:rsidR="003127E9">
        <w:rPr>
          <w:rFonts w:ascii="Open Sans" w:eastAsia="Open Sans" w:hAnsi="Open Sans" w:cs="Open Sans"/>
          <w:color w:val="1155CC"/>
          <w:sz w:val="22"/>
          <w:szCs w:val="22"/>
          <w:u w:val="single"/>
        </w:rPr>
        <w:t>Milanuncios</w:t>
      </w:r>
      <w:proofErr w:type="spellEnd"/>
      <w:r w:rsidR="003127E9">
        <w:fldChar w:fldCharType="end"/>
      </w:r>
      <w:r>
        <w:rPr>
          <w:rFonts w:ascii="Open Sans" w:eastAsia="Open Sans" w:hAnsi="Open Sans" w:cs="Open Sans"/>
          <w:sz w:val="22"/>
          <w:szCs w:val="22"/>
        </w:rPr>
        <w:t>).</w:t>
      </w:r>
    </w:p>
    <w:p w14:paraId="16E1FFA2" w14:textId="77777777" w:rsidR="003127E9" w:rsidRDefault="007428EE">
      <w:pPr>
        <w:spacing w:before="143" w:after="200"/>
        <w:jc w:val="both"/>
        <w:rPr>
          <w:rFonts w:ascii="Open Sans" w:eastAsia="Open Sans" w:hAnsi="Open Sans" w:cs="Open Sans"/>
          <w:sz w:val="22"/>
          <w:szCs w:val="22"/>
        </w:rPr>
      </w:pPr>
      <w:r>
        <w:rPr>
          <w:rFonts w:ascii="Open Sans" w:eastAsia="Open Sans" w:hAnsi="Open Sans" w:cs="Open Sans"/>
          <w:sz w:val="22"/>
          <w:szCs w:val="22"/>
        </w:rPr>
        <w:t xml:space="preserve">Los negocios de </w:t>
      </w: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han evolucionado del papel al online a lo largo de más de 40 años de trayectoria en España, convirtiéndose en referentes de Internet. Con sede en Barcelona, la compañía cuenta con una plantilla de más de 1.000 personas comprometidas con fomentar un cambio positivo en el mundo a través de tecnología </w:t>
      </w:r>
      <w:r>
        <w:rPr>
          <w:rFonts w:ascii="Open Sans" w:eastAsia="Open Sans" w:hAnsi="Open Sans" w:cs="Open Sans"/>
          <w:sz w:val="22"/>
          <w:szCs w:val="22"/>
        </w:rPr>
        <w:lastRenderedPageBreak/>
        <w:t>innovadora, otorgando una nueva oportunidad a quienes la están buscando y dando a las cosas una segunda vida.</w:t>
      </w:r>
    </w:p>
    <w:p w14:paraId="7718AA70" w14:textId="77777777" w:rsidR="003127E9" w:rsidRDefault="007428EE">
      <w:pPr>
        <w:spacing w:before="143" w:after="200"/>
        <w:jc w:val="both"/>
        <w:rPr>
          <w:rFonts w:ascii="Open Sans" w:eastAsia="Open Sans" w:hAnsi="Open Sans" w:cs="Open Sans"/>
          <w:sz w:val="22"/>
          <w:szCs w:val="22"/>
        </w:rPr>
      </w:pP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tiene presencia mundial en 10 países. El conjunto de sus plataformas locales recibe un promedio de 2.500 millones de visitas cada mes. </w:t>
      </w:r>
    </w:p>
    <w:p w14:paraId="084F7A8F" w14:textId="77777777" w:rsidR="003127E9" w:rsidRDefault="007428EE">
      <w:pPr>
        <w:spacing w:before="143" w:after="200"/>
        <w:jc w:val="both"/>
      </w:pPr>
      <w:r>
        <w:rPr>
          <w:rFonts w:ascii="Open Sans" w:eastAsia="Open Sans" w:hAnsi="Open Sans" w:cs="Open Sans"/>
          <w:sz w:val="22"/>
          <w:szCs w:val="22"/>
        </w:rPr>
        <w:t xml:space="preserve">Más información en </w:t>
      </w:r>
      <w:hyperlink r:id="rId21">
        <w:r w:rsidR="003127E9">
          <w:rPr>
            <w:rFonts w:ascii="Open Sans" w:eastAsia="Open Sans" w:hAnsi="Open Sans" w:cs="Open Sans"/>
            <w:color w:val="1155CC"/>
            <w:sz w:val="22"/>
            <w:szCs w:val="22"/>
            <w:u w:val="single"/>
          </w:rPr>
          <w:t>adevinta.es</w:t>
        </w:r>
      </w:hyperlink>
    </w:p>
    <w:p w14:paraId="6C1D7AC4" w14:textId="77777777" w:rsidR="003127E9" w:rsidRDefault="003127E9">
      <w:pPr>
        <w:spacing w:before="143" w:after="200"/>
        <w:jc w:val="both"/>
        <w:rPr>
          <w:rFonts w:ascii="Open Sans" w:eastAsia="Open Sans" w:hAnsi="Open Sans" w:cs="Open Sans"/>
        </w:rPr>
      </w:pPr>
    </w:p>
    <w:p w14:paraId="41FBA199" w14:textId="77777777" w:rsidR="003127E9" w:rsidRDefault="007428EE">
      <w:pPr>
        <w:spacing w:line="276" w:lineRule="auto"/>
        <w:rPr>
          <w:rFonts w:ascii="Open Sans Light" w:eastAsia="Open Sans Light" w:hAnsi="Open Sans Light" w:cs="Open Sans Light"/>
          <w:b/>
          <w:color w:val="303AB2"/>
          <w:sz w:val="22"/>
          <w:szCs w:val="22"/>
        </w:rPr>
      </w:pPr>
      <w:r>
        <w:rPr>
          <w:rFonts w:ascii="Open Sans Light" w:eastAsia="Open Sans Light" w:hAnsi="Open Sans Light" w:cs="Open Sans Light"/>
          <w:b/>
          <w:color w:val="303AB2"/>
          <w:sz w:val="22"/>
          <w:szCs w:val="22"/>
        </w:rPr>
        <w:t>Departamento Comunicación Fotocasa</w:t>
      </w:r>
    </w:p>
    <w:p w14:paraId="6D732FBD" w14:textId="77777777" w:rsidR="003127E9" w:rsidRDefault="007428EE">
      <w:pPr>
        <w:shd w:val="clear" w:color="auto" w:fill="FFFFFF"/>
        <w:spacing w:line="276" w:lineRule="auto"/>
        <w:rPr>
          <w:rFonts w:ascii="Open Sans" w:eastAsia="Open Sans" w:hAnsi="Open Sans" w:cs="Open Sans"/>
          <w:b/>
          <w:color w:val="000000"/>
          <w:sz w:val="22"/>
          <w:szCs w:val="22"/>
        </w:rPr>
      </w:pPr>
      <w:r>
        <w:rPr>
          <w:rFonts w:ascii="Open Sans" w:eastAsia="Open Sans" w:hAnsi="Open Sans" w:cs="Open Sans"/>
          <w:b/>
          <w:color w:val="000000"/>
          <w:sz w:val="22"/>
          <w:szCs w:val="22"/>
        </w:rPr>
        <w:t>Anaïs López</w:t>
      </w:r>
    </w:p>
    <w:p w14:paraId="76FB5899" w14:textId="77777777" w:rsidR="003127E9" w:rsidRDefault="003127E9">
      <w:pPr>
        <w:shd w:val="clear" w:color="auto" w:fill="FFFFFF"/>
        <w:spacing w:line="276" w:lineRule="auto"/>
        <w:rPr>
          <w:rFonts w:ascii="Open Sans" w:eastAsia="Open Sans" w:hAnsi="Open Sans" w:cs="Open Sans"/>
          <w:color w:val="0000FF"/>
          <w:sz w:val="22"/>
          <w:szCs w:val="22"/>
          <w:u w:val="single"/>
        </w:rPr>
      </w:pPr>
      <w:hyperlink r:id="rId22">
        <w:r>
          <w:rPr>
            <w:rFonts w:ascii="Open Sans" w:eastAsia="Open Sans" w:hAnsi="Open Sans" w:cs="Open Sans"/>
            <w:color w:val="0000FF"/>
            <w:sz w:val="22"/>
            <w:szCs w:val="22"/>
            <w:u w:val="single"/>
          </w:rPr>
          <w:t>comunicacion@fotocasa.es</w:t>
        </w:r>
      </w:hyperlink>
    </w:p>
    <w:p w14:paraId="2B588542" w14:textId="0685DC0F" w:rsidR="003127E9" w:rsidRDefault="007428EE" w:rsidP="001E42A5">
      <w:pPr>
        <w:shd w:val="clear" w:color="auto" w:fill="FFFFFF"/>
        <w:spacing w:line="276" w:lineRule="auto"/>
        <w:rPr>
          <w:rFonts w:ascii="Open Sans" w:eastAsia="Open Sans" w:hAnsi="Open Sans" w:cs="Open Sans"/>
          <w:color w:val="000000"/>
          <w:sz w:val="22"/>
          <w:szCs w:val="22"/>
        </w:rPr>
      </w:pPr>
      <w:r>
        <w:rPr>
          <w:rFonts w:ascii="Open Sans" w:eastAsia="Open Sans" w:hAnsi="Open Sans" w:cs="Open Sans"/>
          <w:color w:val="000000"/>
          <w:sz w:val="22"/>
          <w:szCs w:val="22"/>
        </w:rPr>
        <w:t>620 66 29 26</w:t>
      </w:r>
    </w:p>
    <w:sectPr w:rsidR="003127E9">
      <w:footerReference w:type="default" r:id="rId23"/>
      <w:pgSz w:w="11900" w:h="16840"/>
      <w:pgMar w:top="1417" w:right="1127"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C33AB6" w14:textId="77777777" w:rsidR="0097095B" w:rsidRDefault="0097095B">
      <w:r>
        <w:separator/>
      </w:r>
    </w:p>
  </w:endnote>
  <w:endnote w:type="continuationSeparator" w:id="0">
    <w:p w14:paraId="179B2629" w14:textId="77777777" w:rsidR="0097095B" w:rsidRDefault="00970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8C6C6CBF-C5F3-4CA1-858E-FB97413DB4F4}"/>
    <w:embedBold r:id="rId2" w:fontKey="{6A38D293-3A16-456A-A833-308CCFFFC374}"/>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3" w:fontKey="{9EAFD97C-AC8B-4F35-9ED7-4660449F13B0}"/>
    <w:embedItalic r:id="rId4" w:fontKey="{6B69A2AC-5E2C-4F83-A6E0-0E005C74BA3C}"/>
  </w:font>
  <w:font w:name="Cambria">
    <w:panose1 w:val="02040503050406030204"/>
    <w:charset w:val="00"/>
    <w:family w:val="roman"/>
    <w:pitch w:val="variable"/>
    <w:sig w:usb0="E00006FF" w:usb1="420024FF" w:usb2="02000000" w:usb3="00000000" w:csb0="0000019F" w:csb1="00000000"/>
    <w:embedRegular r:id="rId5" w:fontKey="{EB86D40A-A4B7-4B4B-B6EE-9E591CB320F8}"/>
  </w:font>
  <w:font w:name="National">
    <w:altName w:val="Calibri"/>
    <w:charset w:val="00"/>
    <w:family w:val="auto"/>
    <w:pitch w:val="default"/>
  </w:font>
  <w:font w:name="Open Sans">
    <w:charset w:val="00"/>
    <w:family w:val="swiss"/>
    <w:pitch w:val="variable"/>
    <w:sig w:usb0="E00002EF" w:usb1="4000205B" w:usb2="00000028" w:usb3="00000000" w:csb0="0000019F" w:csb1="00000000"/>
    <w:embedRegular r:id="rId6" w:fontKey="{5C2AE604-CB5C-471D-A5BA-7E6FD2418BB1}"/>
    <w:embedBold r:id="rId7" w:fontKey="{C193AF30-48D0-4EFE-A610-4B529512378D}"/>
    <w:embedBoldItalic r:id="rId8" w:fontKey="{544856B1-6DF1-4C6A-BB6F-2DFC1C7B1D8F}"/>
  </w:font>
  <w:font w:name="Open Sans Light">
    <w:charset w:val="00"/>
    <w:family w:val="swiss"/>
    <w:pitch w:val="variable"/>
    <w:sig w:usb0="E00002EF" w:usb1="4000205B" w:usb2="00000028" w:usb3="00000000" w:csb0="0000019F" w:csb1="00000000"/>
    <w:embedRegular r:id="rId9" w:fontKey="{8EEEB097-1204-4623-8E77-F8B2C3993785}"/>
    <w:embedBold r:id="rId10" w:fontKey="{F73047F6-8A6C-4CA6-987A-24EAE7CE2B7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5CF0C3" w14:textId="77777777" w:rsidR="003127E9" w:rsidRDefault="007428EE">
    <w:pPr>
      <w:pBdr>
        <w:top w:val="nil"/>
        <w:left w:val="nil"/>
        <w:bottom w:val="nil"/>
        <w:right w:val="nil"/>
        <w:between w:val="nil"/>
      </w:pBdr>
      <w:tabs>
        <w:tab w:val="center" w:pos="4252"/>
        <w:tab w:val="right" w:pos="8504"/>
      </w:tabs>
      <w:rPr>
        <w:color w:val="000000"/>
      </w:rPr>
    </w:pPr>
    <w:r>
      <w:rPr>
        <w:noProof/>
      </w:rPr>
      <w:drawing>
        <wp:anchor distT="0" distB="0" distL="0" distR="0" simplePos="0" relativeHeight="251658240" behindDoc="1" locked="0" layoutInCell="1" hidden="0" allowOverlap="1" wp14:anchorId="03B2E470" wp14:editId="00F258A2">
          <wp:simplePos x="0" y="0"/>
          <wp:positionH relativeFrom="column">
            <wp:posOffset>-1068043</wp:posOffset>
          </wp:positionH>
          <wp:positionV relativeFrom="paragraph">
            <wp:posOffset>174608</wp:posOffset>
          </wp:positionV>
          <wp:extent cx="7670550" cy="451315"/>
          <wp:effectExtent l="0" t="0" r="0" b="0"/>
          <wp:wrapNone/>
          <wp:docPr id="206681661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670550" cy="45131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8934C5" w14:textId="77777777" w:rsidR="0097095B" w:rsidRDefault="0097095B">
      <w:r>
        <w:separator/>
      </w:r>
    </w:p>
  </w:footnote>
  <w:footnote w:type="continuationSeparator" w:id="0">
    <w:p w14:paraId="3D2F72B4" w14:textId="77777777" w:rsidR="0097095B" w:rsidRDefault="009709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82051D"/>
    <w:multiLevelType w:val="multilevel"/>
    <w:tmpl w:val="A528A1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8791257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7E9"/>
    <w:rsid w:val="000104BD"/>
    <w:rsid w:val="000122F1"/>
    <w:rsid w:val="00016FD1"/>
    <w:rsid w:val="00021EF8"/>
    <w:rsid w:val="0004129E"/>
    <w:rsid w:val="00044CC2"/>
    <w:rsid w:val="00053BE2"/>
    <w:rsid w:val="0005527D"/>
    <w:rsid w:val="00066111"/>
    <w:rsid w:val="000717E0"/>
    <w:rsid w:val="000906EE"/>
    <w:rsid w:val="000B084F"/>
    <w:rsid w:val="000C685F"/>
    <w:rsid w:val="000D794B"/>
    <w:rsid w:val="000E6649"/>
    <w:rsid w:val="00125098"/>
    <w:rsid w:val="0013052B"/>
    <w:rsid w:val="00132CF8"/>
    <w:rsid w:val="00145A4C"/>
    <w:rsid w:val="00146338"/>
    <w:rsid w:val="00166980"/>
    <w:rsid w:val="0018647A"/>
    <w:rsid w:val="001B0D44"/>
    <w:rsid w:val="001B3F03"/>
    <w:rsid w:val="001B59E5"/>
    <w:rsid w:val="001E42A5"/>
    <w:rsid w:val="0021584B"/>
    <w:rsid w:val="00222992"/>
    <w:rsid w:val="00281016"/>
    <w:rsid w:val="00287CB5"/>
    <w:rsid w:val="002D4CB4"/>
    <w:rsid w:val="002E6AA2"/>
    <w:rsid w:val="00300DD4"/>
    <w:rsid w:val="003127E9"/>
    <w:rsid w:val="003253C9"/>
    <w:rsid w:val="0033529A"/>
    <w:rsid w:val="00350A3F"/>
    <w:rsid w:val="0035656E"/>
    <w:rsid w:val="00367DF3"/>
    <w:rsid w:val="003913A9"/>
    <w:rsid w:val="003B5E64"/>
    <w:rsid w:val="003C2A87"/>
    <w:rsid w:val="003C4A1E"/>
    <w:rsid w:val="003E5EF4"/>
    <w:rsid w:val="003F28D3"/>
    <w:rsid w:val="004001DD"/>
    <w:rsid w:val="00420EFD"/>
    <w:rsid w:val="00422ABF"/>
    <w:rsid w:val="0046063B"/>
    <w:rsid w:val="004B39FE"/>
    <w:rsid w:val="004C3DA1"/>
    <w:rsid w:val="004D1ED3"/>
    <w:rsid w:val="004D7510"/>
    <w:rsid w:val="004E3BBA"/>
    <w:rsid w:val="00504FA3"/>
    <w:rsid w:val="00527C2D"/>
    <w:rsid w:val="00533616"/>
    <w:rsid w:val="0057203F"/>
    <w:rsid w:val="00574A7D"/>
    <w:rsid w:val="00586E82"/>
    <w:rsid w:val="005B68F7"/>
    <w:rsid w:val="005C404E"/>
    <w:rsid w:val="005C4CF7"/>
    <w:rsid w:val="005D684E"/>
    <w:rsid w:val="005E4F39"/>
    <w:rsid w:val="005F1685"/>
    <w:rsid w:val="005F6367"/>
    <w:rsid w:val="0065202C"/>
    <w:rsid w:val="00662D5B"/>
    <w:rsid w:val="006716CC"/>
    <w:rsid w:val="006778A4"/>
    <w:rsid w:val="006A5300"/>
    <w:rsid w:val="006A6F07"/>
    <w:rsid w:val="006B2BB4"/>
    <w:rsid w:val="006F2AE9"/>
    <w:rsid w:val="0070391B"/>
    <w:rsid w:val="0071105F"/>
    <w:rsid w:val="00723911"/>
    <w:rsid w:val="007428EE"/>
    <w:rsid w:val="00795C6F"/>
    <w:rsid w:val="007965B2"/>
    <w:rsid w:val="007B5231"/>
    <w:rsid w:val="007B5319"/>
    <w:rsid w:val="007C7012"/>
    <w:rsid w:val="007C764D"/>
    <w:rsid w:val="0081759B"/>
    <w:rsid w:val="00835061"/>
    <w:rsid w:val="00860A94"/>
    <w:rsid w:val="00887440"/>
    <w:rsid w:val="008A2886"/>
    <w:rsid w:val="008A7DDA"/>
    <w:rsid w:val="008B2025"/>
    <w:rsid w:val="008B60F7"/>
    <w:rsid w:val="008D4564"/>
    <w:rsid w:val="00907687"/>
    <w:rsid w:val="00914466"/>
    <w:rsid w:val="00943B90"/>
    <w:rsid w:val="00952B0A"/>
    <w:rsid w:val="0097095B"/>
    <w:rsid w:val="00977E44"/>
    <w:rsid w:val="0098487A"/>
    <w:rsid w:val="00985517"/>
    <w:rsid w:val="009B405F"/>
    <w:rsid w:val="00A005A9"/>
    <w:rsid w:val="00A029DC"/>
    <w:rsid w:val="00A07F88"/>
    <w:rsid w:val="00A52937"/>
    <w:rsid w:val="00A6434C"/>
    <w:rsid w:val="00A76E98"/>
    <w:rsid w:val="00A8090E"/>
    <w:rsid w:val="00A8226D"/>
    <w:rsid w:val="00AB1B1C"/>
    <w:rsid w:val="00AB7D64"/>
    <w:rsid w:val="00B478A0"/>
    <w:rsid w:val="00B629B4"/>
    <w:rsid w:val="00B66EF9"/>
    <w:rsid w:val="00B800CA"/>
    <w:rsid w:val="00B87B00"/>
    <w:rsid w:val="00BA7EB3"/>
    <w:rsid w:val="00BE2492"/>
    <w:rsid w:val="00C076A1"/>
    <w:rsid w:val="00C179B7"/>
    <w:rsid w:val="00C73BB9"/>
    <w:rsid w:val="00CD38BA"/>
    <w:rsid w:val="00CD5100"/>
    <w:rsid w:val="00D33C04"/>
    <w:rsid w:val="00D468FD"/>
    <w:rsid w:val="00D5576D"/>
    <w:rsid w:val="00D9267B"/>
    <w:rsid w:val="00DC2CBA"/>
    <w:rsid w:val="00DC5750"/>
    <w:rsid w:val="00DD3E6B"/>
    <w:rsid w:val="00DD7B91"/>
    <w:rsid w:val="00DF4169"/>
    <w:rsid w:val="00E05CF4"/>
    <w:rsid w:val="00E10841"/>
    <w:rsid w:val="00E76088"/>
    <w:rsid w:val="00E95605"/>
    <w:rsid w:val="00EA71D7"/>
    <w:rsid w:val="00EB0B25"/>
    <w:rsid w:val="00EF0959"/>
    <w:rsid w:val="00EF5CBB"/>
    <w:rsid w:val="00EF5DD5"/>
    <w:rsid w:val="00F13EBD"/>
    <w:rsid w:val="00F16B99"/>
    <w:rsid w:val="00F173B1"/>
    <w:rsid w:val="00F30AF1"/>
    <w:rsid w:val="00F34C11"/>
    <w:rsid w:val="00F47F39"/>
    <w:rsid w:val="00FB50AB"/>
    <w:rsid w:val="00FB7701"/>
    <w:rsid w:val="00FE0A88"/>
    <w:rsid w:val="00FF6F7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F3D7F"/>
  <w15:docId w15:val="{6244F7A3-FF69-45B6-B388-4C83E7399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23">
    <w:name w:val="Table Normal23"/>
    <w:tblPr>
      <w:tblCellMar>
        <w:top w:w="0" w:type="dxa"/>
        <w:left w:w="0" w:type="dxa"/>
        <w:bottom w:w="0" w:type="dxa"/>
        <w:right w:w="0" w:type="dxa"/>
      </w:tblCellMar>
    </w:tblPr>
  </w:style>
  <w:style w:type="table" w:customStyle="1" w:styleId="TableNormal22">
    <w:name w:val="Table Normal22"/>
    <w:tblPr>
      <w:tblCellMar>
        <w:top w:w="0" w:type="dxa"/>
        <w:left w:w="0" w:type="dxa"/>
        <w:bottom w:w="0" w:type="dxa"/>
        <w:right w:w="0" w:type="dxa"/>
      </w:tblCellMar>
    </w:tblPr>
  </w:style>
  <w:style w:type="table" w:customStyle="1" w:styleId="TableNormal21">
    <w:name w:val="Table Normal21"/>
    <w:tblPr>
      <w:tblCellMar>
        <w:top w:w="0" w:type="dxa"/>
        <w:left w:w="0" w:type="dxa"/>
        <w:bottom w:w="0" w:type="dxa"/>
        <w:right w:w="0" w:type="dxa"/>
      </w:tblCellMar>
    </w:tblPr>
  </w:style>
  <w:style w:type="table" w:customStyle="1" w:styleId="TableNormal20">
    <w:name w:val="Table Normal20"/>
    <w:tblPr>
      <w:tblCellMar>
        <w:top w:w="0" w:type="dxa"/>
        <w:left w:w="0" w:type="dxa"/>
        <w:bottom w:w="0" w:type="dxa"/>
        <w:right w:w="0" w:type="dxa"/>
      </w:tblCellMar>
    </w:tblPr>
  </w:style>
  <w:style w:type="table" w:customStyle="1" w:styleId="TableNormal19">
    <w:name w:val="Table Normal19"/>
    <w:tblPr>
      <w:tblCellMar>
        <w:top w:w="0" w:type="dxa"/>
        <w:left w:w="0" w:type="dxa"/>
        <w:bottom w:w="0" w:type="dxa"/>
        <w:right w:w="0" w:type="dxa"/>
      </w:tblCellMar>
    </w:tblPr>
  </w:style>
  <w:style w:type="table" w:customStyle="1" w:styleId="TableNormal18">
    <w:name w:val="Table Normal18"/>
    <w:tblPr>
      <w:tblCellMar>
        <w:top w:w="0" w:type="dxa"/>
        <w:left w:w="0" w:type="dxa"/>
        <w:bottom w:w="0" w:type="dxa"/>
        <w:right w:w="0" w:type="dxa"/>
      </w:tblCellMar>
    </w:tblPr>
  </w:style>
  <w:style w:type="table" w:customStyle="1" w:styleId="TableNormal17">
    <w:name w:val="Table Normal17"/>
    <w:tblPr>
      <w:tblCellMar>
        <w:top w:w="0" w:type="dxa"/>
        <w:left w:w="0" w:type="dxa"/>
        <w:bottom w:w="0" w:type="dxa"/>
        <w:right w:w="0" w:type="dxa"/>
      </w:tblCellMar>
    </w:tblPr>
  </w:style>
  <w:style w:type="table" w:customStyle="1" w:styleId="TableNormal16">
    <w:name w:val="Table Normal16"/>
    <w:tblPr>
      <w:tblCellMar>
        <w:top w:w="0" w:type="dxa"/>
        <w:left w:w="0" w:type="dxa"/>
        <w:bottom w:w="0" w:type="dxa"/>
        <w:right w:w="0" w:type="dxa"/>
      </w:tblCellMar>
    </w:tblPr>
  </w:style>
  <w:style w:type="table" w:customStyle="1" w:styleId="TableNormal15">
    <w:name w:val="Table Normal15"/>
    <w:tblPr>
      <w:tblCellMar>
        <w:top w:w="0" w:type="dxa"/>
        <w:left w:w="0" w:type="dxa"/>
        <w:bottom w:w="0" w:type="dxa"/>
        <w:right w:w="0" w:type="dxa"/>
      </w:tblCellMar>
    </w:tblPr>
  </w:style>
  <w:style w:type="table" w:customStyle="1" w:styleId="TableNormal14">
    <w:name w:val="Table Normal14"/>
    <w:tblPr>
      <w:tblCellMar>
        <w:top w:w="0" w:type="dxa"/>
        <w:left w:w="0" w:type="dxa"/>
        <w:bottom w:w="0" w:type="dxa"/>
        <w:right w:w="0" w:type="dxa"/>
      </w:tblCellMar>
    </w:tblPr>
  </w:style>
  <w:style w:type="table" w:customStyle="1" w:styleId="TableNormal13">
    <w:name w:val="Table Normal13"/>
    <w:tblPr>
      <w:tblCellMar>
        <w:top w:w="0" w:type="dxa"/>
        <w:left w:w="0" w:type="dxa"/>
        <w:bottom w:w="0" w:type="dxa"/>
        <w:right w:w="0" w:type="dxa"/>
      </w:tblCellMar>
    </w:tblPr>
  </w:style>
  <w:style w:type="table" w:customStyle="1" w:styleId="TableNormal12">
    <w:name w:val="Table Normal12"/>
    <w:tblPr>
      <w:tblCellMar>
        <w:top w:w="0" w:type="dxa"/>
        <w:left w:w="0" w:type="dxa"/>
        <w:bottom w:w="0" w:type="dxa"/>
        <w:right w:w="0" w:type="dxa"/>
      </w:tblCellMar>
    </w:tblPr>
  </w:style>
  <w:style w:type="table" w:customStyle="1" w:styleId="TableNormal11">
    <w:name w:val="Table Normal11"/>
    <w:tblPr>
      <w:tblCellMar>
        <w:top w:w="0" w:type="dxa"/>
        <w:left w:w="0" w:type="dxa"/>
        <w:bottom w:w="0" w:type="dxa"/>
        <w:right w:w="0" w:type="dxa"/>
      </w:tblCellMar>
    </w:tblPr>
  </w:style>
  <w:style w:type="table" w:customStyle="1" w:styleId="TableNormal10">
    <w:name w:val="Table Normal10"/>
    <w:tblPr>
      <w:tblCellMar>
        <w:top w:w="0" w:type="dxa"/>
        <w:left w:w="0" w:type="dxa"/>
        <w:bottom w:w="0" w:type="dxa"/>
        <w:right w:w="0" w:type="dxa"/>
      </w:tblCellMar>
    </w:tblPr>
  </w:style>
  <w:style w:type="table" w:customStyle="1" w:styleId="TableNormal9">
    <w:name w:val="Table Normal9"/>
    <w:tblPr>
      <w:tblCellMar>
        <w:top w:w="0" w:type="dxa"/>
        <w:left w:w="0" w:type="dxa"/>
        <w:bottom w:w="0" w:type="dxa"/>
        <w:right w:w="0" w:type="dxa"/>
      </w:tblCellMar>
    </w:tblPr>
  </w:style>
  <w:style w:type="table" w:customStyle="1" w:styleId="TableNormal8">
    <w:name w:val="Table Normal8"/>
    <w:tblPr>
      <w:tblCellMar>
        <w:top w:w="0" w:type="dxa"/>
        <w:left w:w="0" w:type="dxa"/>
        <w:bottom w:w="0" w:type="dxa"/>
        <w:right w:w="0" w:type="dxa"/>
      </w:tblCellMar>
    </w:tblPr>
  </w:style>
  <w:style w:type="table" w:customStyle="1" w:styleId="TableNormal7">
    <w:name w:val="Table Normal7"/>
    <w:tblPr>
      <w:tblCellMar>
        <w:top w:w="0" w:type="dxa"/>
        <w:left w:w="0" w:type="dxa"/>
        <w:bottom w:w="0" w:type="dxa"/>
        <w:right w:w="0" w:type="dxa"/>
      </w:tblCellMar>
    </w:tblPr>
  </w:style>
  <w:style w:type="table" w:customStyle="1" w:styleId="TableNormal6">
    <w:name w:val="Table Normal6"/>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1a">
    <w:name w:val="Table Normal1"/>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5">
    <w:name w:val="5"/>
    <w:basedOn w:val="TableNormal1a"/>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table" w:customStyle="1" w:styleId="4">
    <w:name w:val="4"/>
    <w:basedOn w:val="TableNormal1a"/>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character" w:styleId="Hipervnculo">
    <w:name w:val="Hyperlink"/>
    <w:basedOn w:val="Fuentedeprrafopredeter"/>
    <w:uiPriority w:val="99"/>
    <w:unhideWhenUsed/>
    <w:rsid w:val="00FE7DB6"/>
    <w:rPr>
      <w:color w:val="0000FF" w:themeColor="hyperlink"/>
      <w:u w:val="single"/>
    </w:rPr>
  </w:style>
  <w:style w:type="character" w:styleId="Mencinsinresolver">
    <w:name w:val="Unresolved Mention"/>
    <w:basedOn w:val="Fuentedeprrafopredeter"/>
    <w:uiPriority w:val="99"/>
    <w:semiHidden/>
    <w:unhideWhenUsed/>
    <w:rsid w:val="00FE7DB6"/>
    <w:rPr>
      <w:color w:val="605E5C"/>
      <w:shd w:val="clear" w:color="auto" w:fill="E1DFDD"/>
    </w:rPr>
  </w:style>
  <w:style w:type="paragraph" w:styleId="NormalWeb">
    <w:name w:val="Normal (Web)"/>
    <w:basedOn w:val="Normal"/>
    <w:uiPriority w:val="99"/>
    <w:unhideWhenUsed/>
    <w:rsid w:val="003D48F5"/>
    <w:pPr>
      <w:spacing w:before="100" w:beforeAutospacing="1" w:after="100" w:afterAutospacing="1"/>
    </w:pPr>
    <w:rPr>
      <w:rFonts w:ascii="Times New Roman" w:eastAsia="Times New Roman" w:hAnsi="Times New Roman" w:cs="Times New Roman"/>
      <w:lang w:val="es-ES"/>
    </w:rPr>
  </w:style>
  <w:style w:type="paragraph" w:styleId="Textocomentario">
    <w:name w:val="annotation text"/>
    <w:basedOn w:val="Normal"/>
    <w:link w:val="TextocomentarioCar"/>
    <w:uiPriority w:val="99"/>
    <w:unhideWhenUsed/>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character" w:customStyle="1" w:styleId="normaltextrun">
    <w:name w:val="normaltextrun"/>
    <w:basedOn w:val="Fuentedeprrafopredeter"/>
    <w:rsid w:val="00A35D58"/>
  </w:style>
  <w:style w:type="table" w:styleId="Tablaconcuadrcula">
    <w:name w:val="Table Grid"/>
    <w:basedOn w:val="Tablanormal"/>
    <w:uiPriority w:val="39"/>
    <w:rsid w:val="00A35D58"/>
    <w:rPr>
      <w:rFonts w:asciiTheme="minorHAnsi" w:eastAsiaTheme="minorHAnsi" w:hAnsiTheme="minorHAnsi" w:cstheme="minorBidi"/>
      <w:kern w:val="2"/>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3"/>
    <w:basedOn w:val="TableNormal4"/>
    <w:rPr>
      <w:rFonts w:ascii="Cambria" w:eastAsia="Cambria" w:hAnsi="Cambria" w:cs="Cambria"/>
      <w:sz w:val="22"/>
      <w:szCs w:val="22"/>
    </w:rPr>
    <w:tblPr>
      <w:tblStyleRowBandSize w:val="1"/>
      <w:tblStyleColBandSize w:val="1"/>
      <w:tblCellMar>
        <w:left w:w="108" w:type="dxa"/>
        <w:right w:w="108" w:type="dxa"/>
      </w:tblCellMar>
    </w:tblPr>
  </w:style>
  <w:style w:type="table" w:customStyle="1" w:styleId="2">
    <w:name w:val="2"/>
    <w:basedOn w:val="TableNormal4"/>
    <w:rPr>
      <w:rFonts w:ascii="Cambria" w:eastAsia="Cambria" w:hAnsi="Cambria" w:cs="Cambria"/>
      <w:sz w:val="22"/>
      <w:szCs w:val="22"/>
    </w:rPr>
    <w:tblPr>
      <w:tblStyleRowBandSize w:val="1"/>
      <w:tblStyleColBandSize w:val="1"/>
      <w:tblCellMar>
        <w:left w:w="108" w:type="dxa"/>
        <w:right w:w="108" w:type="dxa"/>
      </w:tblCellMar>
    </w:tblPr>
  </w:style>
  <w:style w:type="paragraph" w:styleId="Asuntodelcomentario">
    <w:name w:val="annotation subject"/>
    <w:basedOn w:val="Textocomentario"/>
    <w:next w:val="Textocomentario"/>
    <w:link w:val="AsuntodelcomentarioCar"/>
    <w:uiPriority w:val="99"/>
    <w:semiHidden/>
    <w:unhideWhenUsed/>
    <w:rsid w:val="00534008"/>
    <w:rPr>
      <w:b/>
      <w:bCs/>
    </w:rPr>
  </w:style>
  <w:style w:type="character" w:customStyle="1" w:styleId="AsuntodelcomentarioCar">
    <w:name w:val="Asunto del comentario Car"/>
    <w:basedOn w:val="TextocomentarioCar"/>
    <w:link w:val="Asuntodelcomentario"/>
    <w:uiPriority w:val="99"/>
    <w:semiHidden/>
    <w:rsid w:val="00534008"/>
    <w:rPr>
      <w:b/>
      <w:bCs/>
      <w:sz w:val="20"/>
      <w:szCs w:val="20"/>
    </w:rPr>
  </w:style>
  <w:style w:type="paragraph" w:styleId="Prrafodelista">
    <w:name w:val="List Paragraph"/>
    <w:basedOn w:val="Normal"/>
    <w:uiPriority w:val="34"/>
    <w:qFormat/>
    <w:rsid w:val="004C3974"/>
    <w:pPr>
      <w:ind w:left="720"/>
      <w:contextualSpacing/>
    </w:pPr>
  </w:style>
  <w:style w:type="character" w:styleId="Referenciaintensa">
    <w:name w:val="Intense Reference"/>
    <w:basedOn w:val="Fuentedeprrafopredeter"/>
    <w:uiPriority w:val="32"/>
    <w:qFormat/>
    <w:rsid w:val="00A775CB"/>
    <w:rPr>
      <w:b/>
      <w:bCs/>
      <w:smallCaps/>
      <w:color w:val="365F91" w:themeColor="accent1" w:themeShade="BF"/>
      <w:spacing w:val="5"/>
    </w:rPr>
  </w:style>
  <w:style w:type="table" w:customStyle="1" w:styleId="1">
    <w:name w:val="1"/>
    <w:basedOn w:val="TableNormal15"/>
    <w:tblPr>
      <w:tblStyleRowBandSize w:val="1"/>
      <w:tblStyleColBandSize w:val="1"/>
      <w:tblCellMar>
        <w:left w:w="108" w:type="dxa"/>
        <w:right w:w="108" w:type="dxa"/>
      </w:tblCellMar>
    </w:tblPr>
    <w:tblStylePr w:type="firstRow">
      <w:rPr>
        <w:b/>
        <w:color w:val="FFFFFF"/>
      </w:rPr>
      <w:tblPr/>
      <w:tcPr>
        <w:tcBorders>
          <w:top w:val="single" w:sz="4" w:space="0" w:color="39D9CD"/>
          <w:left w:val="single" w:sz="4" w:space="0" w:color="39D9CD"/>
          <w:bottom w:val="single" w:sz="4" w:space="0" w:color="39D9CD"/>
          <w:right w:val="single" w:sz="4" w:space="0" w:color="39D9CD"/>
          <w:insideH w:val="nil"/>
          <w:insideV w:val="nil"/>
        </w:tcBorders>
        <w:shd w:val="clear" w:color="auto" w:fill="39D9CD"/>
      </w:tcPr>
    </w:tblStylePr>
    <w:tblStylePr w:type="lastRow">
      <w:rPr>
        <w:b/>
      </w:rPr>
      <w:tblPr/>
      <w:tcPr>
        <w:tcBorders>
          <w:top w:val="single" w:sz="4" w:space="0" w:color="39D9CD"/>
        </w:tcBorders>
      </w:tcPr>
    </w:tblStylePr>
    <w:tblStylePr w:type="firstCol">
      <w:rPr>
        <w:b/>
      </w:rPr>
    </w:tblStylePr>
    <w:tblStylePr w:type="lastCol">
      <w:rPr>
        <w:b/>
      </w:rPr>
    </w:tblStylePr>
    <w:tblStylePr w:type="band1Vert">
      <w:tblPr/>
      <w:tcPr>
        <w:shd w:val="clear" w:color="auto" w:fill="D7F7F4"/>
      </w:tcPr>
    </w:tblStylePr>
    <w:tblStylePr w:type="band1Horz">
      <w:tblPr/>
      <w:tcPr>
        <w:shd w:val="clear" w:color="auto" w:fill="D7F7F4"/>
      </w:tcPr>
    </w:tblStylePr>
  </w:style>
  <w:style w:type="character" w:styleId="Hipervnculovisitado">
    <w:name w:val="FollowedHyperlink"/>
    <w:basedOn w:val="Fuentedeprrafopredeter"/>
    <w:uiPriority w:val="99"/>
    <w:semiHidden/>
    <w:unhideWhenUsed/>
    <w:rsid w:val="009B09EE"/>
    <w:rPr>
      <w:color w:val="800080" w:themeColor="followedHyperlink"/>
      <w:u w:val="single"/>
    </w:rPr>
  </w:style>
  <w:style w:type="table" w:styleId="Tablaconcuadrcula5oscura-nfasis1">
    <w:name w:val="Grid Table 5 Dark Accent 1"/>
    <w:basedOn w:val="Tablanormal"/>
    <w:uiPriority w:val="50"/>
    <w:rsid w:val="00B7768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Tablaconcuadrcula5oscura-nfasis5">
    <w:name w:val="Grid Table 5 Dark Accent 5"/>
    <w:basedOn w:val="Tablanormal"/>
    <w:uiPriority w:val="50"/>
    <w:rsid w:val="002827A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305489">
      <w:bodyDiv w:val="1"/>
      <w:marLeft w:val="0"/>
      <w:marRight w:val="0"/>
      <w:marTop w:val="0"/>
      <w:marBottom w:val="0"/>
      <w:divBdr>
        <w:top w:val="none" w:sz="0" w:space="0" w:color="auto"/>
        <w:left w:val="none" w:sz="0" w:space="0" w:color="auto"/>
        <w:bottom w:val="none" w:sz="0" w:space="0" w:color="auto"/>
        <w:right w:val="none" w:sz="0" w:space="0" w:color="auto"/>
      </w:divBdr>
    </w:div>
    <w:div w:id="642195772">
      <w:bodyDiv w:val="1"/>
      <w:marLeft w:val="0"/>
      <w:marRight w:val="0"/>
      <w:marTop w:val="0"/>
      <w:marBottom w:val="0"/>
      <w:divBdr>
        <w:top w:val="none" w:sz="0" w:space="0" w:color="auto"/>
        <w:left w:val="none" w:sz="0" w:space="0" w:color="auto"/>
        <w:bottom w:val="none" w:sz="0" w:space="0" w:color="auto"/>
        <w:right w:val="none" w:sz="0" w:space="0" w:color="auto"/>
      </w:divBdr>
    </w:div>
    <w:div w:id="19525452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s://www.infojobs.net/" TargetMode="External"/><Relationship Id="rId3" Type="http://schemas.openxmlformats.org/officeDocument/2006/relationships/styles" Target="styles.xml"/><Relationship Id="rId21" Type="http://schemas.openxmlformats.org/officeDocument/2006/relationships/hyperlink" Target="http://adevinta.es"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habitaclia.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fotocasa.es/es/" TargetMode="External"/><Relationship Id="rId20" Type="http://schemas.openxmlformats.org/officeDocument/2006/relationships/hyperlink" Target="https://motos.coches.ne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rensa.fotocasa.es" TargetMode="External"/><Relationship Id="rId23" Type="http://schemas.openxmlformats.org/officeDocument/2006/relationships/footer" Target="footer1.xml"/><Relationship Id="rId10" Type="http://schemas.openxmlformats.org/officeDocument/2006/relationships/hyperlink" Target="https://research.fotocasa.es/" TargetMode="External"/><Relationship Id="rId19" Type="http://schemas.openxmlformats.org/officeDocument/2006/relationships/hyperlink" Target="https://www.coches.net/" TargetMode="External"/><Relationship Id="rId4" Type="http://schemas.openxmlformats.org/officeDocument/2006/relationships/settings" Target="settings.xml"/><Relationship Id="rId9" Type="http://schemas.openxmlformats.org/officeDocument/2006/relationships/hyperlink" Target="https://s36360.pcdn.co/wp-content/uploads/2025/05/Informe-Radiografia-del-mercado-de-la-vivienda-en-2025.pdf" TargetMode="External"/><Relationship Id="rId14" Type="http://schemas.openxmlformats.org/officeDocument/2006/relationships/hyperlink" Target="https://www.fotocasa.es/indice/" TargetMode="External"/><Relationship Id="rId22" Type="http://schemas.openxmlformats.org/officeDocument/2006/relationships/hyperlink" Target="mailto:comunicacion@fotocasa.e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zc2ZFnoCsAoVhBLz8LnUm299Pw==">CgMxLjAyCWguMnM4ZXlvMTgAciExbXRIZWxZNk9vVExSRFhJbjdiVkhHOHAzWmRBWVVPczQ=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1601</TotalTime>
  <Pages>5</Pages>
  <Words>904</Words>
  <Characters>4977</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Ramon Torne</dc:creator>
  <cp:keywords/>
  <dc:description/>
  <cp:lastModifiedBy>Anaïs López García</cp:lastModifiedBy>
  <cp:revision>35</cp:revision>
  <dcterms:created xsi:type="dcterms:W3CDTF">2024-02-06T13:46:00Z</dcterms:created>
  <dcterms:modified xsi:type="dcterms:W3CDTF">2025-06-20T10:39:00Z</dcterms:modified>
</cp:coreProperties>
</file>