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F24F3" w14:textId="77777777" w:rsidR="00180955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AB42A6A" wp14:editId="6CCC1FD6">
            <wp:simplePos x="0" y="0"/>
            <wp:positionH relativeFrom="column">
              <wp:posOffset>-1080121</wp:posOffset>
            </wp:positionH>
            <wp:positionV relativeFrom="paragraph">
              <wp:posOffset>-654672</wp:posOffset>
            </wp:positionV>
            <wp:extent cx="7581265" cy="1019175"/>
            <wp:effectExtent l="0" t="0" r="0" b="0"/>
            <wp:wrapNone/>
            <wp:docPr id="20668166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09715E" w14:textId="77777777" w:rsidR="00180955" w:rsidRDefault="00180955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304EFCFD" w14:textId="77777777" w:rsidR="00180955" w:rsidRDefault="00180955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2265B38F" w14:textId="77777777" w:rsidR="00646277" w:rsidRDefault="00646277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</w:rPr>
      </w:pPr>
    </w:p>
    <w:p w14:paraId="614C4795" w14:textId="0C73BF87" w:rsidR="00180955" w:rsidRDefault="00000000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</w:rPr>
      </w:pPr>
      <w:r>
        <w:rPr>
          <w:rFonts w:ascii="National" w:eastAsia="National" w:hAnsi="National" w:cs="National"/>
          <w:b/>
          <w:color w:val="1DBDC5"/>
          <w:sz w:val="30"/>
          <w:szCs w:val="30"/>
        </w:rPr>
        <w:t xml:space="preserve">RADIOGRAFÍA DEL MERCADO DE LA VIVIENDA EN </w:t>
      </w:r>
      <w:r w:rsidR="0025158B">
        <w:rPr>
          <w:rFonts w:ascii="National" w:eastAsia="National" w:hAnsi="National" w:cs="National"/>
          <w:b/>
          <w:color w:val="1DBDC5"/>
          <w:sz w:val="30"/>
          <w:szCs w:val="30"/>
        </w:rPr>
        <w:t>ANDALUCÍA</w:t>
      </w:r>
    </w:p>
    <w:p w14:paraId="0E9924AF" w14:textId="63DEE485" w:rsidR="00646277" w:rsidRDefault="001A68F8">
      <w:pPr>
        <w:jc w:val="center"/>
        <w:rPr>
          <w:rFonts w:ascii="National" w:eastAsia="National" w:hAnsi="National" w:cs="National"/>
          <w:b/>
          <w:color w:val="303AB2"/>
          <w:sz w:val="52"/>
          <w:szCs w:val="52"/>
        </w:rPr>
      </w:pPr>
      <w:r>
        <w:rPr>
          <w:rFonts w:ascii="National" w:eastAsia="National" w:hAnsi="National" w:cs="National"/>
          <w:b/>
          <w:color w:val="303AB2"/>
          <w:sz w:val="52"/>
          <w:szCs w:val="52"/>
        </w:rPr>
        <w:t>La oferta de vivienda de compra en el mercado andaluz se ha reducido a la mitad en tres años</w:t>
      </w:r>
    </w:p>
    <w:p w14:paraId="6F495170" w14:textId="77777777" w:rsidR="006E025A" w:rsidRDefault="006E025A">
      <w:pPr>
        <w:jc w:val="center"/>
        <w:rPr>
          <w:rFonts w:ascii="Open Sans" w:eastAsia="Open Sans" w:hAnsi="Open Sans" w:cs="Open Sans"/>
          <w:color w:val="303AB2"/>
        </w:rPr>
      </w:pPr>
    </w:p>
    <w:p w14:paraId="5A491A2B" w14:textId="3D3D42F1" w:rsidR="006E025A" w:rsidRDefault="006E025A">
      <w:pPr>
        <w:numPr>
          <w:ilvl w:val="0"/>
          <w:numId w:val="1"/>
        </w:numP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La descompensación entre oferta y demanda se reproduce tanto en el segmento de la compraventa como del alquiler y se acrecienta en ambos mercados</w:t>
      </w:r>
    </w:p>
    <w:p w14:paraId="71452A56" w14:textId="24E402B8" w:rsidR="00BF0263" w:rsidRPr="006E025A" w:rsidRDefault="00BF0263">
      <w:pPr>
        <w:numPr>
          <w:ilvl w:val="0"/>
          <w:numId w:val="1"/>
        </w:numP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6E025A">
        <w:rPr>
          <w:rFonts w:ascii="Open Sans Light" w:eastAsia="Open Sans Light" w:hAnsi="Open Sans Light" w:cs="Open Sans Light"/>
          <w:b/>
          <w:color w:val="303AB2"/>
        </w:rPr>
        <w:t>Un 2</w:t>
      </w:r>
      <w:r w:rsidR="006E025A" w:rsidRPr="006E025A">
        <w:rPr>
          <w:rFonts w:ascii="Open Sans Light" w:eastAsia="Open Sans Light" w:hAnsi="Open Sans Light" w:cs="Open Sans Light"/>
          <w:b/>
          <w:color w:val="303AB2"/>
        </w:rPr>
        <w:t>7</w:t>
      </w:r>
      <w:r w:rsidRPr="006E025A">
        <w:rPr>
          <w:rFonts w:ascii="Open Sans Light" w:eastAsia="Open Sans Light" w:hAnsi="Open Sans Light" w:cs="Open Sans Light"/>
          <w:b/>
          <w:color w:val="303AB2"/>
        </w:rPr>
        <w:t xml:space="preserve">% de </w:t>
      </w:r>
      <w:r w:rsidR="0025158B" w:rsidRPr="006E025A">
        <w:rPr>
          <w:rFonts w:ascii="Open Sans Light" w:eastAsia="Open Sans Light" w:hAnsi="Open Sans Light" w:cs="Open Sans Light"/>
          <w:b/>
          <w:color w:val="303AB2"/>
        </w:rPr>
        <w:t>andaluces</w:t>
      </w:r>
      <w:r w:rsidRPr="006E025A">
        <w:rPr>
          <w:rFonts w:ascii="Open Sans Light" w:eastAsia="Open Sans Light" w:hAnsi="Open Sans Light" w:cs="Open Sans Light"/>
          <w:b/>
          <w:color w:val="303AB2"/>
        </w:rPr>
        <w:t xml:space="preserve"> ha participado en el mercado inmobiliario en el último año, un porcentaje que se encuentra </w:t>
      </w:r>
      <w:r w:rsidR="006E025A">
        <w:rPr>
          <w:rFonts w:ascii="Open Sans Light" w:eastAsia="Open Sans Light" w:hAnsi="Open Sans Light" w:cs="Open Sans Light"/>
          <w:b/>
          <w:color w:val="303AB2"/>
        </w:rPr>
        <w:t>un</w:t>
      </w:r>
      <w:r w:rsidR="00B12FD8" w:rsidRPr="006E025A">
        <w:rPr>
          <w:rFonts w:ascii="Open Sans Light" w:eastAsia="Open Sans Light" w:hAnsi="Open Sans Light" w:cs="Open Sans Light"/>
          <w:b/>
          <w:color w:val="303AB2"/>
        </w:rPr>
        <w:t xml:space="preserve"> punto por </w:t>
      </w:r>
      <w:r w:rsidR="006E025A">
        <w:rPr>
          <w:rFonts w:ascii="Open Sans Light" w:eastAsia="Open Sans Light" w:hAnsi="Open Sans Light" w:cs="Open Sans Light"/>
          <w:b/>
          <w:color w:val="303AB2"/>
        </w:rPr>
        <w:t>encima</w:t>
      </w:r>
      <w:r w:rsidRPr="006E025A">
        <w:rPr>
          <w:rFonts w:ascii="Open Sans Light" w:eastAsia="Open Sans Light" w:hAnsi="Open Sans Light" w:cs="Open Sans Light"/>
          <w:b/>
          <w:color w:val="303AB2"/>
        </w:rPr>
        <w:t xml:space="preserve"> de la media nacional (2</w:t>
      </w:r>
      <w:r w:rsidR="006E025A">
        <w:rPr>
          <w:rFonts w:ascii="Open Sans Light" w:eastAsia="Open Sans Light" w:hAnsi="Open Sans Light" w:cs="Open Sans Light"/>
          <w:b/>
          <w:color w:val="303AB2"/>
        </w:rPr>
        <w:t>6</w:t>
      </w:r>
      <w:r w:rsidRPr="006E025A">
        <w:rPr>
          <w:rFonts w:ascii="Open Sans Light" w:eastAsia="Open Sans Light" w:hAnsi="Open Sans Light" w:cs="Open Sans Light"/>
          <w:b/>
          <w:color w:val="303AB2"/>
        </w:rPr>
        <w:t>%)</w:t>
      </w:r>
    </w:p>
    <w:p w14:paraId="76E36CEE" w14:textId="4C3CFF47" w:rsidR="003F1673" w:rsidRPr="006E025A" w:rsidRDefault="0025158B" w:rsidP="0059394A">
      <w:pPr>
        <w:numPr>
          <w:ilvl w:val="0"/>
          <w:numId w:val="1"/>
        </w:numP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 w:rsidRPr="006E025A">
        <w:rPr>
          <w:rFonts w:ascii="Open Sans Light" w:eastAsia="Open Sans Light" w:hAnsi="Open Sans Light" w:cs="Open Sans Light"/>
          <w:b/>
          <w:color w:val="303AB2"/>
        </w:rPr>
        <w:t>Andalucía</w:t>
      </w:r>
      <w:r w:rsidR="003C2CC2" w:rsidRPr="006E025A">
        <w:rPr>
          <w:rFonts w:ascii="Open Sans Light" w:eastAsia="Open Sans Light" w:hAnsi="Open Sans Light" w:cs="Open Sans Light"/>
          <w:b/>
          <w:color w:val="303AB2"/>
        </w:rPr>
        <w:t xml:space="preserve"> tiene</w:t>
      </w:r>
      <w:r w:rsidR="00BF0263" w:rsidRPr="006E025A">
        <w:rPr>
          <w:rFonts w:ascii="Open Sans Light" w:eastAsia="Open Sans Light" w:hAnsi="Open Sans Light" w:cs="Open Sans Light"/>
          <w:b/>
          <w:color w:val="303AB2"/>
        </w:rPr>
        <w:t xml:space="preserve"> </w:t>
      </w:r>
      <w:r w:rsidR="006E025A">
        <w:rPr>
          <w:rFonts w:ascii="Open Sans Light" w:eastAsia="Open Sans Light" w:hAnsi="Open Sans Light" w:cs="Open Sans Light"/>
          <w:b/>
          <w:color w:val="303AB2"/>
        </w:rPr>
        <w:t xml:space="preserve">actualmente </w:t>
      </w:r>
      <w:r w:rsidR="00BF0263" w:rsidRPr="006E025A">
        <w:rPr>
          <w:rFonts w:ascii="Open Sans Light" w:eastAsia="Open Sans Light" w:hAnsi="Open Sans Light" w:cs="Open Sans Light"/>
          <w:b/>
          <w:color w:val="303AB2"/>
        </w:rPr>
        <w:t xml:space="preserve">un mercado </w:t>
      </w:r>
      <w:r w:rsidR="003C2CC2" w:rsidRPr="006E025A">
        <w:rPr>
          <w:rFonts w:ascii="Open Sans Light" w:eastAsia="Open Sans Light" w:hAnsi="Open Sans Light" w:cs="Open Sans Light"/>
          <w:b/>
          <w:color w:val="303AB2"/>
        </w:rPr>
        <w:t>con un</w:t>
      </w:r>
      <w:r w:rsidR="00102A9B" w:rsidRPr="006E025A">
        <w:rPr>
          <w:rFonts w:ascii="Open Sans Light" w:eastAsia="Open Sans Light" w:hAnsi="Open Sans Light" w:cs="Open Sans Light"/>
          <w:b/>
          <w:color w:val="303AB2"/>
        </w:rPr>
        <w:t>a</w:t>
      </w:r>
      <w:r w:rsidR="003C2CC2" w:rsidRPr="006E025A">
        <w:rPr>
          <w:rFonts w:ascii="Open Sans Light" w:eastAsia="Open Sans Light" w:hAnsi="Open Sans Light" w:cs="Open Sans Light"/>
          <w:b/>
          <w:color w:val="303AB2"/>
        </w:rPr>
        <w:t xml:space="preserve"> </w:t>
      </w:r>
      <w:r w:rsidR="006E025A">
        <w:rPr>
          <w:rFonts w:ascii="Open Sans Light" w:eastAsia="Open Sans Light" w:hAnsi="Open Sans Light" w:cs="Open Sans Light"/>
          <w:b/>
          <w:color w:val="303AB2"/>
        </w:rPr>
        <w:t>idéntica</w:t>
      </w:r>
      <w:r w:rsidR="003C2CC2" w:rsidRPr="006E025A">
        <w:rPr>
          <w:rFonts w:ascii="Open Sans Light" w:eastAsia="Open Sans Light" w:hAnsi="Open Sans Light" w:cs="Open Sans Light"/>
          <w:b/>
          <w:color w:val="303AB2"/>
        </w:rPr>
        <w:t xml:space="preserve"> </w:t>
      </w:r>
      <w:r w:rsidR="00102A9B" w:rsidRPr="006E025A">
        <w:rPr>
          <w:rFonts w:ascii="Open Sans Light" w:eastAsia="Open Sans Light" w:hAnsi="Open Sans Light" w:cs="Open Sans Light"/>
          <w:b/>
          <w:color w:val="303AB2"/>
        </w:rPr>
        <w:t xml:space="preserve">inclinación </w:t>
      </w:r>
      <w:r w:rsidR="006E025A">
        <w:rPr>
          <w:rFonts w:ascii="Open Sans Light" w:eastAsia="Open Sans Light" w:hAnsi="Open Sans Light" w:cs="Open Sans Light"/>
          <w:b/>
          <w:color w:val="303AB2"/>
        </w:rPr>
        <w:t xml:space="preserve">(15%) </w:t>
      </w:r>
      <w:r w:rsidR="00102A9B" w:rsidRPr="006E025A">
        <w:rPr>
          <w:rFonts w:ascii="Open Sans Light" w:eastAsia="Open Sans Light" w:hAnsi="Open Sans Light" w:cs="Open Sans Light"/>
          <w:b/>
          <w:color w:val="303AB2"/>
        </w:rPr>
        <w:t>por</w:t>
      </w:r>
      <w:r w:rsidR="003C2CC2" w:rsidRPr="006E025A">
        <w:rPr>
          <w:rFonts w:ascii="Open Sans Light" w:eastAsia="Open Sans Light" w:hAnsi="Open Sans Light" w:cs="Open Sans Light"/>
          <w:b/>
          <w:color w:val="303AB2"/>
        </w:rPr>
        <w:t xml:space="preserve"> la compraventa</w:t>
      </w:r>
      <w:r w:rsidR="00102A9B" w:rsidRPr="006E025A"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gramStart"/>
      <w:r w:rsidR="0091794E" w:rsidRPr="006E025A">
        <w:rPr>
          <w:rFonts w:ascii="Open Sans Light" w:eastAsia="Open Sans Light" w:hAnsi="Open Sans Light" w:cs="Open Sans Light"/>
          <w:b/>
          <w:color w:val="303AB2"/>
        </w:rPr>
        <w:t>que</w:t>
      </w:r>
      <w:proofErr w:type="gramEnd"/>
      <w:r w:rsidR="00102A9B" w:rsidRPr="006E025A">
        <w:rPr>
          <w:rFonts w:ascii="Open Sans Light" w:eastAsia="Open Sans Light" w:hAnsi="Open Sans Light" w:cs="Open Sans Light"/>
          <w:b/>
          <w:color w:val="303AB2"/>
        </w:rPr>
        <w:t xml:space="preserve"> por el alquiler</w:t>
      </w:r>
      <w:r w:rsidR="006E025A">
        <w:rPr>
          <w:rFonts w:ascii="Open Sans Light" w:eastAsia="Open Sans Light" w:hAnsi="Open Sans Light" w:cs="Open Sans Light"/>
          <w:b/>
          <w:color w:val="303AB2"/>
        </w:rPr>
        <w:t>, mientras que históricamente el arrendamiento había tenido un peso mayor</w:t>
      </w:r>
    </w:p>
    <w:p w14:paraId="1C851437" w14:textId="77777777" w:rsidR="00180955" w:rsidRDefault="0018095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3865359B" w14:textId="22F1E470" w:rsidR="00180955" w:rsidRDefault="001A68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Madrid</w:t>
      </w:r>
      <w:r w:rsidR="000520D4">
        <w:rPr>
          <w:rFonts w:ascii="Open Sans Light" w:eastAsia="Open Sans Light" w:hAnsi="Open Sans Light" w:cs="Open Sans Light"/>
          <w:b/>
          <w:color w:val="303AB2"/>
        </w:rPr>
        <w:t>,</w:t>
      </w:r>
      <w:r>
        <w:rPr>
          <w:rFonts w:ascii="Open Sans Light" w:eastAsia="Open Sans Light" w:hAnsi="Open Sans Light" w:cs="Open Sans Light"/>
          <w:b/>
          <w:color w:val="303AB2"/>
        </w:rPr>
        <w:t xml:space="preserve"> 25</w:t>
      </w:r>
      <w:r w:rsidR="00A46B2F">
        <w:rPr>
          <w:rFonts w:ascii="Open Sans Light" w:eastAsia="Open Sans Light" w:hAnsi="Open Sans Light" w:cs="Open Sans Light"/>
          <w:b/>
          <w:color w:val="303AB2"/>
        </w:rPr>
        <w:t xml:space="preserve"> </w:t>
      </w:r>
      <w:r w:rsidR="000520D4">
        <w:rPr>
          <w:rFonts w:ascii="Open Sans Light" w:eastAsia="Open Sans Light" w:hAnsi="Open Sans Light" w:cs="Open Sans Light"/>
          <w:b/>
          <w:color w:val="303AB2"/>
        </w:rPr>
        <w:t xml:space="preserve">de </w:t>
      </w:r>
      <w:r w:rsidR="0025158B">
        <w:rPr>
          <w:rFonts w:ascii="Open Sans Light" w:eastAsia="Open Sans Light" w:hAnsi="Open Sans Light" w:cs="Open Sans Light"/>
          <w:b/>
          <w:color w:val="303AB2"/>
        </w:rPr>
        <w:t>junio</w:t>
      </w:r>
      <w:r w:rsidR="000520D4">
        <w:rPr>
          <w:rFonts w:ascii="Open Sans Light" w:eastAsia="Open Sans Light" w:hAnsi="Open Sans Light" w:cs="Open Sans Light"/>
          <w:b/>
          <w:color w:val="303AB2"/>
        </w:rPr>
        <w:t xml:space="preserve"> de 202</w:t>
      </w:r>
      <w:r w:rsidR="0025158B">
        <w:rPr>
          <w:rFonts w:ascii="Open Sans Light" w:eastAsia="Open Sans Light" w:hAnsi="Open Sans Light" w:cs="Open Sans Light"/>
          <w:b/>
          <w:color w:val="303AB2"/>
        </w:rPr>
        <w:t>5</w:t>
      </w:r>
    </w:p>
    <w:p w14:paraId="24782377" w14:textId="77777777" w:rsidR="00646277" w:rsidRDefault="006462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2E5906D" w14:textId="5349FBD4" w:rsidR="00EC3E5C" w:rsidRDefault="001A68F8" w:rsidP="00EC3E5C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Únicamente un 3% de los andaluces mayores de 18 años ofrece una vivienda en el mercado de su comunidad autónoma en la actualidad, un porcentaje que se ha reducido a la mitad en los últimos tres años, puesto que en el primer semestre de 2022 esta tasa se elevaba al 6%. Esta cifra de oferta es relativamente baja en comparación con la serie histórica en Andalucía, donde se alcanzaron porcentajes del 7% de oferentes de vivienda en el mercado de compraventa en el periodo previo a la pandemia</w:t>
      </w:r>
      <w:r w:rsidR="0025158B">
        <w:rPr>
          <w:rFonts w:ascii="Open Sans" w:eastAsia="Open Sans" w:hAnsi="Open Sans" w:cs="Open Sans"/>
        </w:rPr>
        <w:t xml:space="preserve">, según las cifras extraídas del informe </w:t>
      </w:r>
      <w:r w:rsidR="00C373FB">
        <w:rPr>
          <w:rFonts w:ascii="Open Sans" w:eastAsia="Open Sans" w:hAnsi="Open Sans" w:cs="Open Sans"/>
        </w:rPr>
        <w:t>“</w:t>
      </w:r>
      <w:hyperlink r:id="rId9" w:history="1">
        <w:r w:rsidR="0025158B" w:rsidRPr="009F0A42">
          <w:rPr>
            <w:rStyle w:val="Hipervnculo"/>
            <w:rFonts w:ascii="Open Sans" w:eastAsia="Open Sans" w:hAnsi="Open Sans" w:cs="Open Sans"/>
            <w:b/>
            <w:i/>
          </w:rPr>
          <w:t>Radiografía del mercado de la vivienda en Andalucía en el primer semestre de 2025</w:t>
        </w:r>
      </w:hyperlink>
      <w:r w:rsidR="00C373FB">
        <w:rPr>
          <w:rFonts w:ascii="Open Sans" w:eastAsia="Open Sans" w:hAnsi="Open Sans" w:cs="Open Sans"/>
          <w:b/>
          <w:iCs/>
        </w:rPr>
        <w:t>”</w:t>
      </w:r>
      <w:r w:rsidR="0025158B">
        <w:rPr>
          <w:rFonts w:ascii="Open Sans" w:eastAsia="Open Sans" w:hAnsi="Open Sans" w:cs="Open Sans"/>
        </w:rPr>
        <w:t xml:space="preserve">, elaborado por </w:t>
      </w:r>
      <w:hyperlink r:id="rId10" w:history="1">
        <w:r w:rsidR="0025158B" w:rsidRPr="00C373FB">
          <w:rPr>
            <w:rStyle w:val="Hipervnculo"/>
            <w:rFonts w:ascii="Open Sans" w:eastAsia="Open Sans" w:hAnsi="Open Sans" w:cs="Open Sans"/>
            <w:b/>
            <w:iCs/>
          </w:rPr>
          <w:t xml:space="preserve">Fotocasa </w:t>
        </w:r>
        <w:proofErr w:type="spellStart"/>
        <w:r w:rsidR="0025158B" w:rsidRPr="00C373FB">
          <w:rPr>
            <w:rStyle w:val="Hipervnculo"/>
            <w:rFonts w:ascii="Open Sans" w:eastAsia="Open Sans" w:hAnsi="Open Sans" w:cs="Open Sans"/>
            <w:b/>
            <w:iCs/>
          </w:rPr>
          <w:t>Research</w:t>
        </w:r>
        <w:proofErr w:type="spellEnd"/>
      </w:hyperlink>
      <w:r w:rsidR="0025158B" w:rsidRPr="00EC3E5C">
        <w:rPr>
          <w:rFonts w:ascii="Open Sans" w:eastAsia="Open Sans" w:hAnsi="Open Sans" w:cs="Open Sans"/>
          <w:bCs/>
          <w:iCs/>
        </w:rPr>
        <w:t>.</w:t>
      </w:r>
    </w:p>
    <w:p w14:paraId="29F33B76" w14:textId="1BE29458" w:rsidR="00727F30" w:rsidRDefault="00727F30">
      <w:pPr>
        <w:spacing w:line="276" w:lineRule="auto"/>
        <w:jc w:val="both"/>
        <w:rPr>
          <w:rFonts w:ascii="Open Sans" w:eastAsia="Open Sans" w:hAnsi="Open Sans" w:cs="Open Sans"/>
          <w:b/>
          <w:iCs/>
        </w:rPr>
      </w:pPr>
    </w:p>
    <w:p w14:paraId="4EF39635" w14:textId="769ADBD5" w:rsidR="00EC3E5C" w:rsidRDefault="00A6696F" w:rsidP="00EC3E5C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Siguiendo en </w:t>
      </w:r>
      <w:r w:rsidR="00EC3E5C">
        <w:rPr>
          <w:rFonts w:ascii="Open Sans" w:eastAsia="Open Sans" w:hAnsi="Open Sans" w:cs="Open Sans"/>
        </w:rPr>
        <w:t>segmento de compraventa</w:t>
      </w:r>
      <w:r>
        <w:rPr>
          <w:rFonts w:ascii="Open Sans" w:eastAsia="Open Sans" w:hAnsi="Open Sans" w:cs="Open Sans"/>
        </w:rPr>
        <w:t xml:space="preserve"> y poniendo el foco en la evolución de este mercado en el último año</w:t>
      </w:r>
      <w:r w:rsidR="00EC3E5C">
        <w:rPr>
          <w:rFonts w:ascii="Open Sans" w:eastAsia="Open Sans" w:hAnsi="Open Sans" w:cs="Open Sans"/>
        </w:rPr>
        <w:t xml:space="preserve">, </w:t>
      </w:r>
      <w:r w:rsidRPr="00A6696F">
        <w:rPr>
          <w:rFonts w:ascii="Open Sans" w:eastAsia="Open Sans" w:hAnsi="Open Sans" w:cs="Open Sans"/>
          <w:b/>
          <w:bCs/>
        </w:rPr>
        <w:t>actualmente</w:t>
      </w:r>
      <w:r>
        <w:rPr>
          <w:rFonts w:ascii="Open Sans" w:eastAsia="Open Sans" w:hAnsi="Open Sans" w:cs="Open Sans"/>
        </w:rPr>
        <w:t xml:space="preserve"> </w:t>
      </w:r>
      <w:r w:rsidR="00EC3E5C" w:rsidRPr="00D331CD">
        <w:rPr>
          <w:rFonts w:ascii="Open Sans" w:eastAsia="Open Sans" w:hAnsi="Open Sans" w:cs="Open Sans"/>
          <w:b/>
          <w:bCs/>
        </w:rPr>
        <w:t>un 13% de los andaluces desearía adquirir una vivienda, pero únicamente el 3% ha puesto un inmueble en el mercado en los últimos doce meses</w:t>
      </w:r>
      <w:r w:rsidR="00EC3E5C">
        <w:rPr>
          <w:rFonts w:ascii="Open Sans" w:eastAsia="Open Sans" w:hAnsi="Open Sans" w:cs="Open Sans"/>
        </w:rPr>
        <w:t xml:space="preserve">. Este desequilibrio en el lado de la compra </w:t>
      </w:r>
      <w:r w:rsidR="00EC3E5C">
        <w:rPr>
          <w:rFonts w:ascii="Open Sans" w:eastAsia="Open Sans" w:hAnsi="Open Sans" w:cs="Open Sans"/>
        </w:rPr>
        <w:lastRenderedPageBreak/>
        <w:t>se ha incrementado durante el último año, puesto que la demanda se ha mantenido inalterable, pero la oferta se ha contraído en un punto porcentual (los vendedores representaban el 4% en 2024).</w:t>
      </w:r>
    </w:p>
    <w:p w14:paraId="1C316264" w14:textId="77777777" w:rsidR="00EC3E5C" w:rsidRDefault="00EC3E5C" w:rsidP="00EC3E5C">
      <w:pPr>
        <w:spacing w:line="276" w:lineRule="auto"/>
        <w:jc w:val="both"/>
        <w:rPr>
          <w:rFonts w:ascii="Open Sans" w:eastAsia="Open Sans" w:hAnsi="Open Sans" w:cs="Open Sans"/>
          <w:b/>
          <w:iCs/>
        </w:rPr>
      </w:pPr>
    </w:p>
    <w:p w14:paraId="04DDCD98" w14:textId="4F9F2D6F" w:rsidR="00727F30" w:rsidRDefault="00EC3E5C" w:rsidP="00EC3E5C">
      <w:pPr>
        <w:spacing w:line="276" w:lineRule="auto"/>
        <w:jc w:val="center"/>
        <w:rPr>
          <w:rFonts w:ascii="Open Sans" w:eastAsia="Open Sans" w:hAnsi="Open Sans" w:cs="Open Sans"/>
          <w:b/>
          <w:iCs/>
        </w:rPr>
      </w:pPr>
      <w:r>
        <w:rPr>
          <w:rFonts w:ascii="Open Sans" w:eastAsia="Open Sans" w:hAnsi="Open Sans" w:cs="Open Sans"/>
          <w:bCs/>
          <w:iCs/>
          <w:noProof/>
        </w:rPr>
        <w:drawing>
          <wp:inline distT="0" distB="0" distL="0" distR="0" wp14:anchorId="289EDB9C" wp14:editId="1FBA3706">
            <wp:extent cx="5631180" cy="7210657"/>
            <wp:effectExtent l="0" t="0" r="7620" b="9525"/>
            <wp:docPr id="1269680254" name="Picture 1" descr="A screenshot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80254" name="Picture 1" descr="A screenshot of a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77" cy="72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D0420" w14:textId="77777777" w:rsidR="00EC3E5C" w:rsidRDefault="00EC3E5C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</w:p>
    <w:p w14:paraId="6432BDD0" w14:textId="77777777" w:rsidR="00455355" w:rsidRDefault="00455355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</w:p>
    <w:p w14:paraId="12651473" w14:textId="0BD77867" w:rsidR="00501D3F" w:rsidRPr="00501D3F" w:rsidRDefault="00501D3F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  <w:r>
        <w:rPr>
          <w:rFonts w:ascii="Open Sans" w:eastAsia="Open Sans" w:hAnsi="Open Sans" w:cs="Open Sans"/>
          <w:bCs/>
          <w:iCs/>
        </w:rPr>
        <w:lastRenderedPageBreak/>
        <w:t xml:space="preserve">Si se desglosan estos porcentajes (cabe señalar que se trata de una encuesta con </w:t>
      </w:r>
      <w:r w:rsidR="00D331CD">
        <w:rPr>
          <w:rFonts w:ascii="Open Sans" w:eastAsia="Open Sans" w:hAnsi="Open Sans" w:cs="Open Sans"/>
          <w:bCs/>
          <w:iCs/>
        </w:rPr>
        <w:t>respuestas</w:t>
      </w:r>
      <w:r>
        <w:rPr>
          <w:rFonts w:ascii="Open Sans" w:eastAsia="Open Sans" w:hAnsi="Open Sans" w:cs="Open Sans"/>
          <w:bCs/>
          <w:iCs/>
        </w:rPr>
        <w:t xml:space="preserve"> múltiples, en las que un individuo puede estar realizando varias </w:t>
      </w:r>
      <w:r w:rsidR="00D331CD">
        <w:rPr>
          <w:rFonts w:ascii="Open Sans" w:eastAsia="Open Sans" w:hAnsi="Open Sans" w:cs="Open Sans"/>
          <w:bCs/>
          <w:iCs/>
        </w:rPr>
        <w:t>acciones</w:t>
      </w:r>
      <w:r>
        <w:rPr>
          <w:rFonts w:ascii="Open Sans" w:eastAsia="Open Sans" w:hAnsi="Open Sans" w:cs="Open Sans"/>
          <w:bCs/>
          <w:iCs/>
        </w:rPr>
        <w:t xml:space="preserve"> al mismo tiempo), se observa que</w:t>
      </w:r>
      <w:r w:rsidR="00727F30">
        <w:rPr>
          <w:rFonts w:ascii="Open Sans" w:eastAsia="Open Sans" w:hAnsi="Open Sans" w:cs="Open Sans"/>
          <w:bCs/>
          <w:iCs/>
        </w:rPr>
        <w:t>,</w:t>
      </w:r>
      <w:r>
        <w:rPr>
          <w:rFonts w:ascii="Open Sans" w:eastAsia="Open Sans" w:hAnsi="Open Sans" w:cs="Open Sans"/>
          <w:bCs/>
          <w:iCs/>
        </w:rPr>
        <w:t xml:space="preserve"> </w:t>
      </w:r>
      <w:r w:rsidRPr="00727F30">
        <w:rPr>
          <w:rFonts w:ascii="Open Sans" w:eastAsia="Open Sans" w:hAnsi="Open Sans" w:cs="Open Sans"/>
          <w:b/>
          <w:iCs/>
        </w:rPr>
        <w:t>entre los demandantes</w:t>
      </w:r>
      <w:r w:rsidR="00727F30" w:rsidRPr="00727F30">
        <w:rPr>
          <w:rFonts w:ascii="Open Sans" w:eastAsia="Open Sans" w:hAnsi="Open Sans" w:cs="Open Sans"/>
          <w:b/>
          <w:iCs/>
        </w:rPr>
        <w:t>,</w:t>
      </w:r>
      <w:r w:rsidRPr="00727F30">
        <w:rPr>
          <w:rFonts w:ascii="Open Sans" w:eastAsia="Open Sans" w:hAnsi="Open Sans" w:cs="Open Sans"/>
          <w:b/>
          <w:iCs/>
        </w:rPr>
        <w:t xml:space="preserve"> un 5% ha comprado efectivamente una vivienda, mientras que un 9% lo ha intentado sin conseguirlo</w:t>
      </w:r>
      <w:r>
        <w:rPr>
          <w:rFonts w:ascii="Open Sans" w:eastAsia="Open Sans" w:hAnsi="Open Sans" w:cs="Open Sans"/>
          <w:bCs/>
          <w:iCs/>
        </w:rPr>
        <w:t>. Por su parte, entre los oferentes, un 2% ha vendido de forma efectiva un inmueble, mientras que un 1% no lo ha logrado.</w:t>
      </w:r>
    </w:p>
    <w:p w14:paraId="25886401" w14:textId="77777777" w:rsidR="00727F30" w:rsidRDefault="00727F30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</w:p>
    <w:p w14:paraId="213CB1A3" w14:textId="2BBC3A19" w:rsidR="00727F30" w:rsidRDefault="00D331CD" w:rsidP="00727F30">
      <w:pPr>
        <w:spacing w:line="276" w:lineRule="auto"/>
        <w:jc w:val="center"/>
        <w:rPr>
          <w:rFonts w:ascii="Open Sans" w:eastAsia="Open Sans" w:hAnsi="Open Sans" w:cs="Open Sans"/>
          <w:bCs/>
          <w:iCs/>
        </w:rPr>
      </w:pPr>
      <w:r>
        <w:rPr>
          <w:noProof/>
        </w:rPr>
        <w:drawing>
          <wp:inline distT="0" distB="0" distL="0" distR="0" wp14:anchorId="1F2C539E" wp14:editId="5E152E47">
            <wp:extent cx="5760720" cy="2830195"/>
            <wp:effectExtent l="0" t="0" r="0" b="8255"/>
            <wp:docPr id="1919104280" name="Picture 2" descr="A graph of sales and sa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04280" name="Picture 2" descr="A graph of sales and sa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3E28" w14:textId="77777777" w:rsidR="00D331CD" w:rsidRDefault="00D331CD" w:rsidP="00727F30">
      <w:pPr>
        <w:spacing w:line="276" w:lineRule="auto"/>
        <w:jc w:val="center"/>
        <w:rPr>
          <w:rFonts w:ascii="Open Sans" w:eastAsia="Open Sans" w:hAnsi="Open Sans" w:cs="Open Sans"/>
          <w:bCs/>
          <w:iCs/>
        </w:rPr>
      </w:pPr>
    </w:p>
    <w:p w14:paraId="61FE52CB" w14:textId="77777777" w:rsidR="009F0A42" w:rsidRDefault="009F0A42" w:rsidP="00C373FB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3BA179EF" w14:textId="45DD9DDF" w:rsidR="00C373FB" w:rsidRDefault="00C373FB" w:rsidP="00C373FB">
      <w:pPr>
        <w:spacing w:line="276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“En el mercado de compraventa, la brecha entre oferta y demanda es muy acusada: un 13% de los andaluces muestra un interés activo por comprar vivienda, pero solo un 3% ha puesto un inmueble a la venta. Llevamos cuatro años con una demanda muy elevada que no encuentra respuesta en la oferta, lo que está generando una fuerte presión sobre los precios que suben a un ritmo del 18%. Esta misma dinámica se repite en el alquiler, donde la demanda ha crecido hasta alcanzar el 12%, mientras que la oferta sigue reduciéndose paulatinamente. Lo que ha llevado a que Andalucía haya alcanzado máximos en el precio del arrendamiento en mayo de 2025. Este desequilibrio que se mantiene en el tiempo dificulta cada vez más el acceso a la vivienda para los andaluces, tanto en propiedad como en régimen de arrendamiento”, </w:t>
      </w:r>
      <w:r>
        <w:rPr>
          <w:rFonts w:ascii="Open Sans" w:eastAsia="Open Sans" w:hAnsi="Open Sans" w:cs="Open Sans"/>
          <w:b/>
        </w:rPr>
        <w:t xml:space="preserve">explica María Matos, directora de Estudios y portavoz de </w:t>
      </w:r>
      <w:hyperlink r:id="rId13">
        <w:r>
          <w:rPr>
            <w:rFonts w:ascii="Open Sans" w:eastAsia="Open Sans" w:hAnsi="Open Sans" w:cs="Open Sans"/>
            <w:b/>
            <w:color w:val="1155CC"/>
            <w:u w:val="single"/>
          </w:rPr>
          <w:t>Fotocasa</w:t>
        </w:r>
      </w:hyperlink>
      <w:r>
        <w:rPr>
          <w:rFonts w:ascii="Open Sans" w:eastAsia="Open Sans" w:hAnsi="Open Sans" w:cs="Open Sans"/>
          <w:b/>
        </w:rPr>
        <w:t>.</w:t>
      </w:r>
    </w:p>
    <w:p w14:paraId="4390B978" w14:textId="77777777" w:rsidR="00D331CD" w:rsidRDefault="00D331CD" w:rsidP="00D331CD">
      <w:pP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4BC6EBD2" w14:textId="77777777" w:rsidR="009F0A42" w:rsidRDefault="009F0A42" w:rsidP="00D331CD">
      <w:pPr>
        <w:rPr>
          <w:rFonts w:ascii="Open Sans Light" w:eastAsia="Open Sans Light" w:hAnsi="Open Sans Light" w:cs="Open Sans Light"/>
          <w:b/>
          <w:color w:val="303AB2"/>
          <w:sz w:val="28"/>
          <w:szCs w:val="28"/>
        </w:rPr>
      </w:pPr>
    </w:p>
    <w:p w14:paraId="0BFEEF71" w14:textId="04565CD6" w:rsidR="00D331CD" w:rsidRPr="0091794E" w:rsidRDefault="00D331CD" w:rsidP="0091794E">
      <w:pPr>
        <w:spacing w:line="276" w:lineRule="auto"/>
        <w:jc w:val="both"/>
        <w:rPr>
          <w:rFonts w:ascii="National" w:eastAsia="National" w:hAnsi="National" w:cs="National"/>
          <w:b/>
          <w:color w:val="303AB2"/>
          <w:sz w:val="32"/>
          <w:szCs w:val="32"/>
        </w:rPr>
      </w:pPr>
      <w:r w:rsidRPr="0091794E">
        <w:rPr>
          <w:rFonts w:ascii="National" w:eastAsia="National" w:hAnsi="National" w:cs="National"/>
          <w:b/>
          <w:color w:val="303AB2"/>
          <w:sz w:val="32"/>
          <w:szCs w:val="32"/>
        </w:rPr>
        <w:lastRenderedPageBreak/>
        <w:t xml:space="preserve">El mercado del alquiler en Andalucía </w:t>
      </w:r>
      <w:r w:rsidR="005269DC">
        <w:rPr>
          <w:rFonts w:ascii="National" w:eastAsia="National" w:hAnsi="National" w:cs="National"/>
          <w:b/>
          <w:color w:val="303AB2"/>
          <w:sz w:val="32"/>
          <w:szCs w:val="32"/>
        </w:rPr>
        <w:t xml:space="preserve">también </w:t>
      </w:r>
      <w:r w:rsidRPr="0091794E">
        <w:rPr>
          <w:rFonts w:ascii="National" w:eastAsia="National" w:hAnsi="National" w:cs="National"/>
          <w:b/>
          <w:color w:val="303AB2"/>
          <w:sz w:val="32"/>
          <w:szCs w:val="32"/>
        </w:rPr>
        <w:t>se descompensa: sube la demanda y se mantiene la oferta</w:t>
      </w:r>
    </w:p>
    <w:p w14:paraId="24027CBF" w14:textId="77777777" w:rsidR="00727F30" w:rsidRDefault="00727F30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</w:p>
    <w:p w14:paraId="41105909" w14:textId="5255052E" w:rsidR="0025158B" w:rsidRDefault="00501D3F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  <w:r>
        <w:rPr>
          <w:rFonts w:ascii="Open Sans" w:eastAsia="Open Sans" w:hAnsi="Open Sans" w:cs="Open Sans"/>
          <w:bCs/>
          <w:iCs/>
        </w:rPr>
        <w:t xml:space="preserve">Por otro lado, el segmento del alquiler también presenta un sensible desequilibrio entre la oferta y la demanda, aunque algo menor que en el caso de la compraventa. Así, </w:t>
      </w:r>
      <w:r w:rsidRPr="00985B60">
        <w:rPr>
          <w:rFonts w:ascii="Open Sans" w:eastAsia="Open Sans" w:hAnsi="Open Sans" w:cs="Open Sans"/>
          <w:b/>
          <w:iCs/>
        </w:rPr>
        <w:t>un 12% de los andaluces participan actualmente de alguna forma en la demanda de vivienda de alquiler, un punto más que hace un año</w:t>
      </w:r>
      <w:r>
        <w:rPr>
          <w:rFonts w:ascii="Open Sans" w:eastAsia="Open Sans" w:hAnsi="Open Sans" w:cs="Open Sans"/>
          <w:bCs/>
          <w:iCs/>
        </w:rPr>
        <w:t>. Este porcentaje se desgrana en un 7% que ha alquilado efectivamente una vivienda completa, un 2% que reside como inquilino en una habitación, un 4% que ha buscado vivienda de alquiler sin lograrlo y un 1% que ha demandado alquilar una habitación sin conseguirlo.</w:t>
      </w:r>
      <w:r w:rsidR="00727F30">
        <w:rPr>
          <w:rFonts w:ascii="Open Sans" w:eastAsia="Open Sans" w:hAnsi="Open Sans" w:cs="Open Sans"/>
          <w:bCs/>
          <w:iCs/>
        </w:rPr>
        <w:t xml:space="preserve"> En la vertiente de la oferta, esta se mantiene en un 3% de </w:t>
      </w:r>
      <w:r w:rsidR="005269DC">
        <w:rPr>
          <w:rFonts w:ascii="Open Sans" w:eastAsia="Open Sans" w:hAnsi="Open Sans" w:cs="Open Sans"/>
          <w:bCs/>
          <w:iCs/>
        </w:rPr>
        <w:t>particulares</w:t>
      </w:r>
      <w:r w:rsidR="00727F30">
        <w:rPr>
          <w:rFonts w:ascii="Open Sans" w:eastAsia="Open Sans" w:hAnsi="Open Sans" w:cs="Open Sans"/>
          <w:bCs/>
          <w:iCs/>
        </w:rPr>
        <w:t xml:space="preserve"> que ponen un piso de alquiler en el mercado, la misma tasa que hace un año.</w:t>
      </w:r>
    </w:p>
    <w:p w14:paraId="6B909730" w14:textId="77777777" w:rsidR="005269DC" w:rsidRDefault="005269DC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</w:p>
    <w:p w14:paraId="4A0FDE55" w14:textId="4EC8769D" w:rsidR="00501D3F" w:rsidRDefault="00016900">
      <w:pPr>
        <w:spacing w:line="276" w:lineRule="auto"/>
        <w:jc w:val="both"/>
        <w:rPr>
          <w:rFonts w:ascii="Open Sans" w:eastAsia="Open Sans" w:hAnsi="Open Sans" w:cs="Open Sans"/>
          <w:bCs/>
          <w:iCs/>
        </w:rPr>
      </w:pPr>
      <w:r>
        <w:rPr>
          <w:noProof/>
        </w:rPr>
        <w:drawing>
          <wp:inline distT="0" distB="0" distL="0" distR="0" wp14:anchorId="58358D0D" wp14:editId="57E305C6">
            <wp:extent cx="5760720" cy="2941320"/>
            <wp:effectExtent l="0" t="0" r="0" b="0"/>
            <wp:docPr id="1656034817" name="Picture 3" descr="A graph of sales and sa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34817" name="Picture 3" descr="A graph of sales and sa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C515" w14:textId="0F3B42C3" w:rsidR="00501D3F" w:rsidRPr="00501D3F" w:rsidRDefault="00501D3F" w:rsidP="00727F30">
      <w:pPr>
        <w:spacing w:line="276" w:lineRule="auto"/>
        <w:jc w:val="center"/>
        <w:rPr>
          <w:rFonts w:ascii="Open Sans" w:eastAsia="Open Sans" w:hAnsi="Open Sans" w:cs="Open Sans"/>
          <w:bCs/>
        </w:rPr>
      </w:pPr>
    </w:p>
    <w:p w14:paraId="75231CA1" w14:textId="54C44409" w:rsidR="00A029E7" w:rsidRPr="0091794E" w:rsidRDefault="00455355" w:rsidP="0091794E">
      <w:pPr>
        <w:spacing w:line="276" w:lineRule="auto"/>
        <w:jc w:val="both"/>
        <w:rPr>
          <w:rFonts w:ascii="National" w:eastAsia="National" w:hAnsi="National" w:cs="National"/>
          <w:b/>
          <w:color w:val="303AB2"/>
          <w:sz w:val="32"/>
          <w:szCs w:val="32"/>
        </w:rPr>
      </w:pPr>
      <w:r w:rsidRPr="0091794E">
        <w:rPr>
          <w:rFonts w:ascii="National" w:eastAsia="National" w:hAnsi="National" w:cs="National"/>
          <w:b/>
          <w:color w:val="303AB2"/>
          <w:sz w:val="32"/>
          <w:szCs w:val="32"/>
        </w:rPr>
        <w:t>La actividad total en el mercado inmobiliario andaluz se mantiene a la baja</w:t>
      </w:r>
    </w:p>
    <w:p w14:paraId="5E260F3A" w14:textId="77777777" w:rsidR="00A029E7" w:rsidRDefault="00A029E7">
      <w:pPr>
        <w:spacing w:line="276" w:lineRule="auto"/>
        <w:jc w:val="both"/>
        <w:rPr>
          <w:rFonts w:ascii="Open Sans" w:eastAsia="Open Sans" w:hAnsi="Open Sans" w:cs="Open Sans"/>
          <w:b/>
          <w:bCs/>
        </w:rPr>
      </w:pPr>
    </w:p>
    <w:p w14:paraId="51D8B4F4" w14:textId="4D0DEA79" w:rsidR="00180955" w:rsidRDefault="00455355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Si se observa la actividad total del mercado inmobiliario andaluz, esta se mantiene estable en los últimos años, pero se encuentra a la baja atendiendo a las cifras históricas. En general, </w:t>
      </w:r>
      <w:r w:rsidRPr="005269DC">
        <w:rPr>
          <w:rFonts w:ascii="Open Sans" w:eastAsia="Open Sans" w:hAnsi="Open Sans" w:cs="Open Sans"/>
          <w:b/>
          <w:bCs/>
        </w:rPr>
        <w:t>un 27% de los andaluces ha participado en el mercado inmobiliario en el último año, un porcentaje que se encuentra un punto por encima de la media nacional (26%)</w:t>
      </w:r>
      <w:r>
        <w:rPr>
          <w:rFonts w:ascii="Open Sans" w:eastAsia="Open Sans" w:hAnsi="Open Sans" w:cs="Open Sans"/>
        </w:rPr>
        <w:t xml:space="preserve">. En el caso andaluz, se trata de la misma tasa de participación que hace doce meses. No obstante, esta participación del 27% es </w:t>
      </w:r>
      <w:r>
        <w:rPr>
          <w:rFonts w:ascii="Open Sans" w:eastAsia="Open Sans" w:hAnsi="Open Sans" w:cs="Open Sans"/>
        </w:rPr>
        <w:lastRenderedPageBreak/>
        <w:t>relativamente baja en comparación con otros periodos. Y es que el porcentaje de andaluces activos en el mercado de la vivienda llegó a cifras del 38% en 2019, en una época previa a la pandemia.</w:t>
      </w:r>
      <w:r w:rsidR="00366242">
        <w:rPr>
          <w:rFonts w:ascii="Open Sans" w:eastAsia="Open Sans" w:hAnsi="Open Sans" w:cs="Open Sans"/>
        </w:rPr>
        <w:t xml:space="preserve"> </w:t>
      </w:r>
    </w:p>
    <w:p w14:paraId="41FEA179" w14:textId="77777777" w:rsidR="00366242" w:rsidRDefault="00366242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69CAB360" w14:textId="6922A932" w:rsidR="00366242" w:rsidRDefault="00366242" w:rsidP="00366242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Por último, </w:t>
      </w:r>
      <w:r w:rsidRPr="005269DC">
        <w:rPr>
          <w:rFonts w:ascii="Open Sans" w:eastAsia="Open Sans" w:hAnsi="Open Sans" w:cs="Open Sans"/>
          <w:b/>
          <w:bCs/>
        </w:rPr>
        <w:t>el peso de la compraventa y el del alquiler está equilibrado en el conjunto del mercado de la vivienda en la actualidad</w:t>
      </w:r>
      <w:r>
        <w:rPr>
          <w:rFonts w:ascii="Open Sans" w:eastAsia="Open Sans" w:hAnsi="Open Sans" w:cs="Open Sans"/>
        </w:rPr>
        <w:t xml:space="preserve">. </w:t>
      </w:r>
      <w:r w:rsidRPr="00366242">
        <w:rPr>
          <w:rFonts w:ascii="Open Sans" w:eastAsia="Open Sans" w:hAnsi="Open Sans" w:cs="Open Sans"/>
        </w:rPr>
        <w:t xml:space="preserve">Si se desglosa la actividad en función del </w:t>
      </w:r>
      <w:r>
        <w:rPr>
          <w:rFonts w:ascii="Open Sans" w:eastAsia="Open Sans" w:hAnsi="Open Sans" w:cs="Open Sans"/>
        </w:rPr>
        <w:t>segmento,</w:t>
      </w:r>
      <w:r w:rsidRPr="00366242">
        <w:rPr>
          <w:rFonts w:ascii="Open Sans" w:eastAsia="Open Sans" w:hAnsi="Open Sans" w:cs="Open Sans"/>
        </w:rPr>
        <w:t xml:space="preserve"> se aprecia </w:t>
      </w:r>
      <w:r>
        <w:rPr>
          <w:rFonts w:ascii="Open Sans" w:eastAsia="Open Sans" w:hAnsi="Open Sans" w:cs="Open Sans"/>
        </w:rPr>
        <w:t xml:space="preserve">que en </w:t>
      </w:r>
      <w:r w:rsidRPr="00366242">
        <w:rPr>
          <w:rFonts w:ascii="Open Sans" w:eastAsia="Open Sans" w:hAnsi="Open Sans" w:cs="Open Sans"/>
        </w:rPr>
        <w:t xml:space="preserve">Andalucía </w:t>
      </w:r>
      <w:r w:rsidR="005269DC">
        <w:rPr>
          <w:rFonts w:ascii="Open Sans" w:eastAsia="Open Sans" w:hAnsi="Open Sans" w:cs="Open Sans"/>
        </w:rPr>
        <w:t xml:space="preserve">ambos </w:t>
      </w:r>
      <w:r w:rsidRPr="00366242">
        <w:rPr>
          <w:rFonts w:ascii="Open Sans" w:eastAsia="Open Sans" w:hAnsi="Open Sans" w:cs="Open Sans"/>
        </w:rPr>
        <w:t>atraen a un volumen similar de particula</w:t>
      </w:r>
      <w:r>
        <w:rPr>
          <w:rFonts w:ascii="Open Sans" w:eastAsia="Open Sans" w:hAnsi="Open Sans" w:cs="Open Sans"/>
        </w:rPr>
        <w:t>r</w:t>
      </w:r>
      <w:r w:rsidRPr="00366242">
        <w:rPr>
          <w:rFonts w:ascii="Open Sans" w:eastAsia="Open Sans" w:hAnsi="Open Sans" w:cs="Open Sans"/>
        </w:rPr>
        <w:t xml:space="preserve">es. Así, en </w:t>
      </w:r>
      <w:r w:rsidR="005269DC">
        <w:rPr>
          <w:rFonts w:ascii="Open Sans" w:eastAsia="Open Sans" w:hAnsi="Open Sans" w:cs="Open Sans"/>
        </w:rPr>
        <w:t>los dos</w:t>
      </w:r>
      <w:r w:rsidRPr="00366242">
        <w:rPr>
          <w:rFonts w:ascii="Open Sans" w:eastAsia="Open Sans" w:hAnsi="Open Sans" w:cs="Open Sans"/>
        </w:rPr>
        <w:t xml:space="preserve"> casos </w:t>
      </w:r>
      <w:r w:rsidR="00457CA5">
        <w:rPr>
          <w:rFonts w:ascii="Open Sans" w:eastAsia="Open Sans" w:hAnsi="Open Sans" w:cs="Open Sans"/>
        </w:rPr>
        <w:t>se elevan al</w:t>
      </w:r>
      <w:r w:rsidRPr="00366242">
        <w:rPr>
          <w:rFonts w:ascii="Open Sans" w:eastAsia="Open Sans" w:hAnsi="Open Sans" w:cs="Open Sans"/>
        </w:rPr>
        <w:t xml:space="preserve"> 15% los </w:t>
      </w:r>
      <w:r>
        <w:rPr>
          <w:rFonts w:ascii="Open Sans" w:eastAsia="Open Sans" w:hAnsi="Open Sans" w:cs="Open Sans"/>
        </w:rPr>
        <w:t xml:space="preserve">individuos </w:t>
      </w:r>
      <w:r w:rsidRPr="00366242">
        <w:rPr>
          <w:rFonts w:ascii="Open Sans" w:eastAsia="Open Sans" w:hAnsi="Open Sans" w:cs="Open Sans"/>
        </w:rPr>
        <w:t>mayores de 18 años que aseguran haber realizado a</w:t>
      </w:r>
      <w:r>
        <w:rPr>
          <w:rFonts w:ascii="Open Sans" w:eastAsia="Open Sans" w:hAnsi="Open Sans" w:cs="Open Sans"/>
        </w:rPr>
        <w:t>l</w:t>
      </w:r>
      <w:r w:rsidRPr="00366242">
        <w:rPr>
          <w:rFonts w:ascii="Open Sans" w:eastAsia="Open Sans" w:hAnsi="Open Sans" w:cs="Open Sans"/>
        </w:rPr>
        <w:t>guna acción durante el último año</w:t>
      </w:r>
      <w:r w:rsidR="00457CA5">
        <w:rPr>
          <w:rFonts w:ascii="Open Sans" w:eastAsia="Open Sans" w:hAnsi="Open Sans" w:cs="Open Sans"/>
        </w:rPr>
        <w:t xml:space="preserve"> en el mercado inmobiliario</w:t>
      </w:r>
      <w:r>
        <w:rPr>
          <w:rFonts w:ascii="Open Sans" w:eastAsia="Open Sans" w:hAnsi="Open Sans" w:cs="Open Sans"/>
        </w:rPr>
        <w:t>, tanto en la compraventa como en el alquiler.</w:t>
      </w:r>
      <w:r w:rsidR="006E025A">
        <w:rPr>
          <w:rFonts w:ascii="Open Sans" w:eastAsia="Open Sans" w:hAnsi="Open Sans" w:cs="Open Sans"/>
        </w:rPr>
        <w:t xml:space="preserve"> Esta creciente igualdad contradice el peso histórico de ambos segmentos, puesto que</w:t>
      </w:r>
      <w:r w:rsidR="0091794E">
        <w:rPr>
          <w:rFonts w:ascii="Open Sans" w:eastAsia="Open Sans" w:hAnsi="Open Sans" w:cs="Open Sans"/>
        </w:rPr>
        <w:t xml:space="preserve"> en el pasado</w:t>
      </w:r>
      <w:r w:rsidR="006E025A">
        <w:rPr>
          <w:rFonts w:ascii="Open Sans" w:eastAsia="Open Sans" w:hAnsi="Open Sans" w:cs="Open Sans"/>
        </w:rPr>
        <w:t xml:space="preserve"> </w:t>
      </w:r>
      <w:r w:rsidR="0091794E">
        <w:rPr>
          <w:rFonts w:ascii="Open Sans" w:eastAsia="Open Sans" w:hAnsi="Open Sans" w:cs="Open Sans"/>
        </w:rPr>
        <w:t>los particulares participando en el mercado del arrendamiento llegaron a superar en siete puntos a quienes optaban por la compraventa en determinados periodos.</w:t>
      </w:r>
      <w:r w:rsidR="006E025A">
        <w:rPr>
          <w:rFonts w:ascii="Open Sans" w:eastAsia="Open Sans" w:hAnsi="Open Sans" w:cs="Open Sans"/>
        </w:rPr>
        <w:t xml:space="preserve"> </w:t>
      </w:r>
    </w:p>
    <w:p w14:paraId="1397BD91" w14:textId="77777777" w:rsidR="00366242" w:rsidRDefault="00366242" w:rsidP="00366242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0132C6B6" w14:textId="6560324C" w:rsidR="00366242" w:rsidRPr="00016900" w:rsidRDefault="00366242" w:rsidP="00366242">
      <w:pPr>
        <w:spacing w:line="276" w:lineRule="auto"/>
        <w:jc w:val="both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55D02975" wp14:editId="039D730C">
            <wp:extent cx="5760720" cy="3194685"/>
            <wp:effectExtent l="0" t="0" r="0" b="5715"/>
            <wp:docPr id="1531954108" name="Picture 4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54108" name="Picture 4" descr="A graph with numbers an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F9BE0" w14:textId="77777777" w:rsidR="00BF2706" w:rsidRDefault="00BF2706">
      <w:pPr>
        <w:spacing w:line="276" w:lineRule="auto"/>
        <w:jc w:val="both"/>
        <w:rPr>
          <w:rFonts w:ascii="Open Sans" w:eastAsia="Open Sans" w:hAnsi="Open Sans" w:cs="Open Sans"/>
        </w:rPr>
      </w:pPr>
    </w:p>
    <w:p w14:paraId="13E978A4" w14:textId="77777777" w:rsidR="00106D23" w:rsidRDefault="00106D23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3FFEF9E6" w14:textId="77777777" w:rsidR="009F0A42" w:rsidRDefault="009F0A42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45D19CEE" w14:textId="77777777" w:rsidR="009F0A42" w:rsidRDefault="009F0A42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27CD2C17" w14:textId="77777777" w:rsidR="009F0A42" w:rsidRDefault="009F0A42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6793C694" w14:textId="77777777" w:rsidR="009F0A42" w:rsidRDefault="009F0A42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5174FD76" w14:textId="77777777" w:rsidR="009F0A42" w:rsidRDefault="009F0A42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14A2B7F6" w14:textId="77777777" w:rsidR="009F0A42" w:rsidRDefault="009F0A42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4A6B2BC5" w14:textId="3ECDEFD1" w:rsidR="00180955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Sobre Fotocasa</w:t>
      </w:r>
    </w:p>
    <w:p w14:paraId="0C7AEEAD" w14:textId="77777777" w:rsidR="0018095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6">
        <w:r w:rsidR="00180955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7">
        <w:r w:rsidR="00180955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0" w:name="_heading=h.2s8eyo1" w:colFirst="0" w:colLast="0"/>
    <w:bookmarkEnd w:id="0"/>
    <w:p w14:paraId="6323089C" w14:textId="77777777" w:rsidR="00180955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 w:rsidR="00180955">
        <w:fldChar w:fldCharType="begin"/>
      </w:r>
      <w:r w:rsidR="00180955">
        <w:instrText>HYPERLINK "https://www.adevinta.com/" \h</w:instrText>
      </w:r>
      <w:r w:rsidR="00180955">
        <w:fldChar w:fldCharType="separate"/>
      </w:r>
      <w:r w:rsidR="00180955"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 w:rsidR="00180955"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520E377D" w14:textId="77777777" w:rsidR="00180955" w:rsidRDefault="00180955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hyperlink r:id="rId1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1E292E1E" w14:textId="3BB5BF00" w:rsidR="00180955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</w:p>
    <w:p w14:paraId="2CDAF8EF" w14:textId="77777777" w:rsidR="00180955" w:rsidRDefault="00000000">
      <w:pPr>
        <w:spacing w:before="143" w:after="200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19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0">
        <w:proofErr w:type="spellStart"/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21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2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3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 w:rsidR="00180955">
        <w:fldChar w:fldCharType="begin"/>
      </w:r>
      <w:r w:rsidR="00180955">
        <w:instrText>HYPERLINK "https://www.milanuncios.com/" \h</w:instrText>
      </w:r>
      <w:r w:rsidR="00180955">
        <w:fldChar w:fldCharType="separate"/>
      </w:r>
      <w:r w:rsidR="00180955"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 w:rsidR="00180955"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25D92290" w14:textId="731D18C4" w:rsidR="00AA1CA3" w:rsidRPr="00AA1CA3" w:rsidRDefault="00AA1CA3" w:rsidP="00AA1CA3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r w:rsidRPr="00AA1CA3">
        <w:rPr>
          <w:rFonts w:ascii="Open Sans" w:eastAsia="Open Sans" w:hAnsi="Open Sans" w:cs="Open Sans"/>
          <w:sz w:val="22"/>
          <w:szCs w:val="22"/>
        </w:rPr>
        <w:t xml:space="preserve">Los negocios de </w:t>
      </w:r>
      <w:proofErr w:type="spellStart"/>
      <w:r w:rsidRPr="00AA1CA3"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 w:rsidRPr="00AA1CA3"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Con sede </w:t>
      </w:r>
      <w:proofErr w:type="spellStart"/>
      <w:r w:rsidRPr="00AA1CA3">
        <w:rPr>
          <w:rFonts w:ascii="Open Sans" w:eastAsia="Open Sans" w:hAnsi="Open Sans" w:cs="Open Sans"/>
          <w:sz w:val="22"/>
          <w:szCs w:val="22"/>
        </w:rPr>
        <w:t>enBarcelona</w:t>
      </w:r>
      <w:proofErr w:type="spellEnd"/>
      <w:r w:rsidRPr="00AA1CA3">
        <w:rPr>
          <w:rFonts w:ascii="Open Sans" w:eastAsia="Open Sans" w:hAnsi="Open Sans" w:cs="Open Sans"/>
          <w:sz w:val="22"/>
          <w:szCs w:val="22"/>
        </w:rPr>
        <w:t>, la compañía cuenta con una plantilla de más de 1.000 personas comprometidas con fomentar un cambio positivo en el mundo a través de tecnología innovadora, otorgando una nueva oportunidad a quienes la están buscando y dando a las cosas una segunda vida.</w:t>
      </w:r>
    </w:p>
    <w:p w14:paraId="04454F55" w14:textId="77777777" w:rsidR="00AA1CA3" w:rsidRDefault="00AA1CA3" w:rsidP="00AA1CA3">
      <w:pPr>
        <w:spacing w:before="143" w:after="200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 w:rsidRPr="00AA1CA3"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 w:rsidRPr="00AA1CA3"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2.500 millones de visitas cada mes.</w:t>
      </w:r>
    </w:p>
    <w:p w14:paraId="1C00024A" w14:textId="3E4BFD68" w:rsidR="00180955" w:rsidRDefault="00000000" w:rsidP="00AA1CA3">
      <w:pPr>
        <w:spacing w:before="143" w:after="20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4">
        <w:r w:rsidR="0018095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4764919F" w14:textId="77777777" w:rsidR="00180955" w:rsidRDefault="00180955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78335833" w14:textId="77777777" w:rsidR="00180955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64CB9BC1" w14:textId="77777777" w:rsidR="00180955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7223256F" w14:textId="77777777" w:rsidR="00180955" w:rsidRDefault="00180955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54F94AB7" w14:textId="72B56500" w:rsidR="00180955" w:rsidRDefault="00000000" w:rsidP="006076C3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sectPr w:rsidR="00180955">
      <w:footerReference w:type="default" r:id="rId26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2E98C" w14:textId="77777777" w:rsidR="00006FC9" w:rsidRDefault="00006FC9">
      <w:r>
        <w:separator/>
      </w:r>
    </w:p>
  </w:endnote>
  <w:endnote w:type="continuationSeparator" w:id="0">
    <w:p w14:paraId="398D42BD" w14:textId="77777777" w:rsidR="00006FC9" w:rsidRDefault="00006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E7DE7AB-6CB1-4B31-85AB-A3D28010C5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770A612-69EA-49A2-B9C6-3F6027EEFDFF}"/>
    <w:embedBold r:id="rId3" w:fontKey="{C4737513-0C37-4DDC-B209-E1A33D228D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A2EB0D5-E753-4709-B4ED-CED56B2D18EA}"/>
    <w:embedItalic r:id="rId5" w:fontKey="{E4AEB194-4B45-4FB0-98C2-5855B71D97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E70060-5131-4BED-BDF4-0867AF53D8FB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BC19A33F-D543-457D-945D-10735EF66A8F}"/>
    <w:embedBold r:id="rId8" w:fontKey="{14EF52C7-14CC-4569-A8B3-34CC94C05D41}"/>
    <w:embedItalic r:id="rId9" w:fontKey="{137CE3FD-B7D6-4B13-A069-55868ED41718}"/>
    <w:embedBoldItalic r:id="rId10" w:fontKey="{CF6EA32F-87C7-44F6-8BC6-03969A206487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1" w:fontKey="{96D422CE-6C1A-4B23-A114-BFD7C6DB5712}"/>
    <w:embedBold r:id="rId12" w:fontKey="{FFA10646-70B5-4ED8-B16B-6EF96EC6A0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52AFE" w14:textId="77777777" w:rsidR="001809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143B85" wp14:editId="313C5880">
          <wp:simplePos x="0" y="0"/>
          <wp:positionH relativeFrom="column">
            <wp:posOffset>-1068046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C1F62" w14:textId="77777777" w:rsidR="00006FC9" w:rsidRDefault="00006FC9">
      <w:r>
        <w:separator/>
      </w:r>
    </w:p>
  </w:footnote>
  <w:footnote w:type="continuationSeparator" w:id="0">
    <w:p w14:paraId="7DC2EC3D" w14:textId="77777777" w:rsidR="00006FC9" w:rsidRDefault="00006F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436EE"/>
    <w:multiLevelType w:val="multilevel"/>
    <w:tmpl w:val="26505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86793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955"/>
    <w:rsid w:val="00006FC9"/>
    <w:rsid w:val="00016900"/>
    <w:rsid w:val="000520D4"/>
    <w:rsid w:val="00085AA1"/>
    <w:rsid w:val="000A3D78"/>
    <w:rsid w:val="000E4824"/>
    <w:rsid w:val="00102A9B"/>
    <w:rsid w:val="00106D23"/>
    <w:rsid w:val="00140C10"/>
    <w:rsid w:val="00147914"/>
    <w:rsid w:val="00155847"/>
    <w:rsid w:val="00173857"/>
    <w:rsid w:val="00180955"/>
    <w:rsid w:val="001A68F8"/>
    <w:rsid w:val="00207FEB"/>
    <w:rsid w:val="0025158B"/>
    <w:rsid w:val="00291D66"/>
    <w:rsid w:val="00366242"/>
    <w:rsid w:val="00392736"/>
    <w:rsid w:val="003B2CA5"/>
    <w:rsid w:val="003C2CC2"/>
    <w:rsid w:val="003E23AE"/>
    <w:rsid w:val="003F1673"/>
    <w:rsid w:val="00401690"/>
    <w:rsid w:val="00455355"/>
    <w:rsid w:val="00457CA5"/>
    <w:rsid w:val="00476580"/>
    <w:rsid w:val="004A4B0A"/>
    <w:rsid w:val="004B3450"/>
    <w:rsid w:val="00501D3F"/>
    <w:rsid w:val="005119E7"/>
    <w:rsid w:val="005265F9"/>
    <w:rsid w:val="005269DC"/>
    <w:rsid w:val="0059394A"/>
    <w:rsid w:val="006076C3"/>
    <w:rsid w:val="00646277"/>
    <w:rsid w:val="006E025A"/>
    <w:rsid w:val="00705A8E"/>
    <w:rsid w:val="00727F30"/>
    <w:rsid w:val="007300AB"/>
    <w:rsid w:val="00747EBD"/>
    <w:rsid w:val="00786C9A"/>
    <w:rsid w:val="007B7C51"/>
    <w:rsid w:val="007D5493"/>
    <w:rsid w:val="007E74DD"/>
    <w:rsid w:val="007F77FF"/>
    <w:rsid w:val="00803859"/>
    <w:rsid w:val="008106A3"/>
    <w:rsid w:val="00825AFC"/>
    <w:rsid w:val="00836DF2"/>
    <w:rsid w:val="008969D0"/>
    <w:rsid w:val="00896E0D"/>
    <w:rsid w:val="008B0923"/>
    <w:rsid w:val="009033AB"/>
    <w:rsid w:val="0091794E"/>
    <w:rsid w:val="00965C89"/>
    <w:rsid w:val="00985B60"/>
    <w:rsid w:val="009B06AB"/>
    <w:rsid w:val="009C3888"/>
    <w:rsid w:val="009F0A42"/>
    <w:rsid w:val="00A029E7"/>
    <w:rsid w:val="00A46B2F"/>
    <w:rsid w:val="00A6696F"/>
    <w:rsid w:val="00AA1CA3"/>
    <w:rsid w:val="00AA2ACD"/>
    <w:rsid w:val="00B12FD8"/>
    <w:rsid w:val="00BF0263"/>
    <w:rsid w:val="00BF2706"/>
    <w:rsid w:val="00C373FB"/>
    <w:rsid w:val="00C467C5"/>
    <w:rsid w:val="00CC29F3"/>
    <w:rsid w:val="00D11FC9"/>
    <w:rsid w:val="00D21330"/>
    <w:rsid w:val="00D22B62"/>
    <w:rsid w:val="00D331CD"/>
    <w:rsid w:val="00D76BAD"/>
    <w:rsid w:val="00DB1C5B"/>
    <w:rsid w:val="00DB3861"/>
    <w:rsid w:val="00DB4E09"/>
    <w:rsid w:val="00E16DA6"/>
    <w:rsid w:val="00E17A78"/>
    <w:rsid w:val="00E371AF"/>
    <w:rsid w:val="00EC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274A1"/>
  <w15:docId w15:val="{F7E4EEA4-960B-4924-BDF8-049A99DA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2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18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8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otocasa.es/es/" TargetMode="External"/><Relationship Id="rId18" Type="http://schemas.openxmlformats.org/officeDocument/2006/relationships/hyperlink" Target="https://www.fotocasa.es/es/quienes-somos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infojobs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prensa.fotocasa.es" TargetMode="External"/><Relationship Id="rId25" Type="http://schemas.openxmlformats.org/officeDocument/2006/relationships/hyperlink" Target="mailto:comunicacion@fotocasa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tocasa.es/indice/" TargetMode="External"/><Relationship Id="rId20" Type="http://schemas.openxmlformats.org/officeDocument/2006/relationships/hyperlink" Target="https://www.habitaclia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adevinta.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motos.coches.net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esearch.fotocasa.es/" TargetMode="External"/><Relationship Id="rId19" Type="http://schemas.openxmlformats.org/officeDocument/2006/relationships/hyperlink" Target="https://www.fotocasa.es/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36360.pcdn.co/wp-content/uploads/2025/06/Informe-Radiografia-en-el-mercado-de-Andalucia-en-primer-semestre-2025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coches.net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cgOkIYMBgvy2C2dWpt85mX6NCQ==">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/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+QDxhIGhyZWY9Im1haWx0bzptYXJpYS5tYXRvc0BhZGV2aW50YS5jb20iIHRhcmdldD0iX2JsYW5rIj5tYXJpYS5tYXRvc0BhZGV2aW50YS5jb208L2E+sAEAuAEAGMrY1IGgMiDC+4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+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/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+9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/SgaAyIOT+9POhMjAAQhBraXguNXZoY3gyMjR6enlrMgloLjJzOGV5bzE4AHIhMXZVYXpKRS1aUjZ5RERrc1VFRVJSa1JUSDhFbGE0ZX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6</Pages>
  <Words>1230</Words>
  <Characters>6766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26</cp:revision>
  <dcterms:created xsi:type="dcterms:W3CDTF">2024-02-06T13:46:00Z</dcterms:created>
  <dcterms:modified xsi:type="dcterms:W3CDTF">2025-06-19T12:43:00Z</dcterms:modified>
</cp:coreProperties>
</file>