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099F" w14:textId="77777777" w:rsidR="00EE57D7" w:rsidRDefault="00924841">
      <w:pPr>
        <w:ind w:right="-574"/>
      </w:pPr>
      <w:bookmarkStart w:id="0" w:name="_heading=h.gjdgxs" w:colFirst="0" w:colLast="0"/>
      <w:bookmarkEnd w:id="0"/>
      <w:r>
        <w:rPr>
          <w:noProof/>
        </w:rPr>
        <w:drawing>
          <wp:anchor distT="0" distB="0" distL="114300" distR="114300" simplePos="0" relativeHeight="251658240" behindDoc="0" locked="0" layoutInCell="1" hidden="0" allowOverlap="1" wp14:anchorId="7EB40936" wp14:editId="4F063AE8">
            <wp:simplePos x="0" y="0"/>
            <wp:positionH relativeFrom="column">
              <wp:posOffset>-1139190</wp:posOffset>
            </wp:positionH>
            <wp:positionV relativeFrom="paragraph">
              <wp:posOffset>-768985</wp:posOffset>
            </wp:positionV>
            <wp:extent cx="7581265" cy="101917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5F65E7A9" w14:textId="77777777" w:rsidR="00EE57D7" w:rsidRDefault="00EE57D7">
      <w:pPr>
        <w:ind w:right="-574"/>
        <w:jc w:val="right"/>
        <w:rPr>
          <w:rFonts w:ascii="National" w:eastAsia="National" w:hAnsi="National" w:cs="National"/>
          <w:color w:val="303AB2"/>
          <w:sz w:val="36"/>
          <w:szCs w:val="36"/>
        </w:rPr>
      </w:pPr>
    </w:p>
    <w:p w14:paraId="6375227F" w14:textId="77777777" w:rsidR="00EE57D7" w:rsidRDefault="00EE57D7">
      <w:pPr>
        <w:ind w:right="-574"/>
        <w:jc w:val="right"/>
        <w:rPr>
          <w:rFonts w:ascii="National" w:eastAsia="National" w:hAnsi="National" w:cs="National"/>
          <w:color w:val="303AB2"/>
          <w:sz w:val="36"/>
          <w:szCs w:val="36"/>
        </w:rPr>
      </w:pPr>
    </w:p>
    <w:p w14:paraId="241B8B02" w14:textId="4DA25BF8" w:rsidR="00EE57D7" w:rsidRPr="00DD5442" w:rsidRDefault="00F3433E">
      <w:pPr>
        <w:spacing w:line="276" w:lineRule="auto"/>
        <w:ind w:right="-574"/>
        <w:jc w:val="center"/>
        <w:rPr>
          <w:rFonts w:ascii="National" w:eastAsia="National" w:hAnsi="National" w:cs="National"/>
          <w:b/>
          <w:color w:val="1DBDC5"/>
          <w:sz w:val="32"/>
          <w:szCs w:val="32"/>
        </w:rPr>
      </w:pPr>
      <w:r w:rsidRPr="00DD5442">
        <w:rPr>
          <w:rFonts w:ascii="National" w:eastAsia="National" w:hAnsi="National" w:cs="National"/>
          <w:b/>
          <w:color w:val="1DBDC5"/>
          <w:sz w:val="32"/>
          <w:szCs w:val="32"/>
        </w:rPr>
        <w:t>202</w:t>
      </w:r>
      <w:r w:rsidR="00FB4E01" w:rsidRPr="00DD5442">
        <w:rPr>
          <w:rFonts w:ascii="National" w:eastAsia="National" w:hAnsi="National" w:cs="National"/>
          <w:b/>
          <w:color w:val="1DBDC5"/>
          <w:sz w:val="32"/>
          <w:szCs w:val="32"/>
        </w:rPr>
        <w:t>5</w:t>
      </w:r>
      <w:r w:rsidRPr="00DD5442">
        <w:rPr>
          <w:rFonts w:ascii="National" w:eastAsia="National" w:hAnsi="National" w:cs="National"/>
          <w:b/>
          <w:color w:val="1DBDC5"/>
          <w:sz w:val="32"/>
          <w:szCs w:val="32"/>
        </w:rPr>
        <w:t xml:space="preserve">: </w:t>
      </w:r>
      <w:r w:rsidR="00924841" w:rsidRPr="00DD5442">
        <w:rPr>
          <w:rFonts w:ascii="National" w:eastAsia="National" w:hAnsi="National" w:cs="National"/>
          <w:b/>
          <w:color w:val="1DBDC5"/>
          <w:sz w:val="32"/>
          <w:szCs w:val="32"/>
        </w:rPr>
        <w:t>ANÁLISIS RENTABILIDAD ZONAS COSTERAS</w:t>
      </w:r>
    </w:p>
    <w:p w14:paraId="25E63FE2" w14:textId="5440F8AF" w:rsidR="00B254AB" w:rsidRPr="00B254AB" w:rsidRDefault="00C965DC" w:rsidP="00B254AB">
      <w:pPr>
        <w:ind w:right="-574"/>
        <w:jc w:val="center"/>
        <w:rPr>
          <w:rFonts w:ascii="National" w:eastAsia="National" w:hAnsi="National" w:cs="National"/>
          <w:b/>
          <w:color w:val="303AB2"/>
          <w:sz w:val="56"/>
          <w:szCs w:val="56"/>
        </w:rPr>
      </w:pPr>
      <w:r>
        <w:rPr>
          <w:rFonts w:ascii="National" w:eastAsia="National" w:hAnsi="National" w:cs="National"/>
          <w:b/>
          <w:color w:val="303AB2"/>
          <w:sz w:val="56"/>
          <w:szCs w:val="56"/>
        </w:rPr>
        <w:t>En un año d</w:t>
      </w:r>
      <w:r w:rsidR="00B254AB" w:rsidRPr="00B254AB">
        <w:rPr>
          <w:rFonts w:ascii="National" w:eastAsia="National" w:hAnsi="National" w:cs="National"/>
          <w:b/>
          <w:color w:val="303AB2"/>
          <w:sz w:val="56"/>
          <w:szCs w:val="56"/>
        </w:rPr>
        <w:t>esciende la rentabilidad</w:t>
      </w:r>
      <w:r w:rsidR="009D0A36">
        <w:rPr>
          <w:rFonts w:ascii="National" w:eastAsia="National" w:hAnsi="National" w:cs="National"/>
          <w:b/>
          <w:color w:val="303AB2"/>
          <w:sz w:val="56"/>
          <w:szCs w:val="56"/>
        </w:rPr>
        <w:t xml:space="preserve"> de la vivienda</w:t>
      </w:r>
      <w:r w:rsidR="00B254AB" w:rsidRPr="00B254AB">
        <w:rPr>
          <w:rFonts w:ascii="National" w:eastAsia="National" w:hAnsi="National" w:cs="National"/>
          <w:b/>
          <w:color w:val="303AB2"/>
          <w:sz w:val="56"/>
          <w:szCs w:val="56"/>
        </w:rPr>
        <w:t xml:space="preserve"> en el 81% de los municipios de costa </w:t>
      </w:r>
    </w:p>
    <w:p w14:paraId="41407D3C" w14:textId="77777777" w:rsidR="00EE57D7" w:rsidRPr="002C5D29" w:rsidRDefault="00EE57D7">
      <w:pPr>
        <w:ind w:right="-574"/>
        <w:jc w:val="center"/>
        <w:rPr>
          <w:rFonts w:ascii="National" w:eastAsia="National" w:hAnsi="National" w:cs="National"/>
          <w:b/>
          <w:color w:val="303AB2"/>
          <w:sz w:val="16"/>
          <w:szCs w:val="16"/>
        </w:rPr>
      </w:pPr>
    </w:p>
    <w:p w14:paraId="743D1442" w14:textId="77777777" w:rsidR="00C965DC" w:rsidRDefault="00C965DC" w:rsidP="00C965DC">
      <w:pPr>
        <w:pBdr>
          <w:top w:val="nil"/>
          <w:left w:val="nil"/>
          <w:bottom w:val="nil"/>
          <w:right w:val="nil"/>
          <w:between w:val="nil"/>
        </w:pBdr>
        <w:spacing w:line="276" w:lineRule="auto"/>
        <w:ind w:left="720" w:right="-574"/>
        <w:jc w:val="both"/>
        <w:rPr>
          <w:rFonts w:ascii="Open Sans" w:eastAsia="Open Sans" w:hAnsi="Open Sans" w:cs="Open Sans"/>
          <w:color w:val="000000"/>
          <w:sz w:val="22"/>
          <w:szCs w:val="22"/>
        </w:rPr>
      </w:pPr>
    </w:p>
    <w:p w14:paraId="7FBD2CE2" w14:textId="0347CAD6" w:rsidR="00B254AB" w:rsidRDefault="00B254AB" w:rsidP="00D730AF">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sidRPr="00B254AB">
        <w:rPr>
          <w:rFonts w:ascii="Open Sans" w:eastAsia="Open Sans" w:hAnsi="Open Sans" w:cs="Open Sans"/>
          <w:color w:val="000000"/>
          <w:sz w:val="22"/>
          <w:szCs w:val="22"/>
        </w:rPr>
        <w:t>Adra (Almería) es la ciudad costera más rentable con un 13,7% en junio</w:t>
      </w:r>
    </w:p>
    <w:p w14:paraId="74EC669C" w14:textId="7D2140BA" w:rsidR="00173BE4" w:rsidRDefault="00924841" w:rsidP="00D730AF">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media en España </w:t>
      </w:r>
      <w:r w:rsidR="00094753">
        <w:rPr>
          <w:rFonts w:ascii="Open Sans" w:eastAsia="Open Sans" w:hAnsi="Open Sans" w:cs="Open Sans"/>
          <w:color w:val="000000"/>
          <w:sz w:val="22"/>
          <w:szCs w:val="22"/>
        </w:rPr>
        <w:t>se sitúa en un 6,</w:t>
      </w:r>
      <w:r w:rsidR="004333A5">
        <w:rPr>
          <w:rFonts w:ascii="Open Sans" w:eastAsia="Open Sans" w:hAnsi="Open Sans" w:cs="Open Sans"/>
          <w:color w:val="000000"/>
          <w:sz w:val="22"/>
          <w:szCs w:val="22"/>
        </w:rPr>
        <w:t>5</w:t>
      </w:r>
      <w:r w:rsidR="00094753">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en </w:t>
      </w:r>
      <w:r w:rsidR="004333A5">
        <w:rPr>
          <w:rFonts w:ascii="Open Sans" w:eastAsia="Open Sans" w:hAnsi="Open Sans" w:cs="Open Sans"/>
          <w:color w:val="000000"/>
          <w:sz w:val="22"/>
          <w:szCs w:val="22"/>
        </w:rPr>
        <w:t>junio</w:t>
      </w:r>
      <w:r>
        <w:rPr>
          <w:rFonts w:ascii="Open Sans" w:eastAsia="Open Sans" w:hAnsi="Open Sans" w:cs="Open Sans"/>
          <w:color w:val="000000"/>
          <w:sz w:val="22"/>
          <w:szCs w:val="22"/>
        </w:rPr>
        <w:t xml:space="preserve"> de 202</w:t>
      </w:r>
      <w:r w:rsidR="00377AAA">
        <w:rPr>
          <w:rFonts w:ascii="Open Sans" w:eastAsia="Open Sans" w:hAnsi="Open Sans" w:cs="Open Sans"/>
          <w:color w:val="000000"/>
          <w:sz w:val="22"/>
          <w:szCs w:val="22"/>
        </w:rPr>
        <w:t>5</w:t>
      </w:r>
      <w:r w:rsidR="00975390">
        <w:rPr>
          <w:rFonts w:ascii="Open Sans" w:eastAsia="Open Sans" w:hAnsi="Open Sans" w:cs="Open Sans"/>
          <w:color w:val="000000"/>
          <w:sz w:val="22"/>
          <w:szCs w:val="22"/>
        </w:rPr>
        <w:t xml:space="preserve">, mientras que hace </w:t>
      </w:r>
      <w:r w:rsidR="0090665A">
        <w:rPr>
          <w:rFonts w:ascii="Open Sans" w:eastAsia="Open Sans" w:hAnsi="Open Sans" w:cs="Open Sans"/>
          <w:color w:val="000000"/>
          <w:sz w:val="22"/>
          <w:szCs w:val="22"/>
        </w:rPr>
        <w:t>1</w:t>
      </w:r>
      <w:r w:rsidR="004333A5">
        <w:rPr>
          <w:rFonts w:ascii="Open Sans" w:eastAsia="Open Sans" w:hAnsi="Open Sans" w:cs="Open Sans"/>
          <w:color w:val="000000"/>
          <w:sz w:val="22"/>
          <w:szCs w:val="22"/>
        </w:rPr>
        <w:t xml:space="preserve">0 </w:t>
      </w:r>
      <w:r w:rsidR="00975390">
        <w:rPr>
          <w:rFonts w:ascii="Open Sans" w:eastAsia="Open Sans" w:hAnsi="Open Sans" w:cs="Open Sans"/>
          <w:color w:val="000000"/>
          <w:sz w:val="22"/>
          <w:szCs w:val="22"/>
        </w:rPr>
        <w:t>año</w:t>
      </w:r>
      <w:r w:rsidR="0090665A">
        <w:rPr>
          <w:rFonts w:ascii="Open Sans" w:eastAsia="Open Sans" w:hAnsi="Open Sans" w:cs="Open Sans"/>
          <w:color w:val="000000"/>
          <w:sz w:val="22"/>
          <w:szCs w:val="22"/>
        </w:rPr>
        <w:t>s</w:t>
      </w:r>
      <w:r w:rsidR="00975390">
        <w:rPr>
          <w:rFonts w:ascii="Open Sans" w:eastAsia="Open Sans" w:hAnsi="Open Sans" w:cs="Open Sans"/>
          <w:color w:val="000000"/>
          <w:sz w:val="22"/>
          <w:szCs w:val="22"/>
        </w:rPr>
        <w:t xml:space="preserve"> la rentabilidad se situaba en </w:t>
      </w:r>
      <w:r w:rsidR="00377AAA">
        <w:rPr>
          <w:rFonts w:ascii="Open Sans" w:eastAsia="Open Sans" w:hAnsi="Open Sans" w:cs="Open Sans"/>
          <w:color w:val="000000"/>
          <w:sz w:val="22"/>
          <w:szCs w:val="22"/>
        </w:rPr>
        <w:t>4,3</w:t>
      </w:r>
      <w:r w:rsidR="00975390">
        <w:rPr>
          <w:rFonts w:ascii="Open Sans" w:eastAsia="Open Sans" w:hAnsi="Open Sans" w:cs="Open Sans"/>
          <w:color w:val="000000"/>
          <w:sz w:val="22"/>
          <w:szCs w:val="22"/>
        </w:rPr>
        <w:t>%</w:t>
      </w:r>
    </w:p>
    <w:p w14:paraId="01B49C77" w14:textId="28B26B90" w:rsidR="00EE57D7" w:rsidRPr="00173BE4" w:rsidRDefault="00173BE4" w:rsidP="00173BE4">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sidRPr="00173BE4">
        <w:rPr>
          <w:rFonts w:ascii="Open Sans" w:eastAsia="Open Sans" w:hAnsi="Open Sans" w:cs="Open Sans"/>
          <w:color w:val="000000"/>
          <w:sz w:val="22"/>
          <w:szCs w:val="22"/>
        </w:rPr>
        <w:t>Este año solo la</w:t>
      </w:r>
      <w:r w:rsidR="004C45CA">
        <w:rPr>
          <w:rFonts w:ascii="Open Sans" w:eastAsia="Open Sans" w:hAnsi="Open Sans" w:cs="Open Sans"/>
          <w:color w:val="000000"/>
          <w:sz w:val="22"/>
          <w:szCs w:val="22"/>
        </w:rPr>
        <w:t>s</w:t>
      </w:r>
      <w:r w:rsidRPr="00173BE4">
        <w:rPr>
          <w:rFonts w:ascii="Open Sans" w:eastAsia="Open Sans" w:hAnsi="Open Sans" w:cs="Open Sans"/>
          <w:color w:val="000000"/>
          <w:sz w:val="22"/>
          <w:szCs w:val="22"/>
        </w:rPr>
        <w:t xml:space="preserve"> ciudad</w:t>
      </w:r>
      <w:r w:rsidR="004C45CA">
        <w:rPr>
          <w:rFonts w:ascii="Open Sans" w:eastAsia="Open Sans" w:hAnsi="Open Sans" w:cs="Open Sans"/>
          <w:color w:val="000000"/>
          <w:sz w:val="22"/>
          <w:szCs w:val="22"/>
        </w:rPr>
        <w:t>es</w:t>
      </w:r>
      <w:r w:rsidRPr="00173BE4">
        <w:rPr>
          <w:rFonts w:ascii="Open Sans" w:eastAsia="Open Sans" w:hAnsi="Open Sans" w:cs="Open Sans"/>
          <w:color w:val="000000"/>
          <w:sz w:val="22"/>
          <w:szCs w:val="22"/>
        </w:rPr>
        <w:t xml:space="preserve"> de </w:t>
      </w:r>
      <w:r w:rsidR="00377AAA">
        <w:rPr>
          <w:rFonts w:ascii="Open Sans" w:eastAsia="Open Sans" w:hAnsi="Open Sans" w:cs="Open Sans"/>
          <w:color w:val="000000"/>
          <w:sz w:val="22"/>
          <w:szCs w:val="22"/>
        </w:rPr>
        <w:t>Adra y San Javier</w:t>
      </w:r>
      <w:r w:rsidRPr="00173BE4">
        <w:rPr>
          <w:rFonts w:ascii="Open Sans" w:eastAsia="Open Sans" w:hAnsi="Open Sans" w:cs="Open Sans"/>
          <w:color w:val="000000"/>
          <w:sz w:val="22"/>
          <w:szCs w:val="22"/>
        </w:rPr>
        <w:t xml:space="preserve"> ofrece</w:t>
      </w:r>
      <w:r w:rsidR="004C45CA">
        <w:rPr>
          <w:rFonts w:ascii="Open Sans" w:eastAsia="Open Sans" w:hAnsi="Open Sans" w:cs="Open Sans"/>
          <w:color w:val="000000"/>
          <w:sz w:val="22"/>
          <w:szCs w:val="22"/>
        </w:rPr>
        <w:t xml:space="preserve">n </w:t>
      </w:r>
      <w:r w:rsidRPr="00173BE4">
        <w:rPr>
          <w:rFonts w:ascii="Open Sans" w:eastAsia="Open Sans" w:hAnsi="Open Sans" w:cs="Open Sans"/>
          <w:color w:val="000000"/>
          <w:sz w:val="22"/>
          <w:szCs w:val="22"/>
        </w:rPr>
        <w:t>una rentabilidad superior al 10%</w:t>
      </w:r>
      <w:r w:rsidR="00F3433E" w:rsidRPr="00173BE4">
        <w:rPr>
          <w:rFonts w:ascii="Open Sans" w:eastAsia="Open Sans" w:hAnsi="Open Sans" w:cs="Open Sans"/>
          <w:color w:val="000000"/>
          <w:sz w:val="22"/>
          <w:szCs w:val="22"/>
        </w:rPr>
        <w:t>,</w:t>
      </w:r>
      <w:r w:rsidRPr="00173BE4">
        <w:rPr>
          <w:rFonts w:ascii="Open Sans" w:eastAsia="Open Sans" w:hAnsi="Open Sans" w:cs="Open Sans"/>
          <w:color w:val="000000"/>
          <w:sz w:val="22"/>
          <w:szCs w:val="22"/>
        </w:rPr>
        <w:t xml:space="preserve"> mientras que en 202</w:t>
      </w:r>
      <w:r w:rsidR="00377AAA">
        <w:rPr>
          <w:rFonts w:ascii="Open Sans" w:eastAsia="Open Sans" w:hAnsi="Open Sans" w:cs="Open Sans"/>
          <w:color w:val="000000"/>
          <w:sz w:val="22"/>
          <w:szCs w:val="22"/>
        </w:rPr>
        <w:t>4</w:t>
      </w:r>
      <w:r w:rsidRPr="00173BE4">
        <w:rPr>
          <w:rFonts w:ascii="Open Sans" w:eastAsia="Open Sans" w:hAnsi="Open Sans" w:cs="Open Sans"/>
          <w:color w:val="000000"/>
          <w:sz w:val="22"/>
          <w:szCs w:val="22"/>
        </w:rPr>
        <w:t xml:space="preserve"> fueron </w:t>
      </w:r>
      <w:r w:rsidR="00377AAA">
        <w:rPr>
          <w:rFonts w:ascii="Open Sans" w:eastAsia="Open Sans" w:hAnsi="Open Sans" w:cs="Open Sans"/>
          <w:color w:val="000000"/>
          <w:sz w:val="22"/>
          <w:szCs w:val="22"/>
        </w:rPr>
        <w:t>tres</w:t>
      </w:r>
      <w:r w:rsidRPr="00173BE4">
        <w:rPr>
          <w:rFonts w:ascii="Open Sans" w:eastAsia="Open Sans" w:hAnsi="Open Sans" w:cs="Open Sans"/>
          <w:color w:val="000000"/>
          <w:sz w:val="22"/>
          <w:szCs w:val="22"/>
        </w:rPr>
        <w:t xml:space="preserve"> las ciudades que lo superaban</w:t>
      </w:r>
      <w:r w:rsidR="00F3433E" w:rsidRPr="00173BE4">
        <w:rPr>
          <w:rFonts w:ascii="Open Sans" w:eastAsia="Open Sans" w:hAnsi="Open Sans" w:cs="Open Sans"/>
          <w:color w:val="000000"/>
          <w:sz w:val="22"/>
          <w:szCs w:val="22"/>
        </w:rPr>
        <w:t xml:space="preserve"> </w:t>
      </w:r>
      <w:r w:rsidRPr="00173BE4">
        <w:rPr>
          <w:rFonts w:ascii="Open Sans" w:eastAsia="Open Sans" w:hAnsi="Open Sans" w:cs="Open Sans"/>
          <w:color w:val="000000"/>
          <w:sz w:val="22"/>
          <w:szCs w:val="22"/>
        </w:rPr>
        <w:t>(</w:t>
      </w:r>
      <w:r w:rsidR="00377AAA">
        <w:rPr>
          <w:rFonts w:ascii="Open Sans" w:eastAsia="Open Sans" w:hAnsi="Open Sans" w:cs="Open Sans"/>
          <w:color w:val="000000"/>
          <w:sz w:val="22"/>
          <w:szCs w:val="22"/>
        </w:rPr>
        <w:t xml:space="preserve">San Javier, Mazarrón y </w:t>
      </w:r>
      <w:r w:rsidRPr="00173BE4">
        <w:rPr>
          <w:rFonts w:ascii="Open Sans" w:eastAsia="Open Sans" w:hAnsi="Open Sans" w:cs="Open Sans"/>
          <w:color w:val="000000"/>
          <w:sz w:val="22"/>
          <w:szCs w:val="22"/>
        </w:rPr>
        <w:t>Gandía</w:t>
      </w:r>
      <w:r w:rsidR="00377AAA">
        <w:rPr>
          <w:rFonts w:ascii="Open Sans" w:eastAsia="Open Sans" w:hAnsi="Open Sans" w:cs="Open Sans"/>
          <w:color w:val="000000"/>
          <w:sz w:val="22"/>
          <w:szCs w:val="22"/>
        </w:rPr>
        <w:t>)</w:t>
      </w:r>
      <w:r w:rsidR="00F3433E" w:rsidRPr="00173BE4">
        <w:rPr>
          <w:rFonts w:ascii="Open Sans" w:eastAsia="Open Sans" w:hAnsi="Open Sans" w:cs="Open Sans"/>
          <w:color w:val="000000"/>
          <w:sz w:val="22"/>
          <w:szCs w:val="22"/>
        </w:rPr>
        <w:t xml:space="preserve"> </w:t>
      </w:r>
    </w:p>
    <w:p w14:paraId="7C36AC59" w14:textId="77777777" w:rsidR="00173BE4" w:rsidRPr="00173BE4" w:rsidRDefault="00173BE4" w:rsidP="00173BE4">
      <w:pPr>
        <w:pBdr>
          <w:top w:val="nil"/>
          <w:left w:val="nil"/>
          <w:bottom w:val="nil"/>
          <w:right w:val="nil"/>
          <w:between w:val="nil"/>
        </w:pBdr>
        <w:spacing w:line="276" w:lineRule="auto"/>
        <w:ind w:left="720" w:right="-574"/>
        <w:rPr>
          <w:rFonts w:ascii="Open Sans Light" w:eastAsia="Open Sans Light" w:hAnsi="Open Sans Light" w:cs="Open Sans Light"/>
          <w:b/>
          <w:color w:val="303AB2"/>
        </w:rPr>
      </w:pPr>
    </w:p>
    <w:p w14:paraId="08E3371C" w14:textId="11035486" w:rsidR="00EE57D7" w:rsidRDefault="00924841">
      <w:pPr>
        <w:spacing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Madrid, </w:t>
      </w:r>
      <w:r w:rsidR="00FB4E01">
        <w:rPr>
          <w:rFonts w:ascii="Open Sans Light" w:eastAsia="Open Sans Light" w:hAnsi="Open Sans Light" w:cs="Open Sans Light"/>
          <w:b/>
          <w:color w:val="303AB2"/>
        </w:rPr>
        <w:t>26</w:t>
      </w:r>
      <w:r w:rsidR="004333A5">
        <w:rPr>
          <w:rFonts w:ascii="Open Sans Light" w:eastAsia="Open Sans Light" w:hAnsi="Open Sans Light" w:cs="Open Sans Light"/>
          <w:b/>
          <w:color w:val="303AB2"/>
        </w:rPr>
        <w:t xml:space="preserve"> </w:t>
      </w:r>
      <w:r>
        <w:rPr>
          <w:rFonts w:ascii="Open Sans Light" w:eastAsia="Open Sans Light" w:hAnsi="Open Sans Light" w:cs="Open Sans Light"/>
          <w:b/>
          <w:color w:val="303AB2"/>
        </w:rPr>
        <w:t>de ju</w:t>
      </w:r>
      <w:r w:rsidR="00FB4E01">
        <w:rPr>
          <w:rFonts w:ascii="Open Sans Light" w:eastAsia="Open Sans Light" w:hAnsi="Open Sans Light" w:cs="Open Sans Light"/>
          <w:b/>
          <w:color w:val="303AB2"/>
        </w:rPr>
        <w:t>n</w:t>
      </w:r>
      <w:r>
        <w:rPr>
          <w:rFonts w:ascii="Open Sans Light" w:eastAsia="Open Sans Light" w:hAnsi="Open Sans Light" w:cs="Open Sans Light"/>
          <w:b/>
          <w:color w:val="303AB2"/>
        </w:rPr>
        <w:t>io de 202</w:t>
      </w:r>
      <w:r w:rsidR="00FB4E01">
        <w:rPr>
          <w:rFonts w:ascii="Open Sans Light" w:eastAsia="Open Sans Light" w:hAnsi="Open Sans Light" w:cs="Open Sans Light"/>
          <w:b/>
          <w:color w:val="303AB2"/>
        </w:rPr>
        <w:t>5</w:t>
      </w:r>
    </w:p>
    <w:p w14:paraId="69CAC746" w14:textId="5363F379" w:rsidR="00FE017C" w:rsidRDefault="00FE017C">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de la vivienda ha pasado por distintos escenarios a lo largo de los últimos años, y en concreto, las ciudades costeras de </w:t>
      </w:r>
      <w:r w:rsidR="00F3433E">
        <w:rPr>
          <w:rFonts w:ascii="Open Sans" w:eastAsia="Open Sans" w:hAnsi="Open Sans" w:cs="Open Sans"/>
          <w:color w:val="000000"/>
          <w:sz w:val="22"/>
          <w:szCs w:val="22"/>
        </w:rPr>
        <w:t>España</w:t>
      </w:r>
      <w:r w:rsidR="00D73ACD">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han experimentado un cambio </w:t>
      </w:r>
      <w:r w:rsidR="00F3433E">
        <w:rPr>
          <w:rFonts w:ascii="Open Sans" w:eastAsia="Open Sans" w:hAnsi="Open Sans" w:cs="Open Sans"/>
          <w:color w:val="000000"/>
          <w:sz w:val="22"/>
          <w:szCs w:val="22"/>
        </w:rPr>
        <w:t>de rentabilidad</w:t>
      </w:r>
      <w:r>
        <w:rPr>
          <w:rFonts w:ascii="Open Sans" w:eastAsia="Open Sans" w:hAnsi="Open Sans" w:cs="Open Sans"/>
          <w:color w:val="000000"/>
          <w:sz w:val="22"/>
          <w:szCs w:val="22"/>
        </w:rPr>
        <w:t xml:space="preserve"> que hace </w:t>
      </w:r>
      <w:r w:rsidR="00735E2D">
        <w:rPr>
          <w:rFonts w:ascii="Open Sans" w:eastAsia="Open Sans" w:hAnsi="Open Sans" w:cs="Open Sans"/>
          <w:color w:val="000000"/>
          <w:sz w:val="22"/>
          <w:szCs w:val="22"/>
        </w:rPr>
        <w:t xml:space="preserve">cada vez más </w:t>
      </w:r>
      <w:r>
        <w:rPr>
          <w:rFonts w:ascii="Open Sans" w:eastAsia="Open Sans" w:hAnsi="Open Sans" w:cs="Open Sans"/>
          <w:color w:val="000000"/>
          <w:sz w:val="22"/>
          <w:szCs w:val="22"/>
        </w:rPr>
        <w:t xml:space="preserve">atractiva la idea de invertir en </w:t>
      </w:r>
      <w:r w:rsidR="00094753">
        <w:rPr>
          <w:rFonts w:ascii="Open Sans" w:eastAsia="Open Sans" w:hAnsi="Open Sans" w:cs="Open Sans"/>
          <w:color w:val="000000"/>
          <w:sz w:val="22"/>
          <w:szCs w:val="22"/>
        </w:rPr>
        <w:t xml:space="preserve">ese tipo de </w:t>
      </w:r>
      <w:r>
        <w:rPr>
          <w:rFonts w:ascii="Open Sans" w:eastAsia="Open Sans" w:hAnsi="Open Sans" w:cs="Open Sans"/>
          <w:color w:val="000000"/>
          <w:sz w:val="22"/>
          <w:szCs w:val="22"/>
        </w:rPr>
        <w:t>vivienda</w:t>
      </w:r>
      <w:r w:rsidR="00735E2D">
        <w:rPr>
          <w:rFonts w:ascii="Open Sans" w:eastAsia="Open Sans" w:hAnsi="Open Sans" w:cs="Open Sans"/>
          <w:color w:val="000000"/>
          <w:sz w:val="22"/>
          <w:szCs w:val="22"/>
        </w:rPr>
        <w:t>s</w:t>
      </w:r>
      <w:r>
        <w:rPr>
          <w:rFonts w:ascii="Open Sans" w:eastAsia="Open Sans" w:hAnsi="Open Sans" w:cs="Open Sans"/>
          <w:color w:val="000000"/>
          <w:sz w:val="22"/>
          <w:szCs w:val="22"/>
        </w:rPr>
        <w:t>.</w:t>
      </w:r>
      <w:r w:rsidR="0014158E">
        <w:rPr>
          <w:rFonts w:ascii="Open Sans" w:eastAsia="Open Sans" w:hAnsi="Open Sans" w:cs="Open Sans"/>
          <w:color w:val="000000"/>
          <w:sz w:val="22"/>
          <w:szCs w:val="22"/>
        </w:rPr>
        <w:t xml:space="preserve"> Muestra de ello </w:t>
      </w:r>
      <w:r w:rsidR="00E04B49">
        <w:rPr>
          <w:rFonts w:ascii="Open Sans" w:eastAsia="Open Sans" w:hAnsi="Open Sans" w:cs="Open Sans"/>
          <w:color w:val="000000"/>
          <w:sz w:val="22"/>
          <w:szCs w:val="22"/>
        </w:rPr>
        <w:t>es</w:t>
      </w:r>
      <w:r w:rsidR="0014158E">
        <w:rPr>
          <w:rFonts w:ascii="Open Sans" w:eastAsia="Open Sans" w:hAnsi="Open Sans" w:cs="Open Sans"/>
          <w:color w:val="000000"/>
          <w:sz w:val="22"/>
          <w:szCs w:val="22"/>
        </w:rPr>
        <w:t xml:space="preserve"> </w:t>
      </w:r>
      <w:r w:rsidR="0014158E" w:rsidRPr="007D2074">
        <w:rPr>
          <w:rFonts w:ascii="Open Sans" w:eastAsia="Open Sans" w:hAnsi="Open Sans" w:cs="Open Sans"/>
          <w:b/>
          <w:bCs/>
          <w:color w:val="000000"/>
          <w:sz w:val="22"/>
          <w:szCs w:val="22"/>
        </w:rPr>
        <w:t>la ciudad</w:t>
      </w:r>
      <w:r w:rsidR="00E04B49" w:rsidRPr="007D2074">
        <w:rPr>
          <w:rFonts w:ascii="Open Sans" w:eastAsia="Open Sans" w:hAnsi="Open Sans" w:cs="Open Sans"/>
          <w:b/>
          <w:bCs/>
          <w:color w:val="000000"/>
          <w:sz w:val="22"/>
          <w:szCs w:val="22"/>
        </w:rPr>
        <w:t xml:space="preserve"> de </w:t>
      </w:r>
      <w:r w:rsidR="00FB4E01" w:rsidRPr="007D2074">
        <w:rPr>
          <w:rFonts w:ascii="Open Sans" w:eastAsia="Open Sans" w:hAnsi="Open Sans" w:cs="Open Sans"/>
          <w:b/>
          <w:bCs/>
          <w:color w:val="000000"/>
          <w:sz w:val="22"/>
          <w:szCs w:val="22"/>
        </w:rPr>
        <w:t>Adra</w:t>
      </w:r>
      <w:r w:rsidR="0014158E" w:rsidRPr="007D2074">
        <w:rPr>
          <w:rFonts w:ascii="Open Sans" w:eastAsia="Open Sans" w:hAnsi="Open Sans" w:cs="Open Sans"/>
          <w:b/>
          <w:bCs/>
          <w:color w:val="000000"/>
          <w:sz w:val="22"/>
          <w:szCs w:val="22"/>
        </w:rPr>
        <w:t xml:space="preserve">, en </w:t>
      </w:r>
      <w:r w:rsidR="00FB4E01" w:rsidRPr="007D2074">
        <w:rPr>
          <w:rFonts w:ascii="Open Sans" w:eastAsia="Open Sans" w:hAnsi="Open Sans" w:cs="Open Sans"/>
          <w:b/>
          <w:bCs/>
          <w:color w:val="000000"/>
          <w:sz w:val="22"/>
          <w:szCs w:val="22"/>
        </w:rPr>
        <w:t>Almería</w:t>
      </w:r>
      <w:r w:rsidR="0014158E" w:rsidRPr="007D2074">
        <w:rPr>
          <w:rFonts w:ascii="Open Sans" w:eastAsia="Open Sans" w:hAnsi="Open Sans" w:cs="Open Sans"/>
          <w:b/>
          <w:bCs/>
          <w:color w:val="000000"/>
          <w:sz w:val="22"/>
          <w:szCs w:val="22"/>
        </w:rPr>
        <w:t xml:space="preserve">, </w:t>
      </w:r>
      <w:r w:rsidR="003F62C5" w:rsidRPr="007D2074">
        <w:rPr>
          <w:rFonts w:ascii="Open Sans" w:eastAsia="Open Sans" w:hAnsi="Open Sans" w:cs="Open Sans"/>
          <w:b/>
          <w:bCs/>
          <w:color w:val="000000"/>
          <w:sz w:val="22"/>
          <w:szCs w:val="22"/>
        </w:rPr>
        <w:t xml:space="preserve">que alcanza una rentabilidad de </w:t>
      </w:r>
      <w:r w:rsidR="00FB4E01" w:rsidRPr="007D2074">
        <w:rPr>
          <w:rFonts w:ascii="Open Sans" w:eastAsia="Open Sans" w:hAnsi="Open Sans" w:cs="Open Sans"/>
          <w:b/>
          <w:bCs/>
          <w:color w:val="000000"/>
          <w:sz w:val="22"/>
          <w:szCs w:val="22"/>
        </w:rPr>
        <w:t>13,7</w:t>
      </w:r>
      <w:r w:rsidR="003F62C5" w:rsidRPr="007D2074">
        <w:rPr>
          <w:rFonts w:ascii="Open Sans" w:eastAsia="Open Sans" w:hAnsi="Open Sans" w:cs="Open Sans"/>
          <w:b/>
          <w:bCs/>
          <w:color w:val="000000"/>
          <w:sz w:val="22"/>
          <w:szCs w:val="22"/>
        </w:rPr>
        <w:t>%</w:t>
      </w:r>
      <w:r w:rsidR="00FC4148" w:rsidRPr="007D2074">
        <w:rPr>
          <w:rFonts w:ascii="Open Sans" w:eastAsia="Open Sans" w:hAnsi="Open Sans" w:cs="Open Sans"/>
          <w:b/>
          <w:bCs/>
          <w:color w:val="000000"/>
          <w:sz w:val="22"/>
          <w:szCs w:val="22"/>
        </w:rPr>
        <w:t xml:space="preserve"> en junio</w:t>
      </w:r>
      <w:r w:rsidR="003F62C5" w:rsidRPr="007D2074">
        <w:rPr>
          <w:rFonts w:ascii="Open Sans" w:eastAsia="Open Sans" w:hAnsi="Open Sans" w:cs="Open Sans"/>
          <w:b/>
          <w:bCs/>
          <w:color w:val="000000"/>
          <w:sz w:val="22"/>
          <w:szCs w:val="22"/>
        </w:rPr>
        <w:t xml:space="preserve">. </w:t>
      </w:r>
      <w:r w:rsidR="00343AD6" w:rsidRPr="007D2074">
        <w:rPr>
          <w:rFonts w:ascii="Open Sans" w:eastAsia="Open Sans" w:hAnsi="Open Sans" w:cs="Open Sans"/>
          <w:b/>
          <w:bCs/>
          <w:color w:val="000000"/>
          <w:sz w:val="22"/>
          <w:szCs w:val="22"/>
        </w:rPr>
        <w:t>Estos datos corresponden al análisis</w:t>
      </w:r>
      <w:r w:rsidR="00343AD6">
        <w:rPr>
          <w:rFonts w:ascii="Open Sans" w:eastAsia="Open Sans" w:hAnsi="Open Sans" w:cs="Open Sans"/>
          <w:color w:val="000000"/>
          <w:sz w:val="22"/>
          <w:szCs w:val="22"/>
        </w:rPr>
        <w:t xml:space="preserve"> </w:t>
      </w:r>
      <w:r w:rsidR="00343AD6">
        <w:rPr>
          <w:rFonts w:ascii="Open Sans" w:eastAsia="Open Sans" w:hAnsi="Open Sans" w:cs="Open Sans"/>
          <w:b/>
          <w:i/>
          <w:color w:val="000000"/>
          <w:sz w:val="22"/>
          <w:szCs w:val="22"/>
        </w:rPr>
        <w:t>“Rentabilidad en municipios costeros en verano de 202</w:t>
      </w:r>
      <w:r w:rsidR="00155315">
        <w:rPr>
          <w:rFonts w:ascii="Open Sans" w:eastAsia="Open Sans" w:hAnsi="Open Sans" w:cs="Open Sans"/>
          <w:b/>
          <w:i/>
          <w:color w:val="000000"/>
          <w:sz w:val="22"/>
          <w:szCs w:val="22"/>
        </w:rPr>
        <w:t>5</w:t>
      </w:r>
      <w:r w:rsidR="00343AD6">
        <w:rPr>
          <w:rFonts w:ascii="Open Sans" w:eastAsia="Open Sans" w:hAnsi="Open Sans" w:cs="Open Sans"/>
          <w:b/>
          <w:i/>
          <w:color w:val="000000"/>
          <w:sz w:val="22"/>
          <w:szCs w:val="22"/>
        </w:rPr>
        <w:t>”</w:t>
      </w:r>
      <w:r w:rsidR="00343AD6">
        <w:rPr>
          <w:rFonts w:ascii="Open Sans" w:eastAsia="Open Sans" w:hAnsi="Open Sans" w:cs="Open Sans"/>
          <w:color w:val="000000"/>
          <w:sz w:val="22"/>
          <w:szCs w:val="22"/>
        </w:rPr>
        <w:t xml:space="preserve"> realizado por el portal inmobiliari</w:t>
      </w:r>
      <w:r w:rsidR="000F7B54">
        <w:rPr>
          <w:rFonts w:ascii="Open Sans" w:eastAsia="Open Sans" w:hAnsi="Open Sans" w:cs="Open Sans"/>
          <w:color w:val="000000"/>
          <w:sz w:val="22"/>
          <w:szCs w:val="22"/>
        </w:rPr>
        <w:t xml:space="preserve">o </w:t>
      </w:r>
      <w:hyperlink r:id="rId9" w:history="1">
        <w:r w:rsidR="000F7B54" w:rsidRPr="000F7B54">
          <w:rPr>
            <w:rStyle w:val="Hipervnculo"/>
            <w:rFonts w:ascii="Open Sans" w:eastAsia="Open Sans" w:hAnsi="Open Sans" w:cs="Open Sans"/>
            <w:sz w:val="22"/>
            <w:szCs w:val="22"/>
          </w:rPr>
          <w:t>Fotocasa</w:t>
        </w:r>
      </w:hyperlink>
      <w:r w:rsidR="00343AD6">
        <w:rPr>
          <w:rFonts w:ascii="Open Sans" w:eastAsia="Open Sans" w:hAnsi="Open Sans" w:cs="Open Sans"/>
          <w:color w:val="000000"/>
          <w:sz w:val="22"/>
          <w:szCs w:val="22"/>
        </w:rPr>
        <w:t xml:space="preserve">, a partir de los </w:t>
      </w:r>
      <w:r w:rsidR="00155315">
        <w:rPr>
          <w:rFonts w:ascii="Open Sans" w:eastAsia="Open Sans" w:hAnsi="Open Sans" w:cs="Open Sans"/>
          <w:color w:val="000000"/>
          <w:sz w:val="22"/>
          <w:szCs w:val="22"/>
        </w:rPr>
        <w:t>precios medios de las viviendas ofertadas</w:t>
      </w:r>
      <w:r w:rsidR="00343AD6">
        <w:rPr>
          <w:rFonts w:ascii="Open Sans" w:eastAsia="Open Sans" w:hAnsi="Open Sans" w:cs="Open Sans"/>
          <w:color w:val="000000"/>
          <w:sz w:val="22"/>
          <w:szCs w:val="22"/>
        </w:rPr>
        <w:t xml:space="preserve"> en venta y en alquiler del portal y que sitúa la rentabilidad </w:t>
      </w:r>
      <w:r w:rsidR="000F7B54">
        <w:rPr>
          <w:rFonts w:ascii="Open Sans" w:eastAsia="Open Sans" w:hAnsi="Open Sans" w:cs="Open Sans"/>
          <w:color w:val="000000"/>
          <w:sz w:val="22"/>
          <w:szCs w:val="22"/>
        </w:rPr>
        <w:t xml:space="preserve">media </w:t>
      </w:r>
      <w:r w:rsidR="00343AD6">
        <w:rPr>
          <w:rFonts w:ascii="Open Sans" w:eastAsia="Open Sans" w:hAnsi="Open Sans" w:cs="Open Sans"/>
          <w:color w:val="000000"/>
          <w:sz w:val="22"/>
          <w:szCs w:val="22"/>
        </w:rPr>
        <w:t xml:space="preserve">de España en </w:t>
      </w:r>
      <w:r w:rsidR="00A3301E">
        <w:rPr>
          <w:rFonts w:ascii="Open Sans" w:eastAsia="Open Sans" w:hAnsi="Open Sans" w:cs="Open Sans"/>
          <w:color w:val="000000"/>
          <w:sz w:val="22"/>
          <w:szCs w:val="22"/>
        </w:rPr>
        <w:t xml:space="preserve">un </w:t>
      </w:r>
      <w:r w:rsidR="00343AD6">
        <w:rPr>
          <w:rFonts w:ascii="Open Sans" w:eastAsia="Open Sans" w:hAnsi="Open Sans" w:cs="Open Sans"/>
          <w:color w:val="000000"/>
          <w:sz w:val="22"/>
          <w:szCs w:val="22"/>
        </w:rPr>
        <w:t>6,</w:t>
      </w:r>
      <w:r w:rsidR="003F62C5">
        <w:rPr>
          <w:rFonts w:ascii="Open Sans" w:eastAsia="Open Sans" w:hAnsi="Open Sans" w:cs="Open Sans"/>
          <w:color w:val="000000"/>
          <w:sz w:val="22"/>
          <w:szCs w:val="22"/>
        </w:rPr>
        <w:t>5</w:t>
      </w:r>
      <w:r w:rsidR="00343AD6">
        <w:rPr>
          <w:rFonts w:ascii="Open Sans" w:eastAsia="Open Sans" w:hAnsi="Open Sans" w:cs="Open Sans"/>
          <w:color w:val="000000"/>
          <w:sz w:val="22"/>
          <w:szCs w:val="22"/>
        </w:rPr>
        <w:t>% a mitad del año 202</w:t>
      </w:r>
      <w:r w:rsidR="00140F5E">
        <w:rPr>
          <w:rFonts w:ascii="Open Sans" w:eastAsia="Open Sans" w:hAnsi="Open Sans" w:cs="Open Sans"/>
          <w:color w:val="000000"/>
          <w:sz w:val="22"/>
          <w:szCs w:val="22"/>
        </w:rPr>
        <w:t>5</w:t>
      </w:r>
      <w:r w:rsidR="00343AD6">
        <w:rPr>
          <w:rFonts w:ascii="Open Sans" w:eastAsia="Open Sans" w:hAnsi="Open Sans" w:cs="Open Sans"/>
          <w:color w:val="000000"/>
          <w:sz w:val="22"/>
          <w:szCs w:val="22"/>
        </w:rPr>
        <w:t>.</w:t>
      </w:r>
    </w:p>
    <w:p w14:paraId="2149BE23" w14:textId="72390D34" w:rsidR="00EF4F2F" w:rsidRDefault="00EF4F2F" w:rsidP="00896007">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Otra de las ciudades más rentables es </w:t>
      </w:r>
      <w:r w:rsidR="00C45817" w:rsidRPr="00C45817">
        <w:rPr>
          <w:rFonts w:ascii="Open Sans" w:eastAsia="Open Sans" w:hAnsi="Open Sans" w:cs="Open Sans"/>
          <w:b/>
          <w:bCs/>
          <w:color w:val="000000"/>
          <w:sz w:val="22"/>
          <w:szCs w:val="22"/>
        </w:rPr>
        <w:t>San Javier</w:t>
      </w:r>
      <w:r w:rsidR="00896007">
        <w:rPr>
          <w:rFonts w:ascii="Open Sans" w:eastAsia="Open Sans" w:hAnsi="Open Sans" w:cs="Open Sans"/>
          <w:b/>
          <w:bCs/>
          <w:color w:val="000000"/>
          <w:sz w:val="22"/>
          <w:szCs w:val="22"/>
        </w:rPr>
        <w:t xml:space="preserve"> (10%)</w:t>
      </w:r>
      <w:r w:rsidRPr="007131B6">
        <w:rPr>
          <w:rFonts w:ascii="Open Sans" w:eastAsia="Open Sans" w:hAnsi="Open Sans" w:cs="Open Sans"/>
          <w:b/>
          <w:bCs/>
          <w:color w:val="000000"/>
          <w:sz w:val="22"/>
          <w:szCs w:val="22"/>
        </w:rPr>
        <w:t>, que en el mismo periodo de</w:t>
      </w:r>
      <w:r w:rsidR="00C45817">
        <w:rPr>
          <w:rFonts w:ascii="Open Sans" w:eastAsia="Open Sans" w:hAnsi="Open Sans" w:cs="Open Sans"/>
          <w:b/>
          <w:bCs/>
          <w:color w:val="000000"/>
          <w:sz w:val="22"/>
          <w:szCs w:val="22"/>
        </w:rPr>
        <w:t>l año anterior</w:t>
      </w:r>
      <w:r w:rsidRPr="007131B6">
        <w:rPr>
          <w:rFonts w:ascii="Open Sans" w:eastAsia="Open Sans" w:hAnsi="Open Sans" w:cs="Open Sans"/>
          <w:b/>
          <w:bCs/>
          <w:color w:val="000000"/>
          <w:sz w:val="22"/>
          <w:szCs w:val="22"/>
        </w:rPr>
        <w:t xml:space="preserve"> (</w:t>
      </w:r>
      <w:r w:rsidR="00C45817">
        <w:rPr>
          <w:rFonts w:ascii="Open Sans" w:eastAsia="Open Sans" w:hAnsi="Open Sans" w:cs="Open Sans"/>
          <w:b/>
          <w:bCs/>
          <w:color w:val="000000"/>
          <w:sz w:val="22"/>
          <w:szCs w:val="22"/>
        </w:rPr>
        <w:t>j</w:t>
      </w:r>
      <w:r w:rsidRPr="007131B6">
        <w:rPr>
          <w:rFonts w:ascii="Open Sans" w:eastAsia="Open Sans" w:hAnsi="Open Sans" w:cs="Open Sans"/>
          <w:b/>
          <w:bCs/>
          <w:color w:val="000000"/>
          <w:sz w:val="22"/>
          <w:szCs w:val="22"/>
        </w:rPr>
        <w:t>unio de 202</w:t>
      </w:r>
      <w:r w:rsidR="00C45817">
        <w:rPr>
          <w:rFonts w:ascii="Open Sans" w:eastAsia="Open Sans" w:hAnsi="Open Sans" w:cs="Open Sans"/>
          <w:b/>
          <w:bCs/>
          <w:color w:val="000000"/>
          <w:sz w:val="22"/>
          <w:szCs w:val="22"/>
        </w:rPr>
        <w:t>4</w:t>
      </w:r>
      <w:r w:rsidRPr="007131B6">
        <w:rPr>
          <w:rFonts w:ascii="Open Sans" w:eastAsia="Open Sans" w:hAnsi="Open Sans" w:cs="Open Sans"/>
          <w:b/>
          <w:bCs/>
          <w:color w:val="000000"/>
          <w:sz w:val="22"/>
          <w:szCs w:val="22"/>
        </w:rPr>
        <w:t xml:space="preserve">) </w:t>
      </w:r>
      <w:r w:rsidR="00896007">
        <w:rPr>
          <w:rFonts w:ascii="Open Sans" w:eastAsia="Open Sans" w:hAnsi="Open Sans" w:cs="Open Sans"/>
          <w:b/>
          <w:bCs/>
          <w:color w:val="000000"/>
          <w:sz w:val="22"/>
          <w:szCs w:val="22"/>
        </w:rPr>
        <w:t>encabezó</w:t>
      </w:r>
      <w:r w:rsidRPr="007131B6">
        <w:rPr>
          <w:rFonts w:ascii="Open Sans" w:eastAsia="Open Sans" w:hAnsi="Open Sans" w:cs="Open Sans"/>
          <w:b/>
          <w:bCs/>
          <w:color w:val="000000"/>
          <w:sz w:val="22"/>
          <w:szCs w:val="22"/>
        </w:rPr>
        <w:t xml:space="preserve"> la lista de las ciudades con mayor rentabilidad de España</w:t>
      </w:r>
      <w:r w:rsidR="00896007">
        <w:rPr>
          <w:rFonts w:ascii="Open Sans" w:eastAsia="Open Sans" w:hAnsi="Open Sans" w:cs="Open Sans"/>
          <w:b/>
          <w:bCs/>
          <w:color w:val="000000"/>
          <w:sz w:val="22"/>
          <w:szCs w:val="22"/>
        </w:rPr>
        <w:t xml:space="preserve">. </w:t>
      </w:r>
      <w:r>
        <w:rPr>
          <w:rFonts w:ascii="Open Sans" w:eastAsia="Open Sans" w:hAnsi="Open Sans" w:cs="Open Sans"/>
          <w:color w:val="000000"/>
          <w:sz w:val="22"/>
          <w:szCs w:val="22"/>
        </w:rPr>
        <w:t>En junio de 202</w:t>
      </w:r>
      <w:r w:rsidR="00896007">
        <w:rPr>
          <w:rFonts w:ascii="Open Sans" w:eastAsia="Open Sans" w:hAnsi="Open Sans" w:cs="Open Sans"/>
          <w:color w:val="000000"/>
          <w:sz w:val="22"/>
          <w:szCs w:val="22"/>
        </w:rPr>
        <w:t>5</w:t>
      </w:r>
      <w:r w:rsidRPr="00EF4F2F">
        <w:rPr>
          <w:rFonts w:ascii="Open Sans" w:eastAsia="Open Sans" w:hAnsi="Open Sans" w:cs="Open Sans"/>
          <w:color w:val="000000"/>
          <w:sz w:val="22"/>
          <w:szCs w:val="22"/>
        </w:rPr>
        <w:t xml:space="preserve"> solo las ciudades de </w:t>
      </w:r>
      <w:r w:rsidR="00896007" w:rsidRPr="00896007">
        <w:rPr>
          <w:rFonts w:ascii="Open Sans" w:eastAsia="Open Sans" w:hAnsi="Open Sans" w:cs="Open Sans"/>
          <w:color w:val="000000"/>
          <w:sz w:val="22"/>
          <w:szCs w:val="22"/>
        </w:rPr>
        <w:t>Adra</w:t>
      </w:r>
      <w:r w:rsidR="00896007">
        <w:rPr>
          <w:rFonts w:ascii="Open Sans" w:eastAsia="Open Sans" w:hAnsi="Open Sans" w:cs="Open Sans"/>
          <w:color w:val="000000"/>
          <w:sz w:val="22"/>
          <w:szCs w:val="22"/>
        </w:rPr>
        <w:t xml:space="preserve"> y </w:t>
      </w:r>
      <w:r w:rsidR="00896007" w:rsidRPr="00896007">
        <w:rPr>
          <w:rFonts w:ascii="Open Sans" w:eastAsia="Open Sans" w:hAnsi="Open Sans" w:cs="Open Sans"/>
          <w:color w:val="000000"/>
          <w:sz w:val="22"/>
          <w:szCs w:val="22"/>
        </w:rPr>
        <w:t>San Javier</w:t>
      </w:r>
      <w:r w:rsidRPr="00EF4F2F">
        <w:rPr>
          <w:rFonts w:ascii="Open Sans" w:eastAsia="Open Sans" w:hAnsi="Open Sans" w:cs="Open Sans"/>
          <w:color w:val="000000"/>
          <w:sz w:val="22"/>
          <w:szCs w:val="22"/>
        </w:rPr>
        <w:t xml:space="preserve"> ofrec</w:t>
      </w:r>
      <w:r w:rsidR="007131B6">
        <w:rPr>
          <w:rFonts w:ascii="Open Sans" w:eastAsia="Open Sans" w:hAnsi="Open Sans" w:cs="Open Sans"/>
          <w:color w:val="000000"/>
          <w:sz w:val="22"/>
          <w:szCs w:val="22"/>
        </w:rPr>
        <w:t>ían</w:t>
      </w:r>
      <w:r w:rsidRPr="00EF4F2F">
        <w:rPr>
          <w:rFonts w:ascii="Open Sans" w:eastAsia="Open Sans" w:hAnsi="Open Sans" w:cs="Open Sans"/>
          <w:color w:val="000000"/>
          <w:sz w:val="22"/>
          <w:szCs w:val="22"/>
        </w:rPr>
        <w:t xml:space="preserve"> una rentabilidad superior al 10%, mientras que en 202</w:t>
      </w:r>
      <w:r w:rsidR="00083B37">
        <w:rPr>
          <w:rFonts w:ascii="Open Sans" w:eastAsia="Open Sans" w:hAnsi="Open Sans" w:cs="Open Sans"/>
          <w:color w:val="000000"/>
          <w:sz w:val="22"/>
          <w:szCs w:val="22"/>
        </w:rPr>
        <w:t>4</w:t>
      </w:r>
      <w:r w:rsidRPr="00EF4F2F">
        <w:rPr>
          <w:rFonts w:ascii="Open Sans" w:eastAsia="Open Sans" w:hAnsi="Open Sans" w:cs="Open Sans"/>
          <w:color w:val="000000"/>
          <w:sz w:val="22"/>
          <w:szCs w:val="22"/>
        </w:rPr>
        <w:t xml:space="preserve"> fueron </w:t>
      </w:r>
      <w:r w:rsidR="00896007">
        <w:rPr>
          <w:rFonts w:ascii="Open Sans" w:eastAsia="Open Sans" w:hAnsi="Open Sans" w:cs="Open Sans"/>
          <w:color w:val="000000"/>
          <w:sz w:val="22"/>
          <w:szCs w:val="22"/>
        </w:rPr>
        <w:t>tres</w:t>
      </w:r>
      <w:r w:rsidRPr="00EF4F2F">
        <w:rPr>
          <w:rFonts w:ascii="Open Sans" w:eastAsia="Open Sans" w:hAnsi="Open Sans" w:cs="Open Sans"/>
          <w:color w:val="000000"/>
          <w:sz w:val="22"/>
          <w:szCs w:val="22"/>
        </w:rPr>
        <w:t xml:space="preserve"> las ciudades que lo superaban (</w:t>
      </w:r>
      <w:r w:rsidR="00896007" w:rsidRPr="00896007">
        <w:rPr>
          <w:rFonts w:ascii="Open Sans" w:eastAsia="Open Sans" w:hAnsi="Open Sans" w:cs="Open Sans"/>
          <w:color w:val="000000"/>
          <w:sz w:val="22"/>
          <w:szCs w:val="22"/>
        </w:rPr>
        <w:t>San Javier</w:t>
      </w:r>
      <w:r w:rsidR="00896007">
        <w:rPr>
          <w:rFonts w:ascii="Open Sans" w:eastAsia="Open Sans" w:hAnsi="Open Sans" w:cs="Open Sans"/>
          <w:color w:val="000000"/>
          <w:sz w:val="22"/>
          <w:szCs w:val="22"/>
        </w:rPr>
        <w:t xml:space="preserve">, </w:t>
      </w:r>
      <w:r w:rsidR="00896007" w:rsidRPr="00896007">
        <w:rPr>
          <w:rFonts w:ascii="Open Sans" w:eastAsia="Open Sans" w:hAnsi="Open Sans" w:cs="Open Sans"/>
          <w:color w:val="000000"/>
          <w:sz w:val="22"/>
          <w:szCs w:val="22"/>
        </w:rPr>
        <w:t>Mazarrón</w:t>
      </w:r>
      <w:r w:rsidR="00896007">
        <w:rPr>
          <w:rFonts w:ascii="Open Sans" w:eastAsia="Open Sans" w:hAnsi="Open Sans" w:cs="Open Sans"/>
          <w:color w:val="000000"/>
          <w:sz w:val="22"/>
          <w:szCs w:val="22"/>
        </w:rPr>
        <w:t xml:space="preserve"> y </w:t>
      </w:r>
      <w:r w:rsidR="00896007" w:rsidRPr="00896007">
        <w:rPr>
          <w:rFonts w:ascii="Open Sans" w:eastAsia="Open Sans" w:hAnsi="Open Sans" w:cs="Open Sans"/>
          <w:color w:val="000000"/>
          <w:sz w:val="22"/>
          <w:szCs w:val="22"/>
        </w:rPr>
        <w:t>Gandía</w:t>
      </w:r>
      <w:r w:rsidRPr="00EF4F2F">
        <w:rPr>
          <w:rFonts w:ascii="Open Sans" w:eastAsia="Open Sans" w:hAnsi="Open Sans" w:cs="Open Sans"/>
          <w:color w:val="000000"/>
          <w:sz w:val="22"/>
          <w:szCs w:val="22"/>
        </w:rPr>
        <w:t>)</w:t>
      </w:r>
      <w:r w:rsidR="00896007">
        <w:rPr>
          <w:rFonts w:ascii="Open Sans" w:eastAsia="Open Sans" w:hAnsi="Open Sans" w:cs="Open Sans"/>
          <w:color w:val="000000"/>
          <w:sz w:val="22"/>
          <w:szCs w:val="22"/>
        </w:rPr>
        <w:t>.</w:t>
      </w:r>
    </w:p>
    <w:p w14:paraId="36AF94CD" w14:textId="52D6F479" w:rsidR="006C3BEB" w:rsidRPr="00B254AB" w:rsidRDefault="00F72E19" w:rsidP="00AF7801">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b/>
          <w:bCs/>
          <w:color w:val="000000"/>
          <w:sz w:val="22"/>
          <w:szCs w:val="22"/>
        </w:rPr>
      </w:pPr>
      <w:r>
        <w:rPr>
          <w:rFonts w:ascii="Open Sans" w:eastAsia="Open Sans" w:hAnsi="Open Sans" w:cs="Open Sans"/>
          <w:b/>
          <w:bCs/>
          <w:color w:val="000000"/>
          <w:sz w:val="22"/>
          <w:szCs w:val="22"/>
        </w:rPr>
        <w:t xml:space="preserve">Por otro lado, </w:t>
      </w:r>
      <w:r w:rsidR="00B254AB">
        <w:rPr>
          <w:rFonts w:ascii="Open Sans" w:eastAsia="Open Sans" w:hAnsi="Open Sans" w:cs="Open Sans"/>
          <w:b/>
          <w:bCs/>
          <w:color w:val="000000"/>
          <w:sz w:val="22"/>
          <w:szCs w:val="22"/>
        </w:rPr>
        <w:t xml:space="preserve">el creciente incremento en el precio de la vivienda de venta y a pesar de la gran demanda por alquilar vivienda, ha hecho que la rentabilidad </w:t>
      </w:r>
      <w:r w:rsidR="00EF4F2F" w:rsidRPr="00EF4F2F">
        <w:rPr>
          <w:rFonts w:ascii="Open Sans" w:eastAsia="Open Sans" w:hAnsi="Open Sans" w:cs="Open Sans"/>
          <w:b/>
          <w:bCs/>
          <w:color w:val="000000"/>
          <w:sz w:val="22"/>
          <w:szCs w:val="22"/>
        </w:rPr>
        <w:t xml:space="preserve">disminuya en el </w:t>
      </w:r>
      <w:r w:rsidR="000079A5">
        <w:rPr>
          <w:rFonts w:ascii="Open Sans" w:eastAsia="Open Sans" w:hAnsi="Open Sans" w:cs="Open Sans"/>
          <w:b/>
          <w:bCs/>
          <w:color w:val="000000"/>
          <w:sz w:val="22"/>
          <w:szCs w:val="22"/>
        </w:rPr>
        <w:t>81</w:t>
      </w:r>
      <w:r w:rsidR="00EF4F2F" w:rsidRPr="00EF4F2F">
        <w:rPr>
          <w:rFonts w:ascii="Open Sans" w:eastAsia="Open Sans" w:hAnsi="Open Sans" w:cs="Open Sans"/>
          <w:b/>
          <w:bCs/>
          <w:color w:val="000000"/>
          <w:sz w:val="22"/>
          <w:szCs w:val="22"/>
        </w:rPr>
        <w:t>%</w:t>
      </w:r>
      <w:r w:rsidR="00EF4F2F">
        <w:rPr>
          <w:rFonts w:ascii="Open Sans" w:eastAsia="Open Sans" w:hAnsi="Open Sans" w:cs="Open Sans"/>
          <w:color w:val="000000"/>
          <w:sz w:val="22"/>
          <w:szCs w:val="22"/>
        </w:rPr>
        <w:t xml:space="preserve"> de las ciudades analizadas respecto al año </w:t>
      </w:r>
      <w:r w:rsidR="00AF7801">
        <w:rPr>
          <w:rFonts w:ascii="Open Sans" w:eastAsia="Open Sans" w:hAnsi="Open Sans" w:cs="Open Sans"/>
          <w:color w:val="000000"/>
          <w:sz w:val="22"/>
          <w:szCs w:val="22"/>
        </w:rPr>
        <w:t>anterior (49% en 2024)</w:t>
      </w:r>
      <w:r w:rsidR="00EF4F2F">
        <w:rPr>
          <w:rFonts w:ascii="Open Sans" w:eastAsia="Open Sans" w:hAnsi="Open Sans" w:cs="Open Sans"/>
          <w:color w:val="000000"/>
          <w:sz w:val="22"/>
          <w:szCs w:val="22"/>
        </w:rPr>
        <w:t xml:space="preserve">. Aun así, la </w:t>
      </w:r>
      <w:r w:rsidR="00EF4F2F">
        <w:rPr>
          <w:rFonts w:ascii="Open Sans" w:eastAsia="Open Sans" w:hAnsi="Open Sans" w:cs="Open Sans"/>
          <w:color w:val="000000"/>
          <w:sz w:val="22"/>
          <w:szCs w:val="22"/>
        </w:rPr>
        <w:lastRenderedPageBreak/>
        <w:t xml:space="preserve">rentabilidad en algunas ciudades </w:t>
      </w:r>
      <w:r w:rsidR="00523142">
        <w:rPr>
          <w:rFonts w:ascii="Open Sans" w:eastAsia="Open Sans" w:hAnsi="Open Sans" w:cs="Open Sans"/>
          <w:color w:val="000000"/>
          <w:sz w:val="22"/>
          <w:szCs w:val="22"/>
        </w:rPr>
        <w:t xml:space="preserve">a mitad de año </w:t>
      </w:r>
      <w:r w:rsidR="006C3BEB" w:rsidRPr="00406881">
        <w:rPr>
          <w:rFonts w:ascii="Open Sans" w:eastAsia="Open Sans" w:hAnsi="Open Sans" w:cs="Open Sans"/>
          <w:color w:val="000000"/>
          <w:sz w:val="22"/>
          <w:szCs w:val="22"/>
        </w:rPr>
        <w:t xml:space="preserve">se </w:t>
      </w:r>
      <w:r w:rsidR="00EF4F2F">
        <w:rPr>
          <w:rFonts w:ascii="Open Sans" w:eastAsia="Open Sans" w:hAnsi="Open Sans" w:cs="Open Sans"/>
          <w:color w:val="000000"/>
          <w:sz w:val="22"/>
          <w:szCs w:val="22"/>
        </w:rPr>
        <w:t>multiplica</w:t>
      </w:r>
      <w:r w:rsidR="00FC4148">
        <w:rPr>
          <w:rFonts w:ascii="Open Sans" w:eastAsia="Open Sans" w:hAnsi="Open Sans" w:cs="Open Sans"/>
          <w:color w:val="000000"/>
          <w:sz w:val="22"/>
          <w:szCs w:val="22"/>
        </w:rPr>
        <w:t xml:space="preserve"> </w:t>
      </w:r>
      <w:r w:rsidR="000079A5">
        <w:rPr>
          <w:rFonts w:ascii="Open Sans" w:eastAsia="Open Sans" w:hAnsi="Open Sans" w:cs="Open Sans"/>
          <w:color w:val="000000"/>
          <w:sz w:val="22"/>
          <w:szCs w:val="22"/>
        </w:rPr>
        <w:t xml:space="preserve">por dos </w:t>
      </w:r>
      <w:r w:rsidR="006C3BEB" w:rsidRPr="00406881">
        <w:rPr>
          <w:rFonts w:ascii="Open Sans" w:eastAsia="Open Sans" w:hAnsi="Open Sans" w:cs="Open Sans"/>
          <w:color w:val="000000"/>
          <w:sz w:val="22"/>
          <w:szCs w:val="22"/>
        </w:rPr>
        <w:t xml:space="preserve">en los últimos </w:t>
      </w:r>
      <w:r w:rsidR="00EF4F2F">
        <w:rPr>
          <w:rFonts w:ascii="Open Sans" w:eastAsia="Open Sans" w:hAnsi="Open Sans" w:cs="Open Sans"/>
          <w:color w:val="000000"/>
          <w:sz w:val="22"/>
          <w:szCs w:val="22"/>
        </w:rPr>
        <w:t xml:space="preserve">15 </w:t>
      </w:r>
      <w:r w:rsidR="006C3BEB" w:rsidRPr="00406881">
        <w:rPr>
          <w:rFonts w:ascii="Open Sans" w:eastAsia="Open Sans" w:hAnsi="Open Sans" w:cs="Open Sans"/>
          <w:color w:val="000000"/>
          <w:sz w:val="22"/>
          <w:szCs w:val="22"/>
        </w:rPr>
        <w:t>años</w:t>
      </w:r>
      <w:r w:rsidR="00EF4F2F">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w:t>
      </w:r>
      <w:r w:rsidR="00AF7801" w:rsidRPr="00AF7801">
        <w:rPr>
          <w:rFonts w:ascii="Open Sans" w:eastAsia="Open Sans" w:hAnsi="Open Sans" w:cs="Open Sans"/>
          <w:color w:val="000000"/>
          <w:sz w:val="22"/>
          <w:szCs w:val="22"/>
        </w:rPr>
        <w:t>San Javier</w:t>
      </w:r>
      <w:r w:rsidR="00AF7801">
        <w:rPr>
          <w:rFonts w:ascii="Open Sans" w:eastAsia="Open Sans" w:hAnsi="Open Sans" w:cs="Open Sans"/>
          <w:color w:val="000000"/>
          <w:sz w:val="22"/>
          <w:szCs w:val="22"/>
        </w:rPr>
        <w:t xml:space="preserve">, </w:t>
      </w:r>
      <w:r w:rsidR="00AF7801" w:rsidRPr="00AF7801">
        <w:rPr>
          <w:rFonts w:ascii="Open Sans" w:eastAsia="Open Sans" w:hAnsi="Open Sans" w:cs="Open Sans"/>
          <w:color w:val="000000"/>
          <w:sz w:val="22"/>
          <w:szCs w:val="22"/>
        </w:rPr>
        <w:t>L'Hospitalet de Llobregat</w:t>
      </w:r>
      <w:r w:rsidR="00AF7801">
        <w:rPr>
          <w:rFonts w:ascii="Open Sans" w:eastAsia="Open Sans" w:hAnsi="Open Sans" w:cs="Open Sans"/>
          <w:color w:val="000000"/>
          <w:sz w:val="22"/>
          <w:szCs w:val="22"/>
        </w:rPr>
        <w:t xml:space="preserve"> y </w:t>
      </w:r>
      <w:r w:rsidR="00AF7801" w:rsidRPr="00AF7801">
        <w:rPr>
          <w:rFonts w:ascii="Open Sans" w:eastAsia="Open Sans" w:hAnsi="Open Sans" w:cs="Open Sans"/>
          <w:color w:val="000000"/>
          <w:sz w:val="22"/>
          <w:szCs w:val="22"/>
        </w:rPr>
        <w:t>Ferrol</w:t>
      </w:r>
      <w:r>
        <w:rPr>
          <w:rFonts w:ascii="Open Sans" w:eastAsia="Open Sans" w:hAnsi="Open Sans" w:cs="Open Sans"/>
          <w:color w:val="000000"/>
          <w:sz w:val="22"/>
          <w:szCs w:val="22"/>
        </w:rPr>
        <w:t>)</w:t>
      </w:r>
      <w:r w:rsidR="006C3BEB" w:rsidRPr="00406881">
        <w:rPr>
          <w:rFonts w:ascii="Open Sans" w:eastAsia="Open Sans" w:hAnsi="Open Sans" w:cs="Open Sans"/>
          <w:color w:val="000000"/>
          <w:sz w:val="22"/>
          <w:szCs w:val="22"/>
        </w:rPr>
        <w:t>.</w:t>
      </w:r>
      <w:r w:rsidR="006C3BEB">
        <w:rPr>
          <w:rFonts w:ascii="Open Sans" w:eastAsia="Open Sans" w:hAnsi="Open Sans" w:cs="Open Sans"/>
          <w:color w:val="000000"/>
          <w:sz w:val="22"/>
          <w:szCs w:val="22"/>
        </w:rPr>
        <w:t xml:space="preserve"> </w:t>
      </w:r>
      <w:r w:rsidR="009F10A1">
        <w:rPr>
          <w:rFonts w:ascii="Open Sans" w:eastAsia="Open Sans" w:hAnsi="Open Sans" w:cs="Open Sans"/>
          <w:color w:val="000000"/>
          <w:sz w:val="22"/>
          <w:szCs w:val="22"/>
        </w:rPr>
        <w:t xml:space="preserve"> </w:t>
      </w:r>
    </w:p>
    <w:p w14:paraId="5809BA88" w14:textId="2DDEAE71" w:rsidR="00B254AB" w:rsidRDefault="00445049" w:rsidP="00AF7801">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2025 estamos asistiendo a un encarecimiento de la vivienda en compra en España que ha superado el 10% interanual en los primeros meses del año. Este gran encarecimiento, del 15% en el pasado mes de mayo, está haciendo que la rentabilidad haya descendido en el 81% de los municipios de costa analizados gracias a los datos de precios del Índice Inmobiliario </w:t>
      </w:r>
      <w:hyperlink r:id="rId10" w:history="1">
        <w:r w:rsidRPr="00445049">
          <w:rPr>
            <w:rStyle w:val="Hipervnculo"/>
            <w:rFonts w:ascii="Open Sans" w:eastAsia="Open Sans" w:hAnsi="Open Sans" w:cs="Open Sans"/>
            <w:sz w:val="22"/>
            <w:szCs w:val="22"/>
          </w:rPr>
          <w:t>Fotocasa</w:t>
        </w:r>
      </w:hyperlink>
      <w:r>
        <w:rPr>
          <w:rFonts w:ascii="Open Sans" w:eastAsia="Open Sans" w:hAnsi="Open Sans" w:cs="Open Sans"/>
          <w:color w:val="000000"/>
          <w:sz w:val="22"/>
          <w:szCs w:val="22"/>
        </w:rPr>
        <w:t>. A pesar de este descenso, la vivienda en la costa muestra rentabilidades muy atractivas y, en muchos casos, mucho más elevada que la rentabilidad media de España, que se ha situado en el 6,5% en la primera mitad del año. Por esta razón, la inversión en las zonas costeras de España sigue siendo muy atractiva y sigue atrayendo a inversores</w:t>
      </w:r>
      <w:r w:rsidR="00A05EF2">
        <w:rPr>
          <w:rFonts w:ascii="Open Sans" w:eastAsia="Open Sans" w:hAnsi="Open Sans" w:cs="Open Sans"/>
          <w:color w:val="000000"/>
          <w:sz w:val="22"/>
          <w:szCs w:val="22"/>
        </w:rPr>
        <w:t xml:space="preserve"> y se sigue situando como uno de los países preferidos por los inversores”, </w:t>
      </w:r>
      <w:r w:rsidR="00A05EF2" w:rsidRPr="00A05EF2">
        <w:rPr>
          <w:rFonts w:ascii="Open Sans" w:eastAsia="Open Sans" w:hAnsi="Open Sans" w:cs="Open Sans"/>
          <w:b/>
          <w:bCs/>
          <w:color w:val="000000"/>
          <w:sz w:val="22"/>
          <w:szCs w:val="22"/>
        </w:rPr>
        <w:t xml:space="preserve">explica María Matos, directora de Estudios de </w:t>
      </w:r>
      <w:hyperlink r:id="rId11" w:history="1">
        <w:r w:rsidR="00A05EF2" w:rsidRPr="00A05EF2">
          <w:rPr>
            <w:rStyle w:val="Hipervnculo"/>
            <w:rFonts w:ascii="Open Sans" w:eastAsia="Open Sans" w:hAnsi="Open Sans" w:cs="Open Sans"/>
            <w:b/>
            <w:bCs/>
            <w:sz w:val="22"/>
            <w:szCs w:val="22"/>
          </w:rPr>
          <w:t>Fotocasa</w:t>
        </w:r>
      </w:hyperlink>
      <w:r w:rsidR="00A05EF2" w:rsidRPr="00A05EF2">
        <w:rPr>
          <w:rFonts w:ascii="Open Sans" w:eastAsia="Open Sans" w:hAnsi="Open Sans" w:cs="Open Sans"/>
          <w:b/>
          <w:bCs/>
          <w:color w:val="000000"/>
          <w:sz w:val="22"/>
          <w:szCs w:val="22"/>
        </w:rPr>
        <w:t>.</w:t>
      </w:r>
      <w:r w:rsidR="00A05EF2">
        <w:rPr>
          <w:rFonts w:ascii="Open Sans" w:eastAsia="Open Sans" w:hAnsi="Open Sans" w:cs="Open Sans"/>
          <w:color w:val="000000"/>
          <w:sz w:val="22"/>
          <w:szCs w:val="22"/>
        </w:rPr>
        <w:t xml:space="preserve"> </w:t>
      </w:r>
    </w:p>
    <w:p w14:paraId="6B902590" w14:textId="77777777" w:rsidR="006C3BEB" w:rsidRDefault="006C3BEB" w:rsidP="006C3BEB">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 xml:space="preserve">Los municipios costeros más rentables </w:t>
      </w:r>
    </w:p>
    <w:p w14:paraId="78963D03" w14:textId="4EFACF17" w:rsidR="006C3BEB" w:rsidRDefault="00EF4F2F">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w:t>
      </w:r>
      <w:r w:rsidR="00503B95">
        <w:rPr>
          <w:rFonts w:ascii="Open Sans" w:eastAsia="Open Sans" w:hAnsi="Open Sans" w:cs="Open Sans"/>
          <w:color w:val="000000"/>
          <w:sz w:val="22"/>
          <w:szCs w:val="22"/>
        </w:rPr>
        <w:t xml:space="preserve"> ciudad de </w:t>
      </w:r>
      <w:r w:rsidR="006E69F0" w:rsidRPr="00F80F52">
        <w:rPr>
          <w:rFonts w:ascii="Open Sans" w:eastAsia="Open Sans" w:hAnsi="Open Sans" w:cs="Open Sans"/>
          <w:color w:val="000000"/>
          <w:sz w:val="22"/>
          <w:szCs w:val="22"/>
        </w:rPr>
        <w:t>Adra</w:t>
      </w:r>
      <w:r w:rsidR="002A7730">
        <w:rPr>
          <w:rFonts w:ascii="Open Sans" w:eastAsia="Open Sans" w:hAnsi="Open Sans" w:cs="Open Sans"/>
          <w:color w:val="000000"/>
          <w:sz w:val="22"/>
          <w:szCs w:val="22"/>
        </w:rPr>
        <w:t xml:space="preserve"> </w:t>
      </w:r>
      <w:r w:rsidR="006C3BEB" w:rsidRPr="000240AA">
        <w:rPr>
          <w:rFonts w:ascii="Open Sans" w:eastAsia="Open Sans" w:hAnsi="Open Sans" w:cs="Open Sans"/>
          <w:color w:val="000000"/>
          <w:sz w:val="22"/>
          <w:szCs w:val="22"/>
        </w:rPr>
        <w:t xml:space="preserve">se ha convertido en una ciudad turística ideal para disfrutar de largos días de verano y obtener una alta rentabilidad en viviendas. </w:t>
      </w:r>
      <w:r w:rsidR="006C3BEB" w:rsidRPr="00F80F52">
        <w:rPr>
          <w:rFonts w:ascii="Open Sans" w:eastAsia="Open Sans" w:hAnsi="Open Sans" w:cs="Open Sans"/>
          <w:b/>
          <w:bCs/>
          <w:color w:val="000000"/>
          <w:sz w:val="22"/>
          <w:szCs w:val="22"/>
        </w:rPr>
        <w:t xml:space="preserve">En </w:t>
      </w:r>
      <w:r w:rsidR="002A7730" w:rsidRPr="00F80F52">
        <w:rPr>
          <w:rFonts w:ascii="Open Sans" w:eastAsia="Open Sans" w:hAnsi="Open Sans" w:cs="Open Sans"/>
          <w:b/>
          <w:bCs/>
          <w:color w:val="000000"/>
          <w:sz w:val="22"/>
          <w:szCs w:val="22"/>
        </w:rPr>
        <w:t>junio</w:t>
      </w:r>
      <w:r w:rsidR="006C3BEB" w:rsidRPr="00F80F52">
        <w:rPr>
          <w:rFonts w:ascii="Open Sans" w:eastAsia="Open Sans" w:hAnsi="Open Sans" w:cs="Open Sans"/>
          <w:b/>
          <w:bCs/>
          <w:color w:val="000000"/>
          <w:sz w:val="22"/>
          <w:szCs w:val="22"/>
        </w:rPr>
        <w:t xml:space="preserve"> de este año,</w:t>
      </w:r>
      <w:r w:rsidR="006C3BEB" w:rsidRPr="000240AA">
        <w:rPr>
          <w:rFonts w:ascii="Open Sans" w:eastAsia="Open Sans" w:hAnsi="Open Sans" w:cs="Open Sans"/>
          <w:color w:val="000000"/>
          <w:sz w:val="22"/>
          <w:szCs w:val="22"/>
        </w:rPr>
        <w:t xml:space="preserve"> </w:t>
      </w:r>
      <w:r w:rsidR="00F80F52" w:rsidRPr="00F80F52">
        <w:rPr>
          <w:rFonts w:ascii="Open Sans" w:eastAsia="Open Sans" w:hAnsi="Open Sans" w:cs="Open Sans"/>
          <w:b/>
          <w:bCs/>
          <w:color w:val="000000"/>
          <w:sz w:val="22"/>
          <w:szCs w:val="22"/>
        </w:rPr>
        <w:t>Adra</w:t>
      </w:r>
      <w:r w:rsidR="00F80F52" w:rsidRPr="00F80F52">
        <w:rPr>
          <w:rFonts w:ascii="Open Sans" w:eastAsia="Open Sans" w:hAnsi="Open Sans" w:cs="Open Sans"/>
          <w:color w:val="000000"/>
          <w:sz w:val="22"/>
          <w:szCs w:val="22"/>
        </w:rPr>
        <w:t xml:space="preserve"> </w:t>
      </w:r>
      <w:r w:rsidR="006C3BEB" w:rsidRPr="00EF4F2F">
        <w:rPr>
          <w:rFonts w:ascii="Open Sans" w:eastAsia="Open Sans" w:hAnsi="Open Sans" w:cs="Open Sans"/>
          <w:b/>
          <w:bCs/>
          <w:color w:val="000000"/>
          <w:sz w:val="22"/>
          <w:szCs w:val="22"/>
        </w:rPr>
        <w:t>alcanzó un impresionante rendimiento del 1</w:t>
      </w:r>
      <w:r w:rsidR="006E69F0">
        <w:rPr>
          <w:rFonts w:ascii="Open Sans" w:eastAsia="Open Sans" w:hAnsi="Open Sans" w:cs="Open Sans"/>
          <w:b/>
          <w:bCs/>
          <w:color w:val="000000"/>
          <w:sz w:val="22"/>
          <w:szCs w:val="22"/>
        </w:rPr>
        <w:t>3</w:t>
      </w:r>
      <w:r w:rsidR="006C3BEB" w:rsidRPr="00EF4F2F">
        <w:rPr>
          <w:rFonts w:ascii="Open Sans" w:eastAsia="Open Sans" w:hAnsi="Open Sans" w:cs="Open Sans"/>
          <w:b/>
          <w:bCs/>
          <w:color w:val="000000"/>
          <w:sz w:val="22"/>
          <w:szCs w:val="22"/>
        </w:rPr>
        <w:t>,</w:t>
      </w:r>
      <w:r w:rsidR="006E69F0">
        <w:rPr>
          <w:rFonts w:ascii="Open Sans" w:eastAsia="Open Sans" w:hAnsi="Open Sans" w:cs="Open Sans"/>
          <w:b/>
          <w:bCs/>
          <w:color w:val="000000"/>
          <w:sz w:val="22"/>
          <w:szCs w:val="22"/>
        </w:rPr>
        <w:t>7</w:t>
      </w:r>
      <w:r w:rsidR="006C3BEB" w:rsidRPr="00EF4F2F">
        <w:rPr>
          <w:rFonts w:ascii="Open Sans" w:eastAsia="Open Sans" w:hAnsi="Open Sans" w:cs="Open Sans"/>
          <w:b/>
          <w:bCs/>
          <w:color w:val="000000"/>
          <w:sz w:val="22"/>
          <w:szCs w:val="22"/>
        </w:rPr>
        <w:t>%</w:t>
      </w:r>
      <w:r w:rsidR="002A7730" w:rsidRPr="00EF4F2F">
        <w:rPr>
          <w:rFonts w:ascii="Open Sans" w:eastAsia="Open Sans" w:hAnsi="Open Sans" w:cs="Open Sans"/>
          <w:b/>
          <w:bCs/>
          <w:color w:val="000000"/>
          <w:sz w:val="22"/>
          <w:szCs w:val="22"/>
        </w:rPr>
        <w:t xml:space="preserve"> en 202</w:t>
      </w:r>
      <w:r w:rsidR="006E69F0">
        <w:rPr>
          <w:rFonts w:ascii="Open Sans" w:eastAsia="Open Sans" w:hAnsi="Open Sans" w:cs="Open Sans"/>
          <w:b/>
          <w:bCs/>
          <w:color w:val="000000"/>
          <w:sz w:val="22"/>
          <w:szCs w:val="22"/>
        </w:rPr>
        <w:t>5</w:t>
      </w:r>
      <w:r w:rsidR="002A7730">
        <w:rPr>
          <w:rFonts w:ascii="Open Sans" w:eastAsia="Open Sans" w:hAnsi="Open Sans" w:cs="Open Sans"/>
          <w:color w:val="000000"/>
          <w:sz w:val="22"/>
          <w:szCs w:val="22"/>
        </w:rPr>
        <w:t xml:space="preserve">. </w:t>
      </w:r>
      <w:r w:rsidR="006C3BEB">
        <w:rPr>
          <w:rFonts w:ascii="Open Sans" w:eastAsia="Open Sans" w:hAnsi="Open Sans" w:cs="Open Sans"/>
          <w:color w:val="000000"/>
          <w:sz w:val="22"/>
          <w:szCs w:val="22"/>
        </w:rPr>
        <w:t xml:space="preserve">Le siguen las viviendas ubicadas en los municipios de </w:t>
      </w:r>
      <w:r w:rsidR="006E69F0" w:rsidRPr="006E69F0">
        <w:rPr>
          <w:rFonts w:ascii="Open Sans" w:eastAsia="Open Sans" w:hAnsi="Open Sans" w:cs="Open Sans"/>
          <w:color w:val="000000"/>
          <w:sz w:val="22"/>
          <w:szCs w:val="22"/>
        </w:rPr>
        <w:t>San Javier</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10,0%</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La Línea de la Concepción</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9,4%</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Mazarrón</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9,3%</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Laredo</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9,2%</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L'Hospitalet de Llobregat</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8,8%</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Ferrol</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8,7%</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Ribeira</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8,7%</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Sagunto / Sagunt</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8,5%</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Badalona</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8,3%</w:t>
      </w:r>
      <w:r w:rsidR="006E69F0">
        <w:rPr>
          <w:rFonts w:ascii="Open Sans" w:eastAsia="Open Sans" w:hAnsi="Open Sans" w:cs="Open Sans"/>
          <w:color w:val="000000"/>
          <w:sz w:val="22"/>
          <w:szCs w:val="22"/>
        </w:rPr>
        <w:t xml:space="preserve">) y </w:t>
      </w:r>
      <w:r w:rsidR="006E69F0" w:rsidRPr="006E69F0">
        <w:rPr>
          <w:rFonts w:ascii="Open Sans" w:eastAsia="Open Sans" w:hAnsi="Open Sans" w:cs="Open Sans"/>
          <w:color w:val="000000"/>
          <w:sz w:val="22"/>
          <w:szCs w:val="22"/>
        </w:rPr>
        <w:t>Foz</w:t>
      </w:r>
      <w:r w:rsidR="006E69F0">
        <w:rPr>
          <w:rFonts w:ascii="Open Sans" w:eastAsia="Open Sans" w:hAnsi="Open Sans" w:cs="Open Sans"/>
          <w:color w:val="000000"/>
          <w:sz w:val="22"/>
          <w:szCs w:val="22"/>
        </w:rPr>
        <w:t xml:space="preserve"> (</w:t>
      </w:r>
      <w:r w:rsidR="006E69F0" w:rsidRPr="006E69F0">
        <w:rPr>
          <w:rFonts w:ascii="Open Sans" w:eastAsia="Open Sans" w:hAnsi="Open Sans" w:cs="Open Sans"/>
          <w:color w:val="000000"/>
          <w:sz w:val="22"/>
          <w:szCs w:val="22"/>
        </w:rPr>
        <w:t>8,1%</w:t>
      </w:r>
      <w:r w:rsidR="006E69F0">
        <w:rPr>
          <w:rFonts w:ascii="Open Sans" w:eastAsia="Open Sans" w:hAnsi="Open Sans" w:cs="Open Sans"/>
          <w:color w:val="000000"/>
          <w:sz w:val="22"/>
          <w:szCs w:val="22"/>
        </w:rPr>
        <w:t xml:space="preserve">), </w:t>
      </w:r>
      <w:r w:rsidR="006C3BEB">
        <w:rPr>
          <w:rFonts w:ascii="Open Sans" w:eastAsia="Open Sans" w:hAnsi="Open Sans" w:cs="Open Sans"/>
          <w:color w:val="000000"/>
          <w:sz w:val="22"/>
          <w:szCs w:val="22"/>
        </w:rPr>
        <w:t xml:space="preserve">como </w:t>
      </w:r>
      <w:r w:rsidR="002A7730">
        <w:rPr>
          <w:rFonts w:ascii="Open Sans" w:eastAsia="Open Sans" w:hAnsi="Open Sans" w:cs="Open Sans"/>
          <w:color w:val="000000"/>
          <w:sz w:val="22"/>
          <w:szCs w:val="22"/>
        </w:rPr>
        <w:t xml:space="preserve">las </w:t>
      </w:r>
      <w:r w:rsidR="006C3BEB">
        <w:rPr>
          <w:rFonts w:ascii="Open Sans" w:eastAsia="Open Sans" w:hAnsi="Open Sans" w:cs="Open Sans"/>
          <w:color w:val="000000"/>
          <w:sz w:val="22"/>
          <w:szCs w:val="22"/>
        </w:rPr>
        <w:t xml:space="preserve">ciudades con una rentabilidad superior al 8% en </w:t>
      </w:r>
      <w:r w:rsidR="002A7730">
        <w:rPr>
          <w:rFonts w:ascii="Open Sans" w:eastAsia="Open Sans" w:hAnsi="Open Sans" w:cs="Open Sans"/>
          <w:color w:val="000000"/>
          <w:sz w:val="22"/>
          <w:szCs w:val="22"/>
        </w:rPr>
        <w:t>junio</w:t>
      </w:r>
      <w:r w:rsidR="006C3BEB">
        <w:rPr>
          <w:rFonts w:ascii="Open Sans" w:eastAsia="Open Sans" w:hAnsi="Open Sans" w:cs="Open Sans"/>
          <w:color w:val="000000"/>
          <w:sz w:val="22"/>
          <w:szCs w:val="22"/>
        </w:rPr>
        <w:t>.</w:t>
      </w:r>
    </w:p>
    <w:p w14:paraId="32B88DCC" w14:textId="77777777" w:rsidR="00A05EF2" w:rsidRDefault="00A05EF2">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p>
    <w:p w14:paraId="66FEC9DE" w14:textId="5B9140FE" w:rsidR="00A05EF2" w:rsidRDefault="009358C0" w:rsidP="009D0A36">
      <w:pPr>
        <w:spacing w:line="276" w:lineRule="auto"/>
        <w:ind w:right="-574"/>
        <w:jc w:val="center"/>
        <w:rPr>
          <w:rFonts w:ascii="Open Sans" w:eastAsia="Open Sans" w:hAnsi="Open Sans" w:cs="Open Sans"/>
          <w:color w:val="000000"/>
          <w:sz w:val="22"/>
          <w:szCs w:val="22"/>
        </w:rPr>
      </w:pPr>
      <w:r w:rsidRPr="00A05EF2">
        <w:rPr>
          <w:rFonts w:ascii="Open Sans Light" w:eastAsia="Open Sans Light" w:hAnsi="Open Sans Light" w:cs="Open Sans Light"/>
          <w:b/>
          <w:color w:val="303AB2"/>
          <w:sz w:val="28"/>
          <w:szCs w:val="28"/>
        </w:rPr>
        <w:t xml:space="preserve">Rentabilidad media de las viviendas en </w:t>
      </w:r>
      <w:r w:rsidR="007E2C31" w:rsidRPr="00A05EF2">
        <w:rPr>
          <w:rFonts w:ascii="Open Sans Light" w:eastAsia="Open Sans Light" w:hAnsi="Open Sans Light" w:cs="Open Sans Light"/>
          <w:b/>
          <w:color w:val="303AB2"/>
          <w:sz w:val="28"/>
          <w:szCs w:val="28"/>
        </w:rPr>
        <w:t>junio</w:t>
      </w:r>
      <w:r w:rsidRPr="00A05EF2">
        <w:rPr>
          <w:rFonts w:ascii="Open Sans Light" w:eastAsia="Open Sans Light" w:hAnsi="Open Sans Light" w:cs="Open Sans Light"/>
          <w:b/>
          <w:color w:val="303AB2"/>
          <w:sz w:val="28"/>
          <w:szCs w:val="28"/>
        </w:rPr>
        <w:t xml:space="preserve"> de 202</w:t>
      </w:r>
      <w:r w:rsidR="00142BAE" w:rsidRPr="00A05EF2">
        <w:rPr>
          <w:rFonts w:ascii="Open Sans Light" w:eastAsia="Open Sans Light" w:hAnsi="Open Sans Light" w:cs="Open Sans Light"/>
          <w:b/>
          <w:color w:val="303AB2"/>
          <w:sz w:val="28"/>
          <w:szCs w:val="28"/>
        </w:rPr>
        <w:t>5</w:t>
      </w:r>
      <w:r w:rsidR="00142BAE">
        <w:rPr>
          <w:noProof/>
        </w:rPr>
        <w:drawing>
          <wp:inline distT="0" distB="0" distL="0" distR="0" wp14:anchorId="16CF9737" wp14:editId="04B55BB2">
            <wp:extent cx="5594985" cy="2784143"/>
            <wp:effectExtent l="0" t="0" r="5715" b="0"/>
            <wp:docPr id="430849850" name="Gráfico 1">
              <a:extLst xmlns:a="http://schemas.openxmlformats.org/drawingml/2006/main">
                <a:ext uri="{FF2B5EF4-FFF2-40B4-BE49-F238E27FC236}">
                  <a16:creationId xmlns:a16="http://schemas.microsoft.com/office/drawing/2014/main" id="{F8E7A521-8B4A-58AD-106C-921F9F5B6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A059C" w14:textId="77777777" w:rsidR="009D0A36" w:rsidRPr="009D0A36" w:rsidRDefault="009D0A36" w:rsidP="009D0A36">
      <w:pPr>
        <w:spacing w:line="276" w:lineRule="auto"/>
        <w:ind w:right="-574"/>
        <w:jc w:val="center"/>
        <w:rPr>
          <w:rFonts w:ascii="Open Sans" w:eastAsia="Open Sans" w:hAnsi="Open Sans" w:cs="Open Sans"/>
          <w:color w:val="000000"/>
          <w:sz w:val="22"/>
          <w:szCs w:val="22"/>
        </w:rPr>
      </w:pPr>
    </w:p>
    <w:p w14:paraId="5C385661" w14:textId="5793328C" w:rsidR="00344758" w:rsidRDefault="00344758" w:rsidP="00344758">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 xml:space="preserve">Los municipios costeros menos rentables </w:t>
      </w:r>
    </w:p>
    <w:p w14:paraId="17FE33A8" w14:textId="6067BFEC" w:rsidR="004E40EC" w:rsidRDefault="004E40EC" w:rsidP="00142BAE">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otro lado, </w:t>
      </w:r>
      <w:r w:rsidRPr="00EF4F2F">
        <w:rPr>
          <w:rFonts w:ascii="Open Sans" w:eastAsia="Open Sans" w:hAnsi="Open Sans" w:cs="Open Sans"/>
          <w:b/>
          <w:bCs/>
          <w:color w:val="000000"/>
          <w:sz w:val="22"/>
          <w:szCs w:val="22"/>
        </w:rPr>
        <w:t xml:space="preserve">el orden de las ciudades costeras con la rentabilidad más baja es Donostia - San </w:t>
      </w:r>
      <w:r w:rsidRPr="001908E6">
        <w:rPr>
          <w:rFonts w:ascii="Open Sans" w:eastAsia="Open Sans" w:hAnsi="Open Sans" w:cs="Open Sans"/>
          <w:b/>
          <w:bCs/>
          <w:color w:val="000000"/>
          <w:sz w:val="22"/>
          <w:szCs w:val="22"/>
        </w:rPr>
        <w:t>Sebastián</w:t>
      </w:r>
      <w:r w:rsidR="00142BAE" w:rsidRPr="001908E6">
        <w:rPr>
          <w:rFonts w:ascii="Open Sans" w:eastAsia="Open Sans" w:hAnsi="Open Sans" w:cs="Open Sans"/>
          <w:b/>
          <w:bCs/>
          <w:color w:val="000000"/>
          <w:sz w:val="22"/>
          <w:szCs w:val="22"/>
        </w:rPr>
        <w:t xml:space="preserve"> (3,3%), Calpe / Calp (3,7%),</w:t>
      </w:r>
      <w:r w:rsidR="00142BAE">
        <w:rPr>
          <w:rFonts w:ascii="Open Sans" w:eastAsia="Open Sans" w:hAnsi="Open Sans" w:cs="Open Sans"/>
          <w:color w:val="000000"/>
          <w:sz w:val="22"/>
          <w:szCs w:val="22"/>
        </w:rPr>
        <w:t xml:space="preserve"> </w:t>
      </w:r>
      <w:r w:rsidR="00142BAE" w:rsidRPr="001908E6">
        <w:rPr>
          <w:rFonts w:ascii="Open Sans" w:eastAsia="Open Sans" w:hAnsi="Open Sans" w:cs="Open Sans"/>
          <w:b/>
          <w:bCs/>
          <w:color w:val="000000"/>
          <w:sz w:val="22"/>
          <w:szCs w:val="22"/>
        </w:rPr>
        <w:t xml:space="preserve">Fuengirola (4,0%), </w:t>
      </w:r>
      <w:r w:rsidR="001908E6" w:rsidRPr="001908E6">
        <w:rPr>
          <w:rFonts w:ascii="Open Sans" w:eastAsia="Open Sans" w:hAnsi="Open Sans" w:cs="Open Sans"/>
          <w:b/>
          <w:bCs/>
          <w:color w:val="000000"/>
          <w:sz w:val="22"/>
          <w:szCs w:val="22"/>
        </w:rPr>
        <w:t>Denia</w:t>
      </w:r>
      <w:r w:rsidR="00142BAE" w:rsidRPr="001908E6">
        <w:rPr>
          <w:rFonts w:ascii="Open Sans" w:eastAsia="Open Sans" w:hAnsi="Open Sans" w:cs="Open Sans"/>
          <w:b/>
          <w:bCs/>
          <w:color w:val="000000"/>
          <w:sz w:val="22"/>
          <w:szCs w:val="22"/>
        </w:rPr>
        <w:t xml:space="preserve"> (4,0%), Conil de la Frontera (4,0%), Marbella (4,0%), Getxo (4,0%), Pontevedra capital (4,0%), Sitges (4,2%), Almuñécar (4,3%), </w:t>
      </w:r>
      <w:r w:rsidR="00142BAE" w:rsidRPr="00142BAE">
        <w:rPr>
          <w:rFonts w:ascii="Open Sans" w:eastAsia="Open Sans" w:hAnsi="Open Sans" w:cs="Open Sans"/>
          <w:color w:val="000000"/>
          <w:sz w:val="22"/>
          <w:szCs w:val="22"/>
        </w:rPr>
        <w:t>Calvià</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4,4%</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Rincón de la Victoria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4,4%</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Palma de Mallorca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4,4%</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Vigo</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4,5%</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Orihuela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4,5%</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Benicasim / Benicàssim</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4,5%</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 xml:space="preserve">Cádiz </w:t>
      </w:r>
      <w:r w:rsidR="00142BAE">
        <w:rPr>
          <w:rFonts w:ascii="Open Sans" w:eastAsia="Open Sans" w:hAnsi="Open Sans" w:cs="Open Sans"/>
          <w:color w:val="000000"/>
          <w:sz w:val="22"/>
          <w:szCs w:val="22"/>
        </w:rPr>
        <w:t>c</w:t>
      </w:r>
      <w:r w:rsidR="00142BAE" w:rsidRPr="00142BAE">
        <w:rPr>
          <w:rFonts w:ascii="Open Sans" w:eastAsia="Open Sans" w:hAnsi="Open Sans" w:cs="Open Sans"/>
          <w:color w:val="000000"/>
          <w:sz w:val="22"/>
          <w:szCs w:val="22"/>
        </w:rPr>
        <w:t>apital</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4,6%</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Altea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4,6%</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Guardamar del Segura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4,7%</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 xml:space="preserve">A Coruña </w:t>
      </w:r>
      <w:r w:rsidR="00142BAE">
        <w:rPr>
          <w:rFonts w:ascii="Open Sans" w:eastAsia="Open Sans" w:hAnsi="Open Sans" w:cs="Open Sans"/>
          <w:color w:val="000000"/>
          <w:sz w:val="22"/>
          <w:szCs w:val="22"/>
        </w:rPr>
        <w:t>c</w:t>
      </w:r>
      <w:r w:rsidR="00142BAE" w:rsidRPr="00142BAE">
        <w:rPr>
          <w:rFonts w:ascii="Open Sans" w:eastAsia="Open Sans" w:hAnsi="Open Sans" w:cs="Open Sans"/>
          <w:color w:val="000000"/>
          <w:sz w:val="22"/>
          <w:szCs w:val="22"/>
        </w:rPr>
        <w:t>apital</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4,7%</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Jávea / Xàbia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4,7%</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Estepona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4,8%</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Chipiona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4,8%</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Benalmádena</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4,8%</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Mijas</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4,8%</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 xml:space="preserve">Málaga </w:t>
      </w:r>
      <w:r w:rsidR="00142BAE">
        <w:rPr>
          <w:rFonts w:ascii="Open Sans" w:eastAsia="Open Sans" w:hAnsi="Open Sans" w:cs="Open Sans"/>
          <w:color w:val="000000"/>
          <w:sz w:val="22"/>
          <w:szCs w:val="22"/>
        </w:rPr>
        <w:t>c</w:t>
      </w:r>
      <w:r w:rsidR="00142BAE" w:rsidRPr="00142BAE">
        <w:rPr>
          <w:rFonts w:ascii="Open Sans" w:eastAsia="Open Sans" w:hAnsi="Open Sans" w:cs="Open Sans"/>
          <w:color w:val="000000"/>
          <w:sz w:val="22"/>
          <w:szCs w:val="22"/>
        </w:rPr>
        <w:t>apital</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4,8%</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Torrox</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4,9%</w:t>
      </w:r>
      <w:r w:rsidR="00142BAE">
        <w:rPr>
          <w:rFonts w:ascii="Open Sans" w:eastAsia="Open Sans" w:hAnsi="Open Sans" w:cs="Open Sans"/>
          <w:color w:val="000000"/>
          <w:sz w:val="22"/>
          <w:szCs w:val="22"/>
        </w:rPr>
        <w:t xml:space="preserve">) y </w:t>
      </w:r>
      <w:r w:rsidR="00142BAE" w:rsidRPr="00142BAE">
        <w:rPr>
          <w:rFonts w:ascii="Open Sans" w:eastAsia="Open Sans" w:hAnsi="Open Sans" w:cs="Open Sans"/>
          <w:color w:val="000000"/>
          <w:sz w:val="22"/>
          <w:szCs w:val="22"/>
        </w:rPr>
        <w:t>Ayamonte</w:t>
      </w:r>
      <w:r w:rsidR="00142BAE">
        <w:rPr>
          <w:rFonts w:ascii="Open Sans" w:eastAsia="Open Sans" w:hAnsi="Open Sans" w:cs="Open Sans"/>
          <w:color w:val="000000"/>
          <w:sz w:val="22"/>
          <w:szCs w:val="22"/>
        </w:rPr>
        <w:t xml:space="preserve"> (</w:t>
      </w:r>
      <w:r w:rsidR="00142BAE" w:rsidRPr="00142BAE">
        <w:rPr>
          <w:rFonts w:ascii="Open Sans" w:eastAsia="Open Sans" w:hAnsi="Open Sans" w:cs="Open Sans"/>
          <w:color w:val="000000"/>
          <w:sz w:val="22"/>
          <w:szCs w:val="22"/>
        </w:rPr>
        <w:t>4,9%</w:t>
      </w:r>
      <w:r w:rsidR="00142BAE">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como ciudades con una rentabilidad inferior al 5% en </w:t>
      </w:r>
      <w:r w:rsidR="007C5ECF">
        <w:rPr>
          <w:rFonts w:ascii="Open Sans" w:eastAsia="Open Sans" w:hAnsi="Open Sans" w:cs="Open Sans"/>
          <w:color w:val="000000"/>
          <w:sz w:val="22"/>
          <w:szCs w:val="22"/>
        </w:rPr>
        <w:t>junio</w:t>
      </w:r>
      <w:r>
        <w:rPr>
          <w:rFonts w:ascii="Open Sans" w:eastAsia="Open Sans" w:hAnsi="Open Sans" w:cs="Open Sans"/>
          <w:color w:val="000000"/>
          <w:sz w:val="22"/>
          <w:szCs w:val="22"/>
        </w:rPr>
        <w:t>.</w:t>
      </w:r>
    </w:p>
    <w:p w14:paraId="512AB1A0" w14:textId="599D3C54" w:rsidR="007E2C31" w:rsidRPr="00A05EF2" w:rsidRDefault="007E2C31" w:rsidP="007E2C31">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rPr>
      </w:pPr>
      <w:r w:rsidRPr="00A05EF2">
        <w:rPr>
          <w:rFonts w:ascii="Open Sans Light" w:eastAsia="Open Sans Light" w:hAnsi="Open Sans Light" w:cs="Open Sans Light"/>
          <w:b/>
          <w:color w:val="303AB2"/>
          <w:sz w:val="28"/>
          <w:szCs w:val="28"/>
        </w:rPr>
        <w:t>Rentabilidad media de las viviendas en junio de 202</w:t>
      </w:r>
      <w:r w:rsidR="00142BAE" w:rsidRPr="00A05EF2">
        <w:rPr>
          <w:rFonts w:ascii="Open Sans Light" w:eastAsia="Open Sans Light" w:hAnsi="Open Sans Light" w:cs="Open Sans Light"/>
          <w:b/>
          <w:color w:val="303AB2"/>
          <w:sz w:val="28"/>
          <w:szCs w:val="28"/>
        </w:rPr>
        <w:t>5</w:t>
      </w:r>
    </w:p>
    <w:p w14:paraId="3EBA2285" w14:textId="7F3CB2B1" w:rsidR="007E2C31" w:rsidRDefault="00142BAE" w:rsidP="00FE432E">
      <w:pPr>
        <w:pBdr>
          <w:top w:val="nil"/>
          <w:left w:val="nil"/>
          <w:bottom w:val="nil"/>
          <w:right w:val="nil"/>
          <w:between w:val="nil"/>
        </w:pBdr>
        <w:shd w:val="clear" w:color="auto" w:fill="FFFFFF"/>
        <w:spacing w:before="280" w:after="280" w:line="276" w:lineRule="auto"/>
        <w:ind w:right="-574"/>
        <w:rPr>
          <w:rFonts w:ascii="Open Sans" w:eastAsia="Open Sans" w:hAnsi="Open Sans" w:cs="Open Sans"/>
          <w:color w:val="000000"/>
          <w:sz w:val="22"/>
          <w:szCs w:val="22"/>
        </w:rPr>
      </w:pPr>
      <w:r>
        <w:rPr>
          <w:noProof/>
        </w:rPr>
        <w:drawing>
          <wp:inline distT="0" distB="0" distL="0" distR="0" wp14:anchorId="56A031ED" wp14:editId="4F609984">
            <wp:extent cx="5848066" cy="2408555"/>
            <wp:effectExtent l="0" t="0" r="635" b="0"/>
            <wp:docPr id="671350035" name="Gráfico 1">
              <a:extLst xmlns:a="http://schemas.openxmlformats.org/drawingml/2006/main">
                <a:ext uri="{FF2B5EF4-FFF2-40B4-BE49-F238E27FC236}">
                  <a16:creationId xmlns:a16="http://schemas.microsoft.com/office/drawing/2014/main" id="{67B6DB46-0C2F-B995-E1D3-59A0C4743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BEEFA4" w14:textId="6417B0C2" w:rsidR="00EE57D7" w:rsidRDefault="00924841">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 xml:space="preserve">Municipios de la costa con mayor rentabilidad en </w:t>
      </w:r>
      <w:r w:rsidR="00B15640">
        <w:rPr>
          <w:rFonts w:ascii="Open Sans Light" w:eastAsia="Open Sans Light" w:hAnsi="Open Sans Light" w:cs="Open Sans Light"/>
          <w:b/>
          <w:color w:val="303AB2"/>
          <w:sz w:val="28"/>
          <w:szCs w:val="28"/>
        </w:rPr>
        <w:t>junio</w:t>
      </w:r>
      <w:r>
        <w:rPr>
          <w:rFonts w:ascii="Open Sans Light" w:eastAsia="Open Sans Light" w:hAnsi="Open Sans Light" w:cs="Open Sans Light"/>
          <w:b/>
          <w:color w:val="303AB2"/>
          <w:sz w:val="28"/>
          <w:szCs w:val="28"/>
        </w:rPr>
        <w:t xml:space="preserve"> </w:t>
      </w:r>
      <w:r w:rsidR="00A3301E">
        <w:rPr>
          <w:rFonts w:ascii="Open Sans Light" w:eastAsia="Open Sans Light" w:hAnsi="Open Sans Light" w:cs="Open Sans Light"/>
          <w:b/>
          <w:color w:val="303AB2"/>
          <w:sz w:val="28"/>
          <w:szCs w:val="28"/>
        </w:rPr>
        <w:t xml:space="preserve">de </w:t>
      </w:r>
      <w:r>
        <w:rPr>
          <w:rFonts w:ascii="Open Sans Light" w:eastAsia="Open Sans Light" w:hAnsi="Open Sans Light" w:cs="Open Sans Light"/>
          <w:b/>
          <w:color w:val="303AB2"/>
          <w:sz w:val="28"/>
          <w:szCs w:val="28"/>
        </w:rPr>
        <w:t>202</w:t>
      </w:r>
      <w:r w:rsidR="00142BAE">
        <w:rPr>
          <w:rFonts w:ascii="Open Sans Light" w:eastAsia="Open Sans Light" w:hAnsi="Open Sans Light" w:cs="Open Sans Light"/>
          <w:b/>
          <w:color w:val="303AB2"/>
          <w:sz w:val="28"/>
          <w:szCs w:val="28"/>
        </w:rPr>
        <w:t>5</w:t>
      </w:r>
    </w:p>
    <w:tbl>
      <w:tblPr>
        <w:tblStyle w:val="a"/>
        <w:tblW w:w="935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8"/>
        <w:gridCol w:w="1985"/>
        <w:gridCol w:w="1417"/>
        <w:gridCol w:w="1559"/>
        <w:gridCol w:w="1560"/>
        <w:gridCol w:w="1417"/>
      </w:tblGrid>
      <w:tr w:rsidR="00457BE3" w:rsidRPr="0033269A" w14:paraId="2449D658" w14:textId="77777777" w:rsidTr="00C629D4">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6FC36C0" w14:textId="77777777" w:rsidR="00457BE3" w:rsidRPr="00142BAE" w:rsidRDefault="00457BE3" w:rsidP="00457BE3">
            <w:pPr>
              <w:rPr>
                <w:rFonts w:ascii="Open Sans" w:eastAsia="Open Sans" w:hAnsi="Open Sans" w:cs="Open Sans"/>
                <w:b w:val="0"/>
                <w:bCs/>
                <w:color w:val="FFFFFF" w:themeColor="background1"/>
                <w:sz w:val="20"/>
                <w:szCs w:val="20"/>
              </w:rPr>
            </w:pPr>
            <w:r w:rsidRPr="00142BAE">
              <w:rPr>
                <w:rFonts w:ascii="Open Sans" w:eastAsia="Open Sans" w:hAnsi="Open Sans" w:cs="Open Sans"/>
                <w:b w:val="0"/>
                <w:bCs/>
                <w:color w:val="FFFFFF" w:themeColor="background1"/>
                <w:sz w:val="20"/>
                <w:szCs w:val="20"/>
              </w:rPr>
              <w:t>CC.AA.</w:t>
            </w:r>
          </w:p>
        </w:tc>
        <w:tc>
          <w:tcPr>
            <w:tcW w:w="1985" w:type="dxa"/>
            <w:vAlign w:val="center"/>
          </w:tcPr>
          <w:p w14:paraId="44CD4B3A" w14:textId="211EDE81" w:rsidR="00457BE3" w:rsidRPr="0033269A" w:rsidRDefault="00457BE3" w:rsidP="00457BE3">
            <w:pP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sz w:val="20"/>
                <w:szCs w:val="20"/>
              </w:rPr>
            </w:pPr>
            <w:r w:rsidRPr="0033269A">
              <w:rPr>
                <w:rFonts w:ascii="Open Sans" w:eastAsia="Open Sans" w:hAnsi="Open Sans" w:cs="Open Sans"/>
                <w:b w:val="0"/>
                <w:bCs/>
                <w:sz w:val="20"/>
                <w:szCs w:val="20"/>
              </w:rPr>
              <w:t>Municipio</w:t>
            </w:r>
          </w:p>
        </w:tc>
        <w:tc>
          <w:tcPr>
            <w:tcW w:w="1417" w:type="dxa"/>
            <w:vAlign w:val="center"/>
          </w:tcPr>
          <w:p w14:paraId="29330C3B" w14:textId="4685A74D" w:rsidR="00583B8A"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sz w:val="20"/>
                <w:szCs w:val="20"/>
              </w:rPr>
            </w:pPr>
            <w:r w:rsidRPr="0033269A">
              <w:rPr>
                <w:rFonts w:ascii="Open Sans" w:eastAsia="Open Sans" w:hAnsi="Open Sans" w:cs="Open Sans"/>
                <w:b w:val="0"/>
                <w:bCs/>
                <w:sz w:val="20"/>
                <w:szCs w:val="20"/>
              </w:rPr>
              <w:t>Rentabilidad media 20</w:t>
            </w:r>
            <w:r w:rsidR="000D5E58">
              <w:rPr>
                <w:rFonts w:ascii="Open Sans" w:eastAsia="Open Sans" w:hAnsi="Open Sans" w:cs="Open Sans"/>
                <w:b w:val="0"/>
                <w:bCs/>
                <w:sz w:val="20"/>
                <w:szCs w:val="20"/>
              </w:rPr>
              <w:t>1</w:t>
            </w:r>
            <w:r w:rsidR="00142BAE">
              <w:rPr>
                <w:rFonts w:ascii="Open Sans" w:eastAsia="Open Sans" w:hAnsi="Open Sans" w:cs="Open Sans"/>
                <w:b w:val="0"/>
                <w:bCs/>
                <w:sz w:val="20"/>
                <w:szCs w:val="20"/>
              </w:rPr>
              <w:t>5</w:t>
            </w:r>
            <w:r w:rsidR="005A3A4F" w:rsidRPr="0033269A">
              <w:rPr>
                <w:rFonts w:ascii="Open Sans" w:eastAsia="Open Sans" w:hAnsi="Open Sans" w:cs="Open Sans"/>
                <w:b w:val="0"/>
                <w:bCs/>
                <w:sz w:val="20"/>
                <w:szCs w:val="20"/>
              </w:rPr>
              <w:t xml:space="preserve"> </w:t>
            </w:r>
          </w:p>
          <w:p w14:paraId="12CBC411" w14:textId="62665CDE" w:rsidR="00457BE3"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sz w:val="20"/>
                <w:szCs w:val="20"/>
              </w:rPr>
            </w:pPr>
            <w:r w:rsidRPr="0033269A">
              <w:rPr>
                <w:rFonts w:ascii="Open Sans" w:eastAsia="Open Sans" w:hAnsi="Open Sans" w:cs="Open Sans"/>
                <w:b w:val="0"/>
                <w:bCs/>
                <w:sz w:val="20"/>
                <w:szCs w:val="20"/>
              </w:rPr>
              <w:t>(1</w:t>
            </w:r>
            <w:r w:rsidR="00B15640" w:rsidRPr="0033269A">
              <w:rPr>
                <w:rFonts w:ascii="Open Sans" w:eastAsia="Open Sans" w:hAnsi="Open Sans" w:cs="Open Sans"/>
                <w:b w:val="0"/>
                <w:bCs/>
                <w:sz w:val="20"/>
                <w:szCs w:val="20"/>
              </w:rPr>
              <w:t>0</w:t>
            </w:r>
            <w:r w:rsidRPr="0033269A">
              <w:rPr>
                <w:rFonts w:ascii="Open Sans" w:eastAsia="Open Sans" w:hAnsi="Open Sans" w:cs="Open Sans"/>
                <w:b w:val="0"/>
                <w:bCs/>
                <w:sz w:val="20"/>
                <w:szCs w:val="20"/>
              </w:rPr>
              <w:t xml:space="preserve"> años)</w:t>
            </w:r>
          </w:p>
        </w:tc>
        <w:tc>
          <w:tcPr>
            <w:tcW w:w="1559" w:type="dxa"/>
          </w:tcPr>
          <w:p w14:paraId="1D5C6779" w14:textId="6A45702D" w:rsidR="00583B8A"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sz w:val="20"/>
                <w:szCs w:val="20"/>
              </w:rPr>
            </w:pPr>
            <w:r w:rsidRPr="0033269A">
              <w:rPr>
                <w:rFonts w:ascii="Open Sans" w:eastAsia="Open Sans" w:hAnsi="Open Sans" w:cs="Open Sans"/>
                <w:b w:val="0"/>
                <w:bCs/>
                <w:sz w:val="20"/>
                <w:szCs w:val="20"/>
              </w:rPr>
              <w:t>Rentabilidad media 20</w:t>
            </w:r>
            <w:r w:rsidR="00142BAE">
              <w:rPr>
                <w:rFonts w:ascii="Open Sans" w:eastAsia="Open Sans" w:hAnsi="Open Sans" w:cs="Open Sans"/>
                <w:b w:val="0"/>
                <w:bCs/>
                <w:sz w:val="20"/>
                <w:szCs w:val="20"/>
              </w:rPr>
              <w:t>20</w:t>
            </w:r>
          </w:p>
          <w:p w14:paraId="24F1FE6C" w14:textId="01ACD69C" w:rsidR="00457BE3"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sz w:val="20"/>
                <w:szCs w:val="20"/>
              </w:rPr>
            </w:pPr>
            <w:r w:rsidRPr="0033269A">
              <w:rPr>
                <w:rFonts w:ascii="Open Sans" w:eastAsia="Open Sans" w:hAnsi="Open Sans" w:cs="Open Sans"/>
                <w:b w:val="0"/>
                <w:bCs/>
                <w:sz w:val="20"/>
                <w:szCs w:val="20"/>
              </w:rPr>
              <w:t>(</w:t>
            </w:r>
            <w:r w:rsidR="00B15640" w:rsidRPr="0033269A">
              <w:rPr>
                <w:rFonts w:ascii="Open Sans" w:eastAsia="Open Sans" w:hAnsi="Open Sans" w:cs="Open Sans"/>
                <w:b w:val="0"/>
                <w:bCs/>
                <w:sz w:val="20"/>
                <w:szCs w:val="20"/>
              </w:rPr>
              <w:t>5</w:t>
            </w:r>
            <w:r w:rsidRPr="0033269A">
              <w:rPr>
                <w:rFonts w:ascii="Open Sans" w:eastAsia="Open Sans" w:hAnsi="Open Sans" w:cs="Open Sans"/>
                <w:b w:val="0"/>
                <w:bCs/>
                <w:sz w:val="20"/>
                <w:szCs w:val="20"/>
              </w:rPr>
              <w:t xml:space="preserve"> años)</w:t>
            </w:r>
          </w:p>
        </w:tc>
        <w:tc>
          <w:tcPr>
            <w:tcW w:w="1560" w:type="dxa"/>
          </w:tcPr>
          <w:p w14:paraId="1A79E31C" w14:textId="20C00B0A" w:rsidR="00457BE3"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sz w:val="20"/>
                <w:szCs w:val="20"/>
              </w:rPr>
            </w:pPr>
            <w:r w:rsidRPr="0033269A">
              <w:rPr>
                <w:rFonts w:ascii="Open Sans" w:eastAsia="Open Sans" w:hAnsi="Open Sans" w:cs="Open Sans"/>
                <w:b w:val="0"/>
                <w:bCs/>
                <w:sz w:val="20"/>
                <w:szCs w:val="20"/>
              </w:rPr>
              <w:t>Rentabilidad media 20</w:t>
            </w:r>
            <w:r w:rsidR="000D5E58">
              <w:rPr>
                <w:rFonts w:ascii="Open Sans" w:eastAsia="Open Sans" w:hAnsi="Open Sans" w:cs="Open Sans"/>
                <w:b w:val="0"/>
                <w:bCs/>
                <w:sz w:val="20"/>
                <w:szCs w:val="20"/>
              </w:rPr>
              <w:t>2</w:t>
            </w:r>
            <w:r w:rsidR="00142BAE">
              <w:rPr>
                <w:rFonts w:ascii="Open Sans" w:eastAsia="Open Sans" w:hAnsi="Open Sans" w:cs="Open Sans"/>
                <w:b w:val="0"/>
                <w:bCs/>
                <w:sz w:val="20"/>
                <w:szCs w:val="20"/>
              </w:rPr>
              <w:t>4</w:t>
            </w:r>
          </w:p>
          <w:p w14:paraId="5B82F1B2" w14:textId="019B5B91" w:rsidR="00457BE3"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sz w:val="20"/>
                <w:szCs w:val="20"/>
              </w:rPr>
            </w:pPr>
            <w:r w:rsidRPr="0033269A">
              <w:rPr>
                <w:rFonts w:ascii="Open Sans" w:eastAsia="Open Sans" w:hAnsi="Open Sans" w:cs="Open Sans"/>
                <w:b w:val="0"/>
                <w:bCs/>
                <w:sz w:val="20"/>
                <w:szCs w:val="20"/>
              </w:rPr>
              <w:t>(</w:t>
            </w:r>
            <w:r w:rsidR="00B15640" w:rsidRPr="0033269A">
              <w:rPr>
                <w:rFonts w:ascii="Open Sans" w:eastAsia="Open Sans" w:hAnsi="Open Sans" w:cs="Open Sans"/>
                <w:b w:val="0"/>
                <w:bCs/>
                <w:sz w:val="20"/>
                <w:szCs w:val="20"/>
              </w:rPr>
              <w:t>1</w:t>
            </w:r>
            <w:r w:rsidRPr="0033269A">
              <w:rPr>
                <w:rFonts w:ascii="Open Sans" w:eastAsia="Open Sans" w:hAnsi="Open Sans" w:cs="Open Sans"/>
                <w:b w:val="0"/>
                <w:bCs/>
                <w:sz w:val="20"/>
                <w:szCs w:val="20"/>
              </w:rPr>
              <w:t xml:space="preserve"> año)</w:t>
            </w:r>
          </w:p>
        </w:tc>
        <w:tc>
          <w:tcPr>
            <w:tcW w:w="1417" w:type="dxa"/>
            <w:vAlign w:val="center"/>
          </w:tcPr>
          <w:p w14:paraId="2E2D8B68" w14:textId="40B2D6D3" w:rsidR="00457BE3" w:rsidRPr="0033269A" w:rsidRDefault="00457BE3" w:rsidP="00457BE3">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sz w:val="20"/>
                <w:szCs w:val="20"/>
              </w:rPr>
            </w:pPr>
            <w:r w:rsidRPr="0033269A">
              <w:rPr>
                <w:rFonts w:ascii="Open Sans" w:eastAsia="Open Sans" w:hAnsi="Open Sans" w:cs="Open Sans"/>
                <w:b w:val="0"/>
                <w:bCs/>
                <w:sz w:val="20"/>
                <w:szCs w:val="20"/>
              </w:rPr>
              <w:t>Rentabilidad media</w:t>
            </w:r>
            <w:r w:rsidR="00AF7B19" w:rsidRPr="0033269A">
              <w:rPr>
                <w:rFonts w:ascii="Open Sans" w:eastAsia="Open Sans" w:hAnsi="Open Sans" w:cs="Open Sans"/>
                <w:b w:val="0"/>
                <w:bCs/>
                <w:sz w:val="20"/>
                <w:szCs w:val="20"/>
              </w:rPr>
              <w:t xml:space="preserve"> junio</w:t>
            </w:r>
            <w:r w:rsidRPr="0033269A">
              <w:rPr>
                <w:rFonts w:ascii="Open Sans" w:eastAsia="Open Sans" w:hAnsi="Open Sans" w:cs="Open Sans"/>
                <w:b w:val="0"/>
                <w:bCs/>
                <w:sz w:val="20"/>
                <w:szCs w:val="20"/>
              </w:rPr>
              <w:t xml:space="preserve"> 202</w:t>
            </w:r>
            <w:r w:rsidR="00142BAE">
              <w:rPr>
                <w:rFonts w:ascii="Open Sans" w:eastAsia="Open Sans" w:hAnsi="Open Sans" w:cs="Open Sans"/>
                <w:b w:val="0"/>
                <w:bCs/>
                <w:sz w:val="20"/>
                <w:szCs w:val="20"/>
              </w:rPr>
              <w:t>5</w:t>
            </w:r>
          </w:p>
        </w:tc>
      </w:tr>
      <w:tr w:rsidR="00B97983" w:rsidRPr="0033269A" w14:paraId="2EAFF485"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FB0C556" w14:textId="2A229EA2"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Almería</w:t>
            </w:r>
          </w:p>
        </w:tc>
        <w:tc>
          <w:tcPr>
            <w:tcW w:w="1985" w:type="dxa"/>
            <w:vAlign w:val="bottom"/>
          </w:tcPr>
          <w:p w14:paraId="7B8F4623" w14:textId="459C2FCE"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Adra</w:t>
            </w:r>
          </w:p>
        </w:tc>
        <w:tc>
          <w:tcPr>
            <w:tcW w:w="1417" w:type="dxa"/>
            <w:vAlign w:val="bottom"/>
          </w:tcPr>
          <w:p w14:paraId="42829B02" w14:textId="6D6BCCF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59" w:type="dxa"/>
          </w:tcPr>
          <w:p w14:paraId="6BA4552F" w14:textId="7982FC05"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C55A20">
              <w:rPr>
                <w:rFonts w:ascii="Open Sans" w:eastAsia="Open Sans" w:hAnsi="Open Sans" w:cs="Open Sans"/>
                <w:color w:val="000000"/>
                <w:sz w:val="20"/>
                <w:szCs w:val="20"/>
              </w:rPr>
              <w:t>-</w:t>
            </w:r>
          </w:p>
        </w:tc>
        <w:tc>
          <w:tcPr>
            <w:tcW w:w="1560" w:type="dxa"/>
          </w:tcPr>
          <w:p w14:paraId="2AB49231" w14:textId="310B3BC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sidRPr="00C55A20">
              <w:rPr>
                <w:rFonts w:ascii="Open Sans" w:eastAsia="Open Sans" w:hAnsi="Open Sans" w:cs="Open Sans"/>
                <w:color w:val="000000"/>
                <w:sz w:val="20"/>
                <w:szCs w:val="20"/>
              </w:rPr>
              <w:t>-</w:t>
            </w:r>
          </w:p>
        </w:tc>
        <w:tc>
          <w:tcPr>
            <w:tcW w:w="1417" w:type="dxa"/>
            <w:vAlign w:val="bottom"/>
          </w:tcPr>
          <w:p w14:paraId="278183F4" w14:textId="14ED18D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13,7%</w:t>
            </w:r>
          </w:p>
        </w:tc>
      </w:tr>
      <w:tr w:rsidR="00B97983" w:rsidRPr="0033269A" w14:paraId="26E550F0"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F4453BB" w14:textId="0D81EABD"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Murcia</w:t>
            </w:r>
          </w:p>
        </w:tc>
        <w:tc>
          <w:tcPr>
            <w:tcW w:w="1985" w:type="dxa"/>
            <w:vAlign w:val="bottom"/>
          </w:tcPr>
          <w:p w14:paraId="6B4CF65C" w14:textId="7BFA9C8E"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San Javier</w:t>
            </w:r>
          </w:p>
        </w:tc>
        <w:tc>
          <w:tcPr>
            <w:tcW w:w="1417" w:type="dxa"/>
          </w:tcPr>
          <w:p w14:paraId="029427EE" w14:textId="6AE242F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852F9D">
              <w:rPr>
                <w:rFonts w:ascii="Open Sans" w:eastAsia="Open Sans" w:hAnsi="Open Sans" w:cs="Open Sans"/>
                <w:color w:val="000000"/>
                <w:sz w:val="20"/>
                <w:szCs w:val="20"/>
              </w:rPr>
              <w:t>-</w:t>
            </w:r>
          </w:p>
        </w:tc>
        <w:tc>
          <w:tcPr>
            <w:tcW w:w="1559" w:type="dxa"/>
          </w:tcPr>
          <w:p w14:paraId="2811E7DC" w14:textId="052FEBA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852F9D">
              <w:rPr>
                <w:rFonts w:ascii="Open Sans" w:eastAsia="Open Sans" w:hAnsi="Open Sans" w:cs="Open Sans"/>
                <w:color w:val="000000"/>
                <w:sz w:val="20"/>
                <w:szCs w:val="20"/>
              </w:rPr>
              <w:t>-</w:t>
            </w:r>
          </w:p>
        </w:tc>
        <w:tc>
          <w:tcPr>
            <w:tcW w:w="1560" w:type="dxa"/>
            <w:vAlign w:val="bottom"/>
          </w:tcPr>
          <w:p w14:paraId="357D1DD2" w14:textId="72847FA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12,3%</w:t>
            </w:r>
          </w:p>
        </w:tc>
        <w:tc>
          <w:tcPr>
            <w:tcW w:w="1417" w:type="dxa"/>
            <w:vAlign w:val="bottom"/>
          </w:tcPr>
          <w:p w14:paraId="08CC765C" w14:textId="7F4451E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10,0%</w:t>
            </w:r>
          </w:p>
        </w:tc>
      </w:tr>
      <w:tr w:rsidR="00A947F9" w:rsidRPr="0033269A" w14:paraId="0AF9C1E6"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65EC36C" w14:textId="4D9F69F6"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3C7BD253" w14:textId="4CC62D64"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La Línea de la Concepción</w:t>
            </w:r>
          </w:p>
        </w:tc>
        <w:tc>
          <w:tcPr>
            <w:tcW w:w="1417" w:type="dxa"/>
            <w:vAlign w:val="bottom"/>
          </w:tcPr>
          <w:p w14:paraId="75409244" w14:textId="7F80D216"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6,7%</w:t>
            </w:r>
          </w:p>
        </w:tc>
        <w:tc>
          <w:tcPr>
            <w:tcW w:w="1559" w:type="dxa"/>
            <w:vAlign w:val="bottom"/>
          </w:tcPr>
          <w:p w14:paraId="4A5525B7" w14:textId="3FF8539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7,0%</w:t>
            </w:r>
          </w:p>
        </w:tc>
        <w:tc>
          <w:tcPr>
            <w:tcW w:w="1560" w:type="dxa"/>
            <w:vAlign w:val="bottom"/>
          </w:tcPr>
          <w:p w14:paraId="0EA056CD" w14:textId="1A702B21"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eastAsia="Open Sans" w:hAnsi="Open Sans" w:cs="Open Sans"/>
                <w:color w:val="000000"/>
                <w:sz w:val="20"/>
                <w:szCs w:val="20"/>
              </w:rPr>
              <w:t>-</w:t>
            </w:r>
          </w:p>
        </w:tc>
        <w:tc>
          <w:tcPr>
            <w:tcW w:w="1417" w:type="dxa"/>
            <w:vAlign w:val="bottom"/>
          </w:tcPr>
          <w:p w14:paraId="49382BEB" w14:textId="480DDB8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9,4%</w:t>
            </w:r>
          </w:p>
        </w:tc>
      </w:tr>
      <w:tr w:rsidR="00B97983" w:rsidRPr="0033269A" w14:paraId="1CE56CFF"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A903AC5" w14:textId="5F8230EE"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Murcia</w:t>
            </w:r>
          </w:p>
        </w:tc>
        <w:tc>
          <w:tcPr>
            <w:tcW w:w="1985" w:type="dxa"/>
            <w:vAlign w:val="bottom"/>
          </w:tcPr>
          <w:p w14:paraId="7A2B6377" w14:textId="3EE34083"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Mazarrón</w:t>
            </w:r>
          </w:p>
        </w:tc>
        <w:tc>
          <w:tcPr>
            <w:tcW w:w="1417" w:type="dxa"/>
          </w:tcPr>
          <w:p w14:paraId="6D93CC81" w14:textId="100BB9D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492FC9">
              <w:rPr>
                <w:rFonts w:ascii="Open Sans" w:eastAsia="Open Sans" w:hAnsi="Open Sans" w:cs="Open Sans"/>
                <w:color w:val="000000"/>
                <w:sz w:val="20"/>
                <w:szCs w:val="20"/>
              </w:rPr>
              <w:t>-</w:t>
            </w:r>
          </w:p>
        </w:tc>
        <w:tc>
          <w:tcPr>
            <w:tcW w:w="1559" w:type="dxa"/>
          </w:tcPr>
          <w:p w14:paraId="486BE966" w14:textId="10BACBB6"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492FC9">
              <w:rPr>
                <w:rFonts w:ascii="Open Sans" w:eastAsia="Open Sans" w:hAnsi="Open Sans" w:cs="Open Sans"/>
                <w:color w:val="000000"/>
                <w:sz w:val="20"/>
                <w:szCs w:val="20"/>
              </w:rPr>
              <w:t>-</w:t>
            </w:r>
          </w:p>
        </w:tc>
        <w:tc>
          <w:tcPr>
            <w:tcW w:w="1560" w:type="dxa"/>
            <w:vAlign w:val="bottom"/>
          </w:tcPr>
          <w:p w14:paraId="73AD44C1" w14:textId="2CA510C8"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11,4%</w:t>
            </w:r>
          </w:p>
        </w:tc>
        <w:tc>
          <w:tcPr>
            <w:tcW w:w="1417" w:type="dxa"/>
            <w:vAlign w:val="bottom"/>
          </w:tcPr>
          <w:p w14:paraId="5A196FDE" w14:textId="2C60F50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9,3%</w:t>
            </w:r>
          </w:p>
        </w:tc>
      </w:tr>
      <w:tr w:rsidR="00B97983" w:rsidRPr="0033269A" w14:paraId="051C2358"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89321D8" w14:textId="5F42926E"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Cantabria</w:t>
            </w:r>
          </w:p>
        </w:tc>
        <w:tc>
          <w:tcPr>
            <w:tcW w:w="1985" w:type="dxa"/>
            <w:vAlign w:val="bottom"/>
          </w:tcPr>
          <w:p w14:paraId="2F861F94" w14:textId="2BD3FF6C"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Laredo</w:t>
            </w:r>
          </w:p>
        </w:tc>
        <w:tc>
          <w:tcPr>
            <w:tcW w:w="1417" w:type="dxa"/>
          </w:tcPr>
          <w:p w14:paraId="47764EE0" w14:textId="2CE60E2E"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492FC9">
              <w:rPr>
                <w:rFonts w:ascii="Open Sans" w:eastAsia="Open Sans" w:hAnsi="Open Sans" w:cs="Open Sans"/>
                <w:color w:val="000000"/>
                <w:sz w:val="20"/>
                <w:szCs w:val="20"/>
              </w:rPr>
              <w:t>-</w:t>
            </w:r>
          </w:p>
        </w:tc>
        <w:tc>
          <w:tcPr>
            <w:tcW w:w="1559" w:type="dxa"/>
          </w:tcPr>
          <w:p w14:paraId="00FE84AF" w14:textId="6925C62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492FC9">
              <w:rPr>
                <w:rFonts w:ascii="Open Sans" w:eastAsia="Open Sans" w:hAnsi="Open Sans" w:cs="Open Sans"/>
                <w:color w:val="000000"/>
                <w:sz w:val="20"/>
                <w:szCs w:val="20"/>
              </w:rPr>
              <w:t>-</w:t>
            </w:r>
          </w:p>
        </w:tc>
        <w:tc>
          <w:tcPr>
            <w:tcW w:w="1560" w:type="dxa"/>
            <w:vAlign w:val="bottom"/>
          </w:tcPr>
          <w:p w14:paraId="2A21B1A0" w14:textId="51B91BF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9,6%</w:t>
            </w:r>
          </w:p>
        </w:tc>
        <w:tc>
          <w:tcPr>
            <w:tcW w:w="1417" w:type="dxa"/>
            <w:vAlign w:val="bottom"/>
          </w:tcPr>
          <w:p w14:paraId="20BCC69C" w14:textId="625D7D9F"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9,2%</w:t>
            </w:r>
          </w:p>
        </w:tc>
      </w:tr>
      <w:tr w:rsidR="00A947F9" w:rsidRPr="0033269A" w14:paraId="0EA7A1BE"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384A430" w14:textId="1F700D30"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329B8846" w14:textId="70FE8E34"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L'Hospitalet de Llobregat</w:t>
            </w:r>
          </w:p>
        </w:tc>
        <w:tc>
          <w:tcPr>
            <w:tcW w:w="1417" w:type="dxa"/>
            <w:vAlign w:val="bottom"/>
          </w:tcPr>
          <w:p w14:paraId="13C7C02C" w14:textId="707B199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6,2%</w:t>
            </w:r>
          </w:p>
        </w:tc>
        <w:tc>
          <w:tcPr>
            <w:tcW w:w="1559" w:type="dxa"/>
            <w:vAlign w:val="bottom"/>
          </w:tcPr>
          <w:p w14:paraId="6CC12957" w14:textId="0EF2CEA9"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6,9%</w:t>
            </w:r>
          </w:p>
        </w:tc>
        <w:tc>
          <w:tcPr>
            <w:tcW w:w="1560" w:type="dxa"/>
            <w:vAlign w:val="bottom"/>
          </w:tcPr>
          <w:p w14:paraId="70E32276" w14:textId="4E8ABDF3"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8,7%</w:t>
            </w:r>
          </w:p>
        </w:tc>
        <w:tc>
          <w:tcPr>
            <w:tcW w:w="1417" w:type="dxa"/>
            <w:vAlign w:val="bottom"/>
          </w:tcPr>
          <w:p w14:paraId="71240A2F" w14:textId="67F0C4C8"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8,8%</w:t>
            </w:r>
          </w:p>
        </w:tc>
      </w:tr>
      <w:tr w:rsidR="00A947F9" w:rsidRPr="0033269A" w14:paraId="5832E61B"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C45220A" w14:textId="4BD4C67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 Coruña</w:t>
            </w:r>
          </w:p>
        </w:tc>
        <w:tc>
          <w:tcPr>
            <w:tcW w:w="1985" w:type="dxa"/>
            <w:vAlign w:val="bottom"/>
          </w:tcPr>
          <w:p w14:paraId="0337CD7A" w14:textId="1C96D3F5"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Ferrol</w:t>
            </w:r>
          </w:p>
        </w:tc>
        <w:tc>
          <w:tcPr>
            <w:tcW w:w="1417" w:type="dxa"/>
            <w:vAlign w:val="bottom"/>
          </w:tcPr>
          <w:p w14:paraId="0ED26DE8" w14:textId="736BE4B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c>
          <w:tcPr>
            <w:tcW w:w="1559" w:type="dxa"/>
            <w:vAlign w:val="bottom"/>
          </w:tcPr>
          <w:p w14:paraId="62E8DAC8" w14:textId="2F462D51"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Pr>
                <w:rFonts w:ascii="Open Sans" w:hAnsi="Open Sans" w:cs="Open Sans"/>
                <w:color w:val="000000"/>
                <w:sz w:val="22"/>
                <w:szCs w:val="22"/>
              </w:rPr>
              <w:t>5,7%</w:t>
            </w:r>
          </w:p>
        </w:tc>
        <w:tc>
          <w:tcPr>
            <w:tcW w:w="1560" w:type="dxa"/>
            <w:vAlign w:val="bottom"/>
          </w:tcPr>
          <w:p w14:paraId="32B033F2" w14:textId="28FCE106"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8,8%</w:t>
            </w:r>
          </w:p>
        </w:tc>
        <w:tc>
          <w:tcPr>
            <w:tcW w:w="1417" w:type="dxa"/>
            <w:vAlign w:val="bottom"/>
          </w:tcPr>
          <w:p w14:paraId="39CF13AF" w14:textId="367B79E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8,7%</w:t>
            </w:r>
          </w:p>
        </w:tc>
      </w:tr>
      <w:tr w:rsidR="00B97983" w:rsidRPr="0033269A" w14:paraId="3618C3A5"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D10B931" w14:textId="626ECFB3"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 Coruña</w:t>
            </w:r>
          </w:p>
        </w:tc>
        <w:tc>
          <w:tcPr>
            <w:tcW w:w="1985" w:type="dxa"/>
            <w:vAlign w:val="bottom"/>
          </w:tcPr>
          <w:p w14:paraId="259D576E" w14:textId="0BB96515"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Ribeira</w:t>
            </w:r>
          </w:p>
        </w:tc>
        <w:tc>
          <w:tcPr>
            <w:tcW w:w="1417" w:type="dxa"/>
          </w:tcPr>
          <w:p w14:paraId="202FED81" w14:textId="51A01AB8"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1C2874">
              <w:rPr>
                <w:rFonts w:ascii="Open Sans" w:eastAsia="Open Sans" w:hAnsi="Open Sans" w:cs="Open Sans"/>
                <w:color w:val="000000"/>
                <w:sz w:val="20"/>
                <w:szCs w:val="20"/>
              </w:rPr>
              <w:t>-</w:t>
            </w:r>
          </w:p>
        </w:tc>
        <w:tc>
          <w:tcPr>
            <w:tcW w:w="1559" w:type="dxa"/>
          </w:tcPr>
          <w:p w14:paraId="0D5465AA" w14:textId="062DED9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1C2874">
              <w:rPr>
                <w:rFonts w:ascii="Open Sans" w:eastAsia="Open Sans" w:hAnsi="Open Sans" w:cs="Open Sans"/>
                <w:color w:val="000000"/>
                <w:sz w:val="20"/>
                <w:szCs w:val="20"/>
              </w:rPr>
              <w:t>-</w:t>
            </w:r>
          </w:p>
        </w:tc>
        <w:tc>
          <w:tcPr>
            <w:tcW w:w="1560" w:type="dxa"/>
          </w:tcPr>
          <w:p w14:paraId="34C17820" w14:textId="2B00B78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sidRPr="001C2874">
              <w:rPr>
                <w:rFonts w:ascii="Open Sans" w:eastAsia="Open Sans" w:hAnsi="Open Sans" w:cs="Open Sans"/>
                <w:color w:val="000000"/>
                <w:sz w:val="20"/>
                <w:szCs w:val="20"/>
              </w:rPr>
              <w:t>-</w:t>
            </w:r>
          </w:p>
        </w:tc>
        <w:tc>
          <w:tcPr>
            <w:tcW w:w="1417" w:type="dxa"/>
            <w:vAlign w:val="bottom"/>
          </w:tcPr>
          <w:p w14:paraId="69B73FD5" w14:textId="4F1F736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8,7%</w:t>
            </w:r>
          </w:p>
        </w:tc>
      </w:tr>
      <w:tr w:rsidR="00A947F9" w:rsidRPr="0033269A" w14:paraId="0C42E280"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F164EAE" w14:textId="517A35F1"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45D55CD3" w14:textId="39D0B7FB"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Sagunto / Sagunt</w:t>
            </w:r>
          </w:p>
        </w:tc>
        <w:tc>
          <w:tcPr>
            <w:tcW w:w="1417" w:type="dxa"/>
            <w:vAlign w:val="bottom"/>
          </w:tcPr>
          <w:p w14:paraId="2556EEFC" w14:textId="6DF0DC5E"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4,7%</w:t>
            </w:r>
          </w:p>
        </w:tc>
        <w:tc>
          <w:tcPr>
            <w:tcW w:w="1559" w:type="dxa"/>
            <w:vAlign w:val="bottom"/>
          </w:tcPr>
          <w:p w14:paraId="44BB46DB" w14:textId="558CE784"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5437E16F" w14:textId="3DD2D5A7"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7,0%</w:t>
            </w:r>
          </w:p>
        </w:tc>
        <w:tc>
          <w:tcPr>
            <w:tcW w:w="1417" w:type="dxa"/>
            <w:vAlign w:val="bottom"/>
          </w:tcPr>
          <w:p w14:paraId="131AF558" w14:textId="3304146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8,5%</w:t>
            </w:r>
          </w:p>
        </w:tc>
      </w:tr>
      <w:tr w:rsidR="00A947F9" w:rsidRPr="0033269A" w14:paraId="226CC8DE"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CF7FE72" w14:textId="7FB39D3C"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lastRenderedPageBreak/>
              <w:t>Barcelona</w:t>
            </w:r>
          </w:p>
        </w:tc>
        <w:tc>
          <w:tcPr>
            <w:tcW w:w="1985" w:type="dxa"/>
            <w:vAlign w:val="bottom"/>
          </w:tcPr>
          <w:p w14:paraId="50E95339" w14:textId="7DA331E2"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Badalona</w:t>
            </w:r>
          </w:p>
        </w:tc>
        <w:tc>
          <w:tcPr>
            <w:tcW w:w="1417" w:type="dxa"/>
            <w:vAlign w:val="bottom"/>
          </w:tcPr>
          <w:p w14:paraId="222A9CA2" w14:textId="7A23B2B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34F2B98E" w14:textId="01F3E71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5,5%</w:t>
            </w:r>
          </w:p>
        </w:tc>
        <w:tc>
          <w:tcPr>
            <w:tcW w:w="1560" w:type="dxa"/>
            <w:vAlign w:val="bottom"/>
          </w:tcPr>
          <w:p w14:paraId="15F14923" w14:textId="463AC81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8,3%</w:t>
            </w:r>
          </w:p>
        </w:tc>
        <w:tc>
          <w:tcPr>
            <w:tcW w:w="1417" w:type="dxa"/>
            <w:vAlign w:val="bottom"/>
          </w:tcPr>
          <w:p w14:paraId="57C7AE0B" w14:textId="11D099AC"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8,3%</w:t>
            </w:r>
          </w:p>
        </w:tc>
      </w:tr>
      <w:tr w:rsidR="00B97983" w:rsidRPr="0033269A" w14:paraId="5473D65B"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262C391" w14:textId="1AEFB1DC"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Lugo</w:t>
            </w:r>
          </w:p>
        </w:tc>
        <w:tc>
          <w:tcPr>
            <w:tcW w:w="1985" w:type="dxa"/>
            <w:vAlign w:val="bottom"/>
          </w:tcPr>
          <w:p w14:paraId="61F56020" w14:textId="2127CCA7"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Foz</w:t>
            </w:r>
          </w:p>
        </w:tc>
        <w:tc>
          <w:tcPr>
            <w:tcW w:w="1417" w:type="dxa"/>
          </w:tcPr>
          <w:p w14:paraId="1D758C49" w14:textId="580CF4D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7F509E">
              <w:rPr>
                <w:rFonts w:ascii="Open Sans" w:eastAsia="Open Sans" w:hAnsi="Open Sans" w:cs="Open Sans"/>
                <w:color w:val="000000"/>
                <w:sz w:val="20"/>
                <w:szCs w:val="20"/>
              </w:rPr>
              <w:t>-</w:t>
            </w:r>
          </w:p>
        </w:tc>
        <w:tc>
          <w:tcPr>
            <w:tcW w:w="1559" w:type="dxa"/>
          </w:tcPr>
          <w:p w14:paraId="54719B2E" w14:textId="041A2EE2"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7F509E">
              <w:rPr>
                <w:rFonts w:ascii="Open Sans" w:eastAsia="Open Sans" w:hAnsi="Open Sans" w:cs="Open Sans"/>
                <w:color w:val="000000"/>
                <w:sz w:val="20"/>
                <w:szCs w:val="20"/>
              </w:rPr>
              <w:t>-</w:t>
            </w:r>
          </w:p>
        </w:tc>
        <w:tc>
          <w:tcPr>
            <w:tcW w:w="1560" w:type="dxa"/>
          </w:tcPr>
          <w:p w14:paraId="72D036F2" w14:textId="7B8545D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sidRPr="007F509E">
              <w:rPr>
                <w:rFonts w:ascii="Open Sans" w:eastAsia="Open Sans" w:hAnsi="Open Sans" w:cs="Open Sans"/>
                <w:color w:val="000000"/>
                <w:sz w:val="20"/>
                <w:szCs w:val="20"/>
              </w:rPr>
              <w:t>-</w:t>
            </w:r>
          </w:p>
        </w:tc>
        <w:tc>
          <w:tcPr>
            <w:tcW w:w="1417" w:type="dxa"/>
            <w:vAlign w:val="bottom"/>
          </w:tcPr>
          <w:p w14:paraId="41938C22" w14:textId="51A2934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8,1%</w:t>
            </w:r>
          </w:p>
        </w:tc>
      </w:tr>
      <w:tr w:rsidR="00A947F9" w:rsidRPr="0033269A" w14:paraId="5E6324F3"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AF3515F" w14:textId="1C6C9D27"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6385B46D" w14:textId="30634DEC"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Mataró</w:t>
            </w:r>
          </w:p>
        </w:tc>
        <w:tc>
          <w:tcPr>
            <w:tcW w:w="1417" w:type="dxa"/>
            <w:vAlign w:val="bottom"/>
          </w:tcPr>
          <w:p w14:paraId="1B67B0D0" w14:textId="2909401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5,5%</w:t>
            </w:r>
          </w:p>
        </w:tc>
        <w:tc>
          <w:tcPr>
            <w:tcW w:w="1559" w:type="dxa"/>
            <w:vAlign w:val="bottom"/>
          </w:tcPr>
          <w:p w14:paraId="34A4838C" w14:textId="377DB70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5,7%</w:t>
            </w:r>
          </w:p>
        </w:tc>
        <w:tc>
          <w:tcPr>
            <w:tcW w:w="1560" w:type="dxa"/>
            <w:vAlign w:val="bottom"/>
          </w:tcPr>
          <w:p w14:paraId="746A1F01" w14:textId="42D5AD6A" w:rsidR="00A947F9" w:rsidRPr="0033269A" w:rsidRDefault="00B97983"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eastAsia="Open Sans" w:hAnsi="Open Sans" w:cs="Open Sans"/>
                <w:color w:val="000000"/>
                <w:sz w:val="20"/>
                <w:szCs w:val="20"/>
              </w:rPr>
              <w:t>-</w:t>
            </w:r>
          </w:p>
        </w:tc>
        <w:tc>
          <w:tcPr>
            <w:tcW w:w="1417" w:type="dxa"/>
            <w:vAlign w:val="bottom"/>
          </w:tcPr>
          <w:p w14:paraId="73F6CEA9" w14:textId="7A47040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7,7%</w:t>
            </w:r>
          </w:p>
        </w:tc>
      </w:tr>
      <w:tr w:rsidR="00B97983" w:rsidRPr="0033269A" w14:paraId="2E9356B1"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C8D6C59" w14:textId="22B88060"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788265A6" w14:textId="64CF4701"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Cullera</w:t>
            </w:r>
          </w:p>
        </w:tc>
        <w:tc>
          <w:tcPr>
            <w:tcW w:w="1417" w:type="dxa"/>
          </w:tcPr>
          <w:p w14:paraId="3D8290E8" w14:textId="0B6C1E3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5318B">
              <w:rPr>
                <w:rFonts w:ascii="Open Sans" w:eastAsia="Open Sans" w:hAnsi="Open Sans" w:cs="Open Sans"/>
                <w:color w:val="000000"/>
                <w:sz w:val="20"/>
                <w:szCs w:val="20"/>
              </w:rPr>
              <w:t>-</w:t>
            </w:r>
          </w:p>
        </w:tc>
        <w:tc>
          <w:tcPr>
            <w:tcW w:w="1559" w:type="dxa"/>
          </w:tcPr>
          <w:p w14:paraId="7FC3669D" w14:textId="4DD0557C"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5318B">
              <w:rPr>
                <w:rFonts w:ascii="Open Sans" w:eastAsia="Open Sans" w:hAnsi="Open Sans" w:cs="Open Sans"/>
                <w:color w:val="000000"/>
                <w:sz w:val="20"/>
                <w:szCs w:val="20"/>
              </w:rPr>
              <w:t>-</w:t>
            </w:r>
          </w:p>
        </w:tc>
        <w:tc>
          <w:tcPr>
            <w:tcW w:w="1560" w:type="dxa"/>
            <w:vAlign w:val="bottom"/>
          </w:tcPr>
          <w:p w14:paraId="40E5B253" w14:textId="03C1965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8,6%</w:t>
            </w:r>
          </w:p>
        </w:tc>
        <w:tc>
          <w:tcPr>
            <w:tcW w:w="1417" w:type="dxa"/>
            <w:vAlign w:val="bottom"/>
          </w:tcPr>
          <w:p w14:paraId="54FDFB02" w14:textId="6E14784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7,7%</w:t>
            </w:r>
          </w:p>
        </w:tc>
      </w:tr>
      <w:tr w:rsidR="00A947F9" w:rsidRPr="0033269A" w14:paraId="662493D6"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5718B68" w14:textId="36D4FA91"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4FFDFD15" w14:textId="0589C976"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Algeciras</w:t>
            </w:r>
          </w:p>
        </w:tc>
        <w:tc>
          <w:tcPr>
            <w:tcW w:w="1417" w:type="dxa"/>
            <w:vAlign w:val="bottom"/>
          </w:tcPr>
          <w:p w14:paraId="5DE2E279" w14:textId="263E76E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5,9%</w:t>
            </w:r>
          </w:p>
        </w:tc>
        <w:tc>
          <w:tcPr>
            <w:tcW w:w="1559" w:type="dxa"/>
            <w:vAlign w:val="bottom"/>
          </w:tcPr>
          <w:p w14:paraId="1012976D" w14:textId="2B3F581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7,5%</w:t>
            </w:r>
          </w:p>
        </w:tc>
        <w:tc>
          <w:tcPr>
            <w:tcW w:w="1560" w:type="dxa"/>
            <w:vAlign w:val="bottom"/>
          </w:tcPr>
          <w:p w14:paraId="0D2BAFBB" w14:textId="6705F421"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8,1%</w:t>
            </w:r>
          </w:p>
        </w:tc>
        <w:tc>
          <w:tcPr>
            <w:tcW w:w="1417" w:type="dxa"/>
            <w:vAlign w:val="bottom"/>
          </w:tcPr>
          <w:p w14:paraId="64171F9C" w14:textId="6AF779C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7,7%</w:t>
            </w:r>
          </w:p>
        </w:tc>
      </w:tr>
      <w:tr w:rsidR="00B97983" w:rsidRPr="0033269A" w14:paraId="5C02C540"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13AA8D5" w14:textId="05AEF206"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026BBBB0" w14:textId="739FBA9E"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Gandía</w:t>
            </w:r>
          </w:p>
        </w:tc>
        <w:tc>
          <w:tcPr>
            <w:tcW w:w="1417" w:type="dxa"/>
            <w:vAlign w:val="bottom"/>
          </w:tcPr>
          <w:p w14:paraId="7A0C0D46" w14:textId="4B3293AE"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6,0%</w:t>
            </w:r>
          </w:p>
        </w:tc>
        <w:tc>
          <w:tcPr>
            <w:tcW w:w="1559" w:type="dxa"/>
          </w:tcPr>
          <w:p w14:paraId="39F44ADF" w14:textId="19B8691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995F6E">
              <w:rPr>
                <w:rFonts w:ascii="Open Sans" w:eastAsia="Open Sans" w:hAnsi="Open Sans" w:cs="Open Sans"/>
                <w:color w:val="000000"/>
                <w:sz w:val="20"/>
                <w:szCs w:val="20"/>
              </w:rPr>
              <w:t>-</w:t>
            </w:r>
          </w:p>
        </w:tc>
        <w:tc>
          <w:tcPr>
            <w:tcW w:w="1560" w:type="dxa"/>
            <w:vAlign w:val="bottom"/>
          </w:tcPr>
          <w:p w14:paraId="2D19871A" w14:textId="4F9451C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10,8%</w:t>
            </w:r>
          </w:p>
        </w:tc>
        <w:tc>
          <w:tcPr>
            <w:tcW w:w="1417" w:type="dxa"/>
            <w:vAlign w:val="bottom"/>
          </w:tcPr>
          <w:p w14:paraId="3B663B6E" w14:textId="2375BB3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7,6%</w:t>
            </w:r>
          </w:p>
        </w:tc>
      </w:tr>
      <w:tr w:rsidR="00B97983" w:rsidRPr="0033269A" w14:paraId="452FAC3D"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35B3666" w14:textId="0BB83851"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3D42E5E9" w14:textId="0F567B75"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Sanlúcar de Barrameda</w:t>
            </w:r>
          </w:p>
        </w:tc>
        <w:tc>
          <w:tcPr>
            <w:tcW w:w="1417" w:type="dxa"/>
            <w:vAlign w:val="bottom"/>
          </w:tcPr>
          <w:p w14:paraId="4A7AE2FA" w14:textId="7666D9DA"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59" w:type="dxa"/>
          </w:tcPr>
          <w:p w14:paraId="6B84365C" w14:textId="52A3F12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995F6E">
              <w:rPr>
                <w:rFonts w:ascii="Open Sans" w:eastAsia="Open Sans" w:hAnsi="Open Sans" w:cs="Open Sans"/>
                <w:color w:val="000000"/>
                <w:sz w:val="20"/>
                <w:szCs w:val="20"/>
              </w:rPr>
              <w:t>-</w:t>
            </w:r>
          </w:p>
        </w:tc>
        <w:tc>
          <w:tcPr>
            <w:tcW w:w="1560" w:type="dxa"/>
            <w:vAlign w:val="bottom"/>
          </w:tcPr>
          <w:p w14:paraId="65B355E8" w14:textId="51E55DD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6,6%</w:t>
            </w:r>
          </w:p>
        </w:tc>
        <w:tc>
          <w:tcPr>
            <w:tcW w:w="1417" w:type="dxa"/>
            <w:vAlign w:val="bottom"/>
          </w:tcPr>
          <w:p w14:paraId="676267A9" w14:textId="5CC24DA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7,5%</w:t>
            </w:r>
          </w:p>
        </w:tc>
      </w:tr>
      <w:tr w:rsidR="00A947F9" w:rsidRPr="0033269A" w14:paraId="15A7BC93"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0EF84F0" w14:textId="572BF40C"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Tarragona</w:t>
            </w:r>
          </w:p>
        </w:tc>
        <w:tc>
          <w:tcPr>
            <w:tcW w:w="1985" w:type="dxa"/>
            <w:vAlign w:val="bottom"/>
          </w:tcPr>
          <w:p w14:paraId="0FCBD0CB" w14:textId="1B6BC7EF"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Tarragona capital</w:t>
            </w:r>
          </w:p>
        </w:tc>
        <w:tc>
          <w:tcPr>
            <w:tcW w:w="1417" w:type="dxa"/>
            <w:vAlign w:val="bottom"/>
          </w:tcPr>
          <w:p w14:paraId="1915BAEA" w14:textId="615F2B8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5,6%</w:t>
            </w:r>
          </w:p>
        </w:tc>
        <w:tc>
          <w:tcPr>
            <w:tcW w:w="1559" w:type="dxa"/>
            <w:vAlign w:val="bottom"/>
          </w:tcPr>
          <w:p w14:paraId="39C1EC28" w14:textId="4A63C90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6,3%</w:t>
            </w:r>
          </w:p>
        </w:tc>
        <w:tc>
          <w:tcPr>
            <w:tcW w:w="1560" w:type="dxa"/>
            <w:vAlign w:val="bottom"/>
          </w:tcPr>
          <w:p w14:paraId="3B6E4B3F" w14:textId="1C6E4C71"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7,3%</w:t>
            </w:r>
          </w:p>
        </w:tc>
        <w:tc>
          <w:tcPr>
            <w:tcW w:w="1417" w:type="dxa"/>
            <w:vAlign w:val="bottom"/>
          </w:tcPr>
          <w:p w14:paraId="71B05B34" w14:textId="4FD490A5"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7,3%</w:t>
            </w:r>
          </w:p>
        </w:tc>
      </w:tr>
      <w:tr w:rsidR="00B97983" w:rsidRPr="0033269A" w14:paraId="1B785B75"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EFA0F6B" w14:textId="742FFCE6"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Almería</w:t>
            </w:r>
          </w:p>
        </w:tc>
        <w:tc>
          <w:tcPr>
            <w:tcW w:w="1985" w:type="dxa"/>
            <w:vAlign w:val="bottom"/>
          </w:tcPr>
          <w:p w14:paraId="3A2E68AB" w14:textId="452A887E"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Garrucha</w:t>
            </w:r>
          </w:p>
        </w:tc>
        <w:tc>
          <w:tcPr>
            <w:tcW w:w="1417" w:type="dxa"/>
          </w:tcPr>
          <w:p w14:paraId="21723812" w14:textId="0218F4A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5313AE">
              <w:rPr>
                <w:rFonts w:ascii="Open Sans" w:eastAsia="Open Sans" w:hAnsi="Open Sans" w:cs="Open Sans"/>
                <w:color w:val="000000"/>
                <w:sz w:val="20"/>
                <w:szCs w:val="20"/>
              </w:rPr>
              <w:t>-</w:t>
            </w:r>
          </w:p>
        </w:tc>
        <w:tc>
          <w:tcPr>
            <w:tcW w:w="1559" w:type="dxa"/>
          </w:tcPr>
          <w:p w14:paraId="52379813" w14:textId="126F5F0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5313AE">
              <w:rPr>
                <w:rFonts w:ascii="Open Sans" w:eastAsia="Open Sans" w:hAnsi="Open Sans" w:cs="Open Sans"/>
                <w:color w:val="000000"/>
                <w:sz w:val="20"/>
                <w:szCs w:val="20"/>
              </w:rPr>
              <w:t>-</w:t>
            </w:r>
          </w:p>
        </w:tc>
        <w:tc>
          <w:tcPr>
            <w:tcW w:w="1560" w:type="dxa"/>
          </w:tcPr>
          <w:p w14:paraId="4E690867" w14:textId="559C47C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sidRPr="005313AE">
              <w:rPr>
                <w:rFonts w:ascii="Open Sans" w:eastAsia="Open Sans" w:hAnsi="Open Sans" w:cs="Open Sans"/>
                <w:color w:val="000000"/>
                <w:sz w:val="20"/>
                <w:szCs w:val="20"/>
              </w:rPr>
              <w:t>-</w:t>
            </w:r>
          </w:p>
        </w:tc>
        <w:tc>
          <w:tcPr>
            <w:tcW w:w="1417" w:type="dxa"/>
            <w:vAlign w:val="bottom"/>
          </w:tcPr>
          <w:p w14:paraId="35DDDD1C" w14:textId="1964EF7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7,3%</w:t>
            </w:r>
          </w:p>
        </w:tc>
      </w:tr>
      <w:tr w:rsidR="00B97983" w:rsidRPr="0033269A" w14:paraId="75DBC0A0"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3595AA3" w14:textId="4E10384C"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Las Palmas</w:t>
            </w:r>
          </w:p>
        </w:tc>
        <w:tc>
          <w:tcPr>
            <w:tcW w:w="1985" w:type="dxa"/>
            <w:vAlign w:val="bottom"/>
          </w:tcPr>
          <w:p w14:paraId="45F715D4" w14:textId="59F1DBEB"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San Bartolomé de Tirajana</w:t>
            </w:r>
          </w:p>
        </w:tc>
        <w:tc>
          <w:tcPr>
            <w:tcW w:w="1417" w:type="dxa"/>
          </w:tcPr>
          <w:p w14:paraId="330D2E2C" w14:textId="5D2297BF"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AD1F16">
              <w:rPr>
                <w:rFonts w:ascii="Open Sans" w:eastAsia="Open Sans" w:hAnsi="Open Sans" w:cs="Open Sans"/>
                <w:color w:val="000000"/>
                <w:sz w:val="20"/>
                <w:szCs w:val="20"/>
              </w:rPr>
              <w:t>-</w:t>
            </w:r>
          </w:p>
        </w:tc>
        <w:tc>
          <w:tcPr>
            <w:tcW w:w="1559" w:type="dxa"/>
          </w:tcPr>
          <w:p w14:paraId="47D08E0B" w14:textId="13245A1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AD1F16">
              <w:rPr>
                <w:rFonts w:ascii="Open Sans" w:eastAsia="Open Sans" w:hAnsi="Open Sans" w:cs="Open Sans"/>
                <w:color w:val="000000"/>
                <w:sz w:val="20"/>
                <w:szCs w:val="20"/>
              </w:rPr>
              <w:t>-</w:t>
            </w:r>
          </w:p>
        </w:tc>
        <w:tc>
          <w:tcPr>
            <w:tcW w:w="1560" w:type="dxa"/>
            <w:vAlign w:val="bottom"/>
          </w:tcPr>
          <w:p w14:paraId="3D69C1EE" w14:textId="60D22A7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7,6%</w:t>
            </w:r>
          </w:p>
        </w:tc>
        <w:tc>
          <w:tcPr>
            <w:tcW w:w="1417" w:type="dxa"/>
            <w:vAlign w:val="bottom"/>
          </w:tcPr>
          <w:p w14:paraId="1BB124C1" w14:textId="297EC640"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6,9%</w:t>
            </w:r>
          </w:p>
        </w:tc>
      </w:tr>
      <w:tr w:rsidR="00A947F9" w:rsidRPr="0033269A" w14:paraId="6ECD5542"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A79A307" w14:textId="699EF387"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Huelva</w:t>
            </w:r>
          </w:p>
        </w:tc>
        <w:tc>
          <w:tcPr>
            <w:tcW w:w="1985" w:type="dxa"/>
            <w:vAlign w:val="bottom"/>
          </w:tcPr>
          <w:p w14:paraId="77700268" w14:textId="33D284B1"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Huelva capital</w:t>
            </w:r>
          </w:p>
        </w:tc>
        <w:tc>
          <w:tcPr>
            <w:tcW w:w="1417" w:type="dxa"/>
            <w:vAlign w:val="bottom"/>
          </w:tcPr>
          <w:p w14:paraId="1F1938D5" w14:textId="2D41CC3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66EB815D" w14:textId="4E2F46A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6,3%</w:t>
            </w:r>
          </w:p>
        </w:tc>
        <w:tc>
          <w:tcPr>
            <w:tcW w:w="1560" w:type="dxa"/>
            <w:vAlign w:val="bottom"/>
          </w:tcPr>
          <w:p w14:paraId="78BF0530" w14:textId="43B10D7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7,3%</w:t>
            </w:r>
          </w:p>
        </w:tc>
        <w:tc>
          <w:tcPr>
            <w:tcW w:w="1417" w:type="dxa"/>
            <w:vAlign w:val="bottom"/>
          </w:tcPr>
          <w:p w14:paraId="25A61055" w14:textId="7651942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6,8%</w:t>
            </w:r>
          </w:p>
        </w:tc>
      </w:tr>
      <w:tr w:rsidR="00A947F9" w:rsidRPr="0033269A" w14:paraId="703C9859"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64CB0A6" w14:textId="5A15D312"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Almería</w:t>
            </w:r>
          </w:p>
        </w:tc>
        <w:tc>
          <w:tcPr>
            <w:tcW w:w="1985" w:type="dxa"/>
            <w:vAlign w:val="bottom"/>
          </w:tcPr>
          <w:p w14:paraId="5721AAE4" w14:textId="65FF3609"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Roquetas de Mar</w:t>
            </w:r>
          </w:p>
        </w:tc>
        <w:tc>
          <w:tcPr>
            <w:tcW w:w="1417" w:type="dxa"/>
            <w:vAlign w:val="bottom"/>
          </w:tcPr>
          <w:p w14:paraId="41A5DDD2" w14:textId="6E34918D"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559" w:type="dxa"/>
            <w:vAlign w:val="bottom"/>
          </w:tcPr>
          <w:p w14:paraId="5EE5BFBA" w14:textId="0943C56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5,7%</w:t>
            </w:r>
          </w:p>
        </w:tc>
        <w:tc>
          <w:tcPr>
            <w:tcW w:w="1560" w:type="dxa"/>
            <w:vAlign w:val="bottom"/>
          </w:tcPr>
          <w:p w14:paraId="7D06266F" w14:textId="518050B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7,0%</w:t>
            </w:r>
          </w:p>
        </w:tc>
        <w:tc>
          <w:tcPr>
            <w:tcW w:w="1417" w:type="dxa"/>
            <w:vAlign w:val="bottom"/>
          </w:tcPr>
          <w:p w14:paraId="133B97D6" w14:textId="6CA858C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6,8%</w:t>
            </w:r>
          </w:p>
        </w:tc>
      </w:tr>
      <w:tr w:rsidR="00A947F9" w:rsidRPr="0033269A" w14:paraId="3A9047E0"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FAD8398" w14:textId="6E2B83B3"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1E9E4266" w14:textId="58CDE585"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El Puerto de Santa María</w:t>
            </w:r>
          </w:p>
        </w:tc>
        <w:tc>
          <w:tcPr>
            <w:tcW w:w="1417" w:type="dxa"/>
            <w:vAlign w:val="bottom"/>
          </w:tcPr>
          <w:p w14:paraId="38661746" w14:textId="7E98C96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2A1F07A4" w14:textId="74A03CA7" w:rsidR="00A947F9" w:rsidRPr="0033269A" w:rsidRDefault="00B97983"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66297B83" w14:textId="4B04EB8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6,6%</w:t>
            </w:r>
          </w:p>
        </w:tc>
        <w:tc>
          <w:tcPr>
            <w:tcW w:w="1417" w:type="dxa"/>
            <w:vAlign w:val="bottom"/>
          </w:tcPr>
          <w:p w14:paraId="3F97B890" w14:textId="668DB2B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6,6%</w:t>
            </w:r>
          </w:p>
        </w:tc>
      </w:tr>
      <w:tr w:rsidR="00A947F9" w:rsidRPr="0033269A" w14:paraId="1F238DF6"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C2234DD" w14:textId="5EEED060"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5752EFFB" w14:textId="6A682512"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Chiclana de la Frontera</w:t>
            </w:r>
          </w:p>
        </w:tc>
        <w:tc>
          <w:tcPr>
            <w:tcW w:w="1417" w:type="dxa"/>
            <w:vAlign w:val="bottom"/>
          </w:tcPr>
          <w:p w14:paraId="23CD4707" w14:textId="56C2B5F8"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35716053" w14:textId="6E456744"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683859D5" w14:textId="5285740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6,7%</w:t>
            </w:r>
          </w:p>
        </w:tc>
        <w:tc>
          <w:tcPr>
            <w:tcW w:w="1417" w:type="dxa"/>
            <w:vAlign w:val="bottom"/>
          </w:tcPr>
          <w:p w14:paraId="152A9F07" w14:textId="6DA9C01E"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6,5%</w:t>
            </w:r>
          </w:p>
        </w:tc>
      </w:tr>
      <w:tr w:rsidR="00A947F9" w:rsidRPr="0033269A" w14:paraId="622C14F9"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209D59C" w14:textId="1D0C767A"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Murcia</w:t>
            </w:r>
          </w:p>
        </w:tc>
        <w:tc>
          <w:tcPr>
            <w:tcW w:w="1985" w:type="dxa"/>
            <w:vAlign w:val="bottom"/>
          </w:tcPr>
          <w:p w14:paraId="3E5480D6" w14:textId="4DB28974"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Cartagena</w:t>
            </w:r>
          </w:p>
        </w:tc>
        <w:tc>
          <w:tcPr>
            <w:tcW w:w="1417" w:type="dxa"/>
            <w:vAlign w:val="bottom"/>
          </w:tcPr>
          <w:p w14:paraId="4ADF704D" w14:textId="35A9C1A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5,2%</w:t>
            </w:r>
          </w:p>
        </w:tc>
        <w:tc>
          <w:tcPr>
            <w:tcW w:w="1559" w:type="dxa"/>
            <w:vAlign w:val="bottom"/>
          </w:tcPr>
          <w:p w14:paraId="7E33C5E8" w14:textId="77A3BF5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6,8%</w:t>
            </w:r>
          </w:p>
        </w:tc>
        <w:tc>
          <w:tcPr>
            <w:tcW w:w="1560" w:type="dxa"/>
            <w:vAlign w:val="bottom"/>
          </w:tcPr>
          <w:p w14:paraId="76445419" w14:textId="13A2412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7,3%</w:t>
            </w:r>
          </w:p>
        </w:tc>
        <w:tc>
          <w:tcPr>
            <w:tcW w:w="1417" w:type="dxa"/>
            <w:vAlign w:val="bottom"/>
          </w:tcPr>
          <w:p w14:paraId="78E41CA6" w14:textId="6106603B"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6,5%</w:t>
            </w:r>
          </w:p>
        </w:tc>
      </w:tr>
      <w:tr w:rsidR="00B97983" w:rsidRPr="0033269A" w14:paraId="10D569A8"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02D7A49" w14:textId="5AE3BE2B" w:rsidR="00B97983" w:rsidRPr="00142BAE" w:rsidRDefault="00B97983" w:rsidP="00B97983">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Pontevedra</w:t>
            </w:r>
          </w:p>
        </w:tc>
        <w:tc>
          <w:tcPr>
            <w:tcW w:w="1985" w:type="dxa"/>
            <w:vAlign w:val="bottom"/>
          </w:tcPr>
          <w:p w14:paraId="7BB91696" w14:textId="7BC09224"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Sanxenxo</w:t>
            </w:r>
          </w:p>
        </w:tc>
        <w:tc>
          <w:tcPr>
            <w:tcW w:w="1417" w:type="dxa"/>
          </w:tcPr>
          <w:p w14:paraId="06A4710E" w14:textId="0C23460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FA404A">
              <w:rPr>
                <w:rFonts w:ascii="Open Sans" w:eastAsia="Open Sans" w:hAnsi="Open Sans" w:cs="Open Sans"/>
                <w:color w:val="000000"/>
                <w:sz w:val="20"/>
                <w:szCs w:val="20"/>
              </w:rPr>
              <w:t>-</w:t>
            </w:r>
          </w:p>
        </w:tc>
        <w:tc>
          <w:tcPr>
            <w:tcW w:w="1559" w:type="dxa"/>
          </w:tcPr>
          <w:p w14:paraId="5D65FF42" w14:textId="404239B5"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FA404A">
              <w:rPr>
                <w:rFonts w:ascii="Open Sans" w:eastAsia="Open Sans" w:hAnsi="Open Sans" w:cs="Open Sans"/>
                <w:color w:val="000000"/>
                <w:sz w:val="20"/>
                <w:szCs w:val="20"/>
              </w:rPr>
              <w:t>-</w:t>
            </w:r>
          </w:p>
        </w:tc>
        <w:tc>
          <w:tcPr>
            <w:tcW w:w="1560" w:type="dxa"/>
            <w:vAlign w:val="bottom"/>
          </w:tcPr>
          <w:p w14:paraId="6300BDFE" w14:textId="2D67D8DF"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7,3%</w:t>
            </w:r>
          </w:p>
        </w:tc>
        <w:tc>
          <w:tcPr>
            <w:tcW w:w="1417" w:type="dxa"/>
            <w:vAlign w:val="bottom"/>
          </w:tcPr>
          <w:p w14:paraId="6D91E39A" w14:textId="4E12970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6,5%</w:t>
            </w:r>
          </w:p>
        </w:tc>
      </w:tr>
      <w:tr w:rsidR="00A947F9" w:rsidRPr="0033269A" w14:paraId="1482DC02"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6431C48" w14:textId="0955FF26"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Asturias</w:t>
            </w:r>
          </w:p>
        </w:tc>
        <w:tc>
          <w:tcPr>
            <w:tcW w:w="1985" w:type="dxa"/>
            <w:vAlign w:val="bottom"/>
          </w:tcPr>
          <w:p w14:paraId="37A0F696" w14:textId="708FE597"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Avilés</w:t>
            </w:r>
          </w:p>
        </w:tc>
        <w:tc>
          <w:tcPr>
            <w:tcW w:w="1417" w:type="dxa"/>
            <w:vAlign w:val="bottom"/>
          </w:tcPr>
          <w:p w14:paraId="352098B5" w14:textId="3BD06379"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4,6%</w:t>
            </w:r>
          </w:p>
        </w:tc>
        <w:tc>
          <w:tcPr>
            <w:tcW w:w="1559" w:type="dxa"/>
            <w:vAlign w:val="bottom"/>
          </w:tcPr>
          <w:p w14:paraId="364ADE4C" w14:textId="37F6953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560" w:type="dxa"/>
            <w:vAlign w:val="bottom"/>
          </w:tcPr>
          <w:p w14:paraId="594F0454" w14:textId="4AADCBB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7,7%</w:t>
            </w:r>
          </w:p>
        </w:tc>
        <w:tc>
          <w:tcPr>
            <w:tcW w:w="1417" w:type="dxa"/>
            <w:vAlign w:val="bottom"/>
          </w:tcPr>
          <w:p w14:paraId="3E8F24C8" w14:textId="7F90D56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6,5%</w:t>
            </w:r>
          </w:p>
        </w:tc>
      </w:tr>
      <w:tr w:rsidR="00B97983" w:rsidRPr="0033269A" w14:paraId="11CE0E57"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shd w:val="clear" w:color="auto" w:fill="4472C4" w:themeFill="accent1"/>
            <w:vAlign w:val="bottom"/>
          </w:tcPr>
          <w:p w14:paraId="5B940CD5" w14:textId="327BBD4D"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Murcia</w:t>
            </w:r>
          </w:p>
        </w:tc>
        <w:tc>
          <w:tcPr>
            <w:tcW w:w="1985" w:type="dxa"/>
            <w:shd w:val="clear" w:color="auto" w:fill="B4C6E7" w:themeFill="accent1" w:themeFillTint="66"/>
            <w:vAlign w:val="bottom"/>
          </w:tcPr>
          <w:p w14:paraId="59BD2B8F" w14:textId="35B3A0A6"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20"/>
                <w:szCs w:val="20"/>
              </w:rPr>
            </w:pPr>
            <w:r>
              <w:rPr>
                <w:rFonts w:ascii="Open Sans" w:hAnsi="Open Sans" w:cs="Open Sans"/>
                <w:color w:val="000000"/>
                <w:sz w:val="22"/>
                <w:szCs w:val="22"/>
              </w:rPr>
              <w:t>Águilas</w:t>
            </w:r>
          </w:p>
        </w:tc>
        <w:tc>
          <w:tcPr>
            <w:tcW w:w="1417" w:type="dxa"/>
            <w:shd w:val="clear" w:color="auto" w:fill="B4C6E7" w:themeFill="accent1" w:themeFillTint="66"/>
          </w:tcPr>
          <w:p w14:paraId="493CE12B" w14:textId="181F586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021F22">
              <w:rPr>
                <w:rFonts w:ascii="Open Sans" w:eastAsia="Open Sans" w:hAnsi="Open Sans" w:cs="Open Sans"/>
                <w:color w:val="000000"/>
                <w:sz w:val="20"/>
                <w:szCs w:val="20"/>
              </w:rPr>
              <w:t>-</w:t>
            </w:r>
          </w:p>
        </w:tc>
        <w:tc>
          <w:tcPr>
            <w:tcW w:w="1559" w:type="dxa"/>
            <w:shd w:val="clear" w:color="auto" w:fill="B4C6E7" w:themeFill="accent1" w:themeFillTint="66"/>
          </w:tcPr>
          <w:p w14:paraId="3F970EC1" w14:textId="058E8B4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sidRPr="00021F22">
              <w:rPr>
                <w:rFonts w:ascii="Open Sans" w:eastAsia="Open Sans" w:hAnsi="Open Sans" w:cs="Open Sans"/>
                <w:color w:val="000000"/>
                <w:sz w:val="20"/>
                <w:szCs w:val="20"/>
              </w:rPr>
              <w:t>-</w:t>
            </w:r>
          </w:p>
        </w:tc>
        <w:tc>
          <w:tcPr>
            <w:tcW w:w="1560" w:type="dxa"/>
            <w:shd w:val="clear" w:color="auto" w:fill="B4C6E7" w:themeFill="accent1" w:themeFillTint="66"/>
            <w:vAlign w:val="bottom"/>
          </w:tcPr>
          <w:p w14:paraId="2F0F7987" w14:textId="2418069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Pr>
                <w:rFonts w:ascii="Open Sans" w:hAnsi="Open Sans" w:cs="Open Sans"/>
                <w:color w:val="000000"/>
                <w:sz w:val="22"/>
                <w:szCs w:val="22"/>
              </w:rPr>
              <w:t>9,6%</w:t>
            </w:r>
          </w:p>
        </w:tc>
        <w:tc>
          <w:tcPr>
            <w:tcW w:w="1417" w:type="dxa"/>
            <w:shd w:val="clear" w:color="auto" w:fill="B4C6E7" w:themeFill="accent1" w:themeFillTint="66"/>
            <w:vAlign w:val="bottom"/>
          </w:tcPr>
          <w:p w14:paraId="211DDDAE" w14:textId="4E1A452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0"/>
                <w:szCs w:val="20"/>
              </w:rPr>
            </w:pPr>
            <w:r>
              <w:rPr>
                <w:rFonts w:ascii="Open Sans" w:hAnsi="Open Sans" w:cs="Open Sans"/>
                <w:color w:val="000000"/>
                <w:sz w:val="22"/>
                <w:szCs w:val="22"/>
              </w:rPr>
              <w:t>6,4%</w:t>
            </w:r>
          </w:p>
        </w:tc>
      </w:tr>
      <w:tr w:rsidR="00A947F9" w:rsidRPr="0033269A" w14:paraId="14AC0DA8"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908E6F0" w14:textId="5C9D683C"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Almería</w:t>
            </w:r>
          </w:p>
        </w:tc>
        <w:tc>
          <w:tcPr>
            <w:tcW w:w="1985" w:type="dxa"/>
            <w:vAlign w:val="bottom"/>
          </w:tcPr>
          <w:p w14:paraId="55905C07" w14:textId="35135713"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Almería capital</w:t>
            </w:r>
          </w:p>
        </w:tc>
        <w:tc>
          <w:tcPr>
            <w:tcW w:w="1417" w:type="dxa"/>
            <w:vAlign w:val="bottom"/>
          </w:tcPr>
          <w:p w14:paraId="1E276664" w14:textId="6EB47D4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c>
          <w:tcPr>
            <w:tcW w:w="1559" w:type="dxa"/>
            <w:vAlign w:val="bottom"/>
          </w:tcPr>
          <w:p w14:paraId="688FC8BE" w14:textId="54D792B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6,0%</w:t>
            </w:r>
          </w:p>
        </w:tc>
        <w:tc>
          <w:tcPr>
            <w:tcW w:w="1560" w:type="dxa"/>
            <w:vAlign w:val="bottom"/>
          </w:tcPr>
          <w:p w14:paraId="04612364" w14:textId="2504CD2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6,8%</w:t>
            </w:r>
          </w:p>
        </w:tc>
        <w:tc>
          <w:tcPr>
            <w:tcW w:w="1417" w:type="dxa"/>
            <w:vAlign w:val="bottom"/>
          </w:tcPr>
          <w:p w14:paraId="6F1506A0" w14:textId="375BAA70"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6,4%</w:t>
            </w:r>
          </w:p>
        </w:tc>
      </w:tr>
      <w:tr w:rsidR="00B97983" w:rsidRPr="0033269A" w14:paraId="1496445F"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7949E4E" w14:textId="5BD34BB3"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Murcia</w:t>
            </w:r>
          </w:p>
        </w:tc>
        <w:tc>
          <w:tcPr>
            <w:tcW w:w="1985" w:type="dxa"/>
            <w:vAlign w:val="bottom"/>
          </w:tcPr>
          <w:p w14:paraId="0B89D9A0" w14:textId="21BE97AC"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La Manga del Mar Menor</w:t>
            </w:r>
          </w:p>
        </w:tc>
        <w:tc>
          <w:tcPr>
            <w:tcW w:w="1417" w:type="dxa"/>
          </w:tcPr>
          <w:p w14:paraId="426E86F2" w14:textId="3A96688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AD617A">
              <w:rPr>
                <w:rFonts w:ascii="Open Sans" w:eastAsia="Open Sans" w:hAnsi="Open Sans" w:cs="Open Sans"/>
                <w:color w:val="000000"/>
                <w:sz w:val="20"/>
                <w:szCs w:val="20"/>
              </w:rPr>
              <w:t>-</w:t>
            </w:r>
          </w:p>
        </w:tc>
        <w:tc>
          <w:tcPr>
            <w:tcW w:w="1559" w:type="dxa"/>
          </w:tcPr>
          <w:p w14:paraId="253BD81E" w14:textId="3734C9A0"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AD617A">
              <w:rPr>
                <w:rFonts w:ascii="Open Sans" w:eastAsia="Open Sans" w:hAnsi="Open Sans" w:cs="Open Sans"/>
                <w:color w:val="000000"/>
                <w:sz w:val="20"/>
                <w:szCs w:val="20"/>
              </w:rPr>
              <w:t>-</w:t>
            </w:r>
          </w:p>
        </w:tc>
        <w:tc>
          <w:tcPr>
            <w:tcW w:w="1560" w:type="dxa"/>
            <w:vAlign w:val="bottom"/>
          </w:tcPr>
          <w:p w14:paraId="550D75F9" w14:textId="52CD735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8,6%</w:t>
            </w:r>
          </w:p>
        </w:tc>
        <w:tc>
          <w:tcPr>
            <w:tcW w:w="1417" w:type="dxa"/>
            <w:vAlign w:val="bottom"/>
          </w:tcPr>
          <w:p w14:paraId="03DEC773" w14:textId="464E8D0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6,4%</w:t>
            </w:r>
          </w:p>
        </w:tc>
      </w:tr>
      <w:tr w:rsidR="00A947F9" w:rsidRPr="0033269A" w14:paraId="3589DD72"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3C9AFD3" w14:textId="27AE4F16"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4B6B1E26" w14:textId="0B3E532C"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Vilanova I la Geltrú</w:t>
            </w:r>
          </w:p>
        </w:tc>
        <w:tc>
          <w:tcPr>
            <w:tcW w:w="1417" w:type="dxa"/>
            <w:vAlign w:val="bottom"/>
          </w:tcPr>
          <w:p w14:paraId="6770723E" w14:textId="7476877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c>
          <w:tcPr>
            <w:tcW w:w="1559" w:type="dxa"/>
            <w:vAlign w:val="bottom"/>
          </w:tcPr>
          <w:p w14:paraId="5FDB9794" w14:textId="7F27DD02" w:rsidR="00A947F9" w:rsidRPr="0033269A" w:rsidRDefault="00B97983"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6FE9DB01" w14:textId="244AD0A1"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7,1%</w:t>
            </w:r>
          </w:p>
        </w:tc>
        <w:tc>
          <w:tcPr>
            <w:tcW w:w="1417" w:type="dxa"/>
            <w:vAlign w:val="bottom"/>
          </w:tcPr>
          <w:p w14:paraId="0652E78E" w14:textId="5DBE0F0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6,3%</w:t>
            </w:r>
          </w:p>
        </w:tc>
      </w:tr>
      <w:tr w:rsidR="00A947F9" w:rsidRPr="0033269A" w14:paraId="6D35398B"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501345C" w14:textId="77D3C763"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1A426E03" w14:textId="1305C435"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Elche / Elx</w:t>
            </w:r>
          </w:p>
        </w:tc>
        <w:tc>
          <w:tcPr>
            <w:tcW w:w="1417" w:type="dxa"/>
            <w:vAlign w:val="bottom"/>
          </w:tcPr>
          <w:p w14:paraId="01833299" w14:textId="1D0305FB"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4,7%</w:t>
            </w:r>
          </w:p>
        </w:tc>
        <w:tc>
          <w:tcPr>
            <w:tcW w:w="1559" w:type="dxa"/>
            <w:vAlign w:val="bottom"/>
          </w:tcPr>
          <w:p w14:paraId="2138D254" w14:textId="33F8041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5,9%</w:t>
            </w:r>
          </w:p>
        </w:tc>
        <w:tc>
          <w:tcPr>
            <w:tcW w:w="1560" w:type="dxa"/>
            <w:vAlign w:val="bottom"/>
          </w:tcPr>
          <w:p w14:paraId="4A66B527" w14:textId="181A9AF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6,0%</w:t>
            </w:r>
          </w:p>
        </w:tc>
        <w:tc>
          <w:tcPr>
            <w:tcW w:w="1417" w:type="dxa"/>
            <w:vAlign w:val="bottom"/>
          </w:tcPr>
          <w:p w14:paraId="1BE9A395" w14:textId="3912DCC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6,3%</w:t>
            </w:r>
          </w:p>
        </w:tc>
      </w:tr>
      <w:tr w:rsidR="00A947F9" w:rsidRPr="0033269A" w14:paraId="3963AE03"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DED8AB6" w14:textId="7EF85325"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Las Palmas</w:t>
            </w:r>
          </w:p>
        </w:tc>
        <w:tc>
          <w:tcPr>
            <w:tcW w:w="1985" w:type="dxa"/>
            <w:vAlign w:val="bottom"/>
          </w:tcPr>
          <w:p w14:paraId="0CEF3812" w14:textId="6DA8E1B5"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Las Palmas de Gran Canaria</w:t>
            </w:r>
          </w:p>
        </w:tc>
        <w:tc>
          <w:tcPr>
            <w:tcW w:w="1417" w:type="dxa"/>
            <w:vAlign w:val="bottom"/>
          </w:tcPr>
          <w:p w14:paraId="5046B6BF" w14:textId="0FC7CD6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5,7%</w:t>
            </w:r>
          </w:p>
        </w:tc>
        <w:tc>
          <w:tcPr>
            <w:tcW w:w="1559" w:type="dxa"/>
            <w:vAlign w:val="bottom"/>
          </w:tcPr>
          <w:p w14:paraId="43DD9DAB" w14:textId="27C46A7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6,0%</w:t>
            </w:r>
          </w:p>
        </w:tc>
        <w:tc>
          <w:tcPr>
            <w:tcW w:w="1560" w:type="dxa"/>
            <w:vAlign w:val="bottom"/>
          </w:tcPr>
          <w:p w14:paraId="03C4C028" w14:textId="7A851D1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6,6%</w:t>
            </w:r>
          </w:p>
        </w:tc>
        <w:tc>
          <w:tcPr>
            <w:tcW w:w="1417" w:type="dxa"/>
            <w:vAlign w:val="bottom"/>
          </w:tcPr>
          <w:p w14:paraId="27F6929F" w14:textId="2993ACC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6,2%</w:t>
            </w:r>
          </w:p>
        </w:tc>
      </w:tr>
      <w:tr w:rsidR="00B97983" w:rsidRPr="0033269A" w14:paraId="5C5F02AA"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017712C" w14:textId="14506EE0"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Huelva</w:t>
            </w:r>
          </w:p>
        </w:tc>
        <w:tc>
          <w:tcPr>
            <w:tcW w:w="1985" w:type="dxa"/>
            <w:vAlign w:val="bottom"/>
          </w:tcPr>
          <w:p w14:paraId="5E5D74C8" w14:textId="143CB2F1"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Punta Umbría</w:t>
            </w:r>
          </w:p>
        </w:tc>
        <w:tc>
          <w:tcPr>
            <w:tcW w:w="1417" w:type="dxa"/>
          </w:tcPr>
          <w:p w14:paraId="425607A7" w14:textId="58D35D8E"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E74FA8">
              <w:rPr>
                <w:rFonts w:ascii="Open Sans" w:eastAsia="Open Sans" w:hAnsi="Open Sans" w:cs="Open Sans"/>
                <w:color w:val="000000"/>
                <w:sz w:val="20"/>
                <w:szCs w:val="20"/>
              </w:rPr>
              <w:t>-</w:t>
            </w:r>
          </w:p>
        </w:tc>
        <w:tc>
          <w:tcPr>
            <w:tcW w:w="1559" w:type="dxa"/>
          </w:tcPr>
          <w:p w14:paraId="79707A31" w14:textId="3FB8F8B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E74FA8">
              <w:rPr>
                <w:rFonts w:ascii="Open Sans" w:eastAsia="Open Sans" w:hAnsi="Open Sans" w:cs="Open Sans"/>
                <w:color w:val="000000"/>
                <w:sz w:val="20"/>
                <w:szCs w:val="20"/>
              </w:rPr>
              <w:t>-</w:t>
            </w:r>
          </w:p>
        </w:tc>
        <w:tc>
          <w:tcPr>
            <w:tcW w:w="1560" w:type="dxa"/>
            <w:vAlign w:val="bottom"/>
          </w:tcPr>
          <w:p w14:paraId="2EC9450A" w14:textId="2D1F4D1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9,2%</w:t>
            </w:r>
          </w:p>
        </w:tc>
        <w:tc>
          <w:tcPr>
            <w:tcW w:w="1417" w:type="dxa"/>
            <w:vAlign w:val="bottom"/>
          </w:tcPr>
          <w:p w14:paraId="6B0C928C" w14:textId="458C51F5"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6,2%</w:t>
            </w:r>
          </w:p>
        </w:tc>
      </w:tr>
      <w:tr w:rsidR="00A947F9" w:rsidRPr="0033269A" w14:paraId="2C55C4C6"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3F60CB3" w14:textId="0C7D8FD5"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5151F9CE" w14:textId="3FB5D81E"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Rota</w:t>
            </w:r>
          </w:p>
        </w:tc>
        <w:tc>
          <w:tcPr>
            <w:tcW w:w="1417" w:type="dxa"/>
            <w:vAlign w:val="bottom"/>
          </w:tcPr>
          <w:p w14:paraId="50E93850" w14:textId="77BE0DB3"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5,8%</w:t>
            </w:r>
          </w:p>
        </w:tc>
        <w:tc>
          <w:tcPr>
            <w:tcW w:w="1559" w:type="dxa"/>
            <w:vAlign w:val="bottom"/>
          </w:tcPr>
          <w:p w14:paraId="1E224528" w14:textId="362B3092" w:rsidR="00A947F9" w:rsidRPr="0033269A" w:rsidRDefault="00B97983"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5AE32AE9" w14:textId="691520B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5,4%</w:t>
            </w:r>
          </w:p>
        </w:tc>
        <w:tc>
          <w:tcPr>
            <w:tcW w:w="1417" w:type="dxa"/>
            <w:vAlign w:val="bottom"/>
          </w:tcPr>
          <w:p w14:paraId="23C3DF2F" w14:textId="01FADBA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6,1%</w:t>
            </w:r>
          </w:p>
        </w:tc>
      </w:tr>
      <w:tr w:rsidR="00A947F9" w:rsidRPr="0033269A" w14:paraId="4432C5A8"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16AAA55" w14:textId="25C3860F"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Castellón</w:t>
            </w:r>
          </w:p>
        </w:tc>
        <w:tc>
          <w:tcPr>
            <w:tcW w:w="1985" w:type="dxa"/>
            <w:vAlign w:val="bottom"/>
          </w:tcPr>
          <w:p w14:paraId="241566E2" w14:textId="727CAC0D"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Castellón de la Plana / Castelló de la Plana</w:t>
            </w:r>
          </w:p>
        </w:tc>
        <w:tc>
          <w:tcPr>
            <w:tcW w:w="1417" w:type="dxa"/>
            <w:vAlign w:val="bottom"/>
          </w:tcPr>
          <w:p w14:paraId="6418A412" w14:textId="1DCFF018"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4,6%</w:t>
            </w:r>
          </w:p>
        </w:tc>
        <w:tc>
          <w:tcPr>
            <w:tcW w:w="1559" w:type="dxa"/>
            <w:vAlign w:val="bottom"/>
          </w:tcPr>
          <w:p w14:paraId="205B3AAE" w14:textId="5A228029"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6,4%</w:t>
            </w:r>
          </w:p>
        </w:tc>
        <w:tc>
          <w:tcPr>
            <w:tcW w:w="1560" w:type="dxa"/>
            <w:vAlign w:val="bottom"/>
          </w:tcPr>
          <w:p w14:paraId="7C5F8429" w14:textId="0059C3F9"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6,7%</w:t>
            </w:r>
          </w:p>
        </w:tc>
        <w:tc>
          <w:tcPr>
            <w:tcW w:w="1417" w:type="dxa"/>
            <w:vAlign w:val="bottom"/>
          </w:tcPr>
          <w:p w14:paraId="66E6ED84" w14:textId="7133550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6,1%</w:t>
            </w:r>
          </w:p>
        </w:tc>
      </w:tr>
      <w:tr w:rsidR="00A947F9" w:rsidRPr="0033269A" w14:paraId="49FA653F"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4C4F1E4" w14:textId="7A50E230"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Cantabria</w:t>
            </w:r>
          </w:p>
        </w:tc>
        <w:tc>
          <w:tcPr>
            <w:tcW w:w="1985" w:type="dxa"/>
            <w:vAlign w:val="bottom"/>
          </w:tcPr>
          <w:p w14:paraId="1280774C" w14:textId="6B100457"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Castro-Urdiales</w:t>
            </w:r>
          </w:p>
        </w:tc>
        <w:tc>
          <w:tcPr>
            <w:tcW w:w="1417" w:type="dxa"/>
            <w:vAlign w:val="bottom"/>
          </w:tcPr>
          <w:p w14:paraId="656D4C50" w14:textId="1EEA28A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4,3%</w:t>
            </w:r>
          </w:p>
        </w:tc>
        <w:tc>
          <w:tcPr>
            <w:tcW w:w="1559" w:type="dxa"/>
            <w:vAlign w:val="bottom"/>
          </w:tcPr>
          <w:p w14:paraId="2D1591A0" w14:textId="3994C9F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6,2%</w:t>
            </w:r>
          </w:p>
        </w:tc>
        <w:tc>
          <w:tcPr>
            <w:tcW w:w="1560" w:type="dxa"/>
            <w:vAlign w:val="bottom"/>
          </w:tcPr>
          <w:p w14:paraId="2F806491" w14:textId="12BF0379"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7,4%</w:t>
            </w:r>
          </w:p>
        </w:tc>
        <w:tc>
          <w:tcPr>
            <w:tcW w:w="1417" w:type="dxa"/>
            <w:vAlign w:val="bottom"/>
          </w:tcPr>
          <w:p w14:paraId="6B9EE66A" w14:textId="06A2E78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6,1%</w:t>
            </w:r>
          </w:p>
        </w:tc>
      </w:tr>
      <w:tr w:rsidR="00A947F9" w:rsidRPr="0033269A" w14:paraId="4F0EBD69"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60AFBBA" w14:textId="4BD26A4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0E67E03F" w14:textId="2F2523E2"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San Fernando</w:t>
            </w:r>
          </w:p>
        </w:tc>
        <w:tc>
          <w:tcPr>
            <w:tcW w:w="1417" w:type="dxa"/>
            <w:vAlign w:val="bottom"/>
          </w:tcPr>
          <w:p w14:paraId="421283EA" w14:textId="2377A13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6,6%</w:t>
            </w:r>
          </w:p>
        </w:tc>
        <w:tc>
          <w:tcPr>
            <w:tcW w:w="1559" w:type="dxa"/>
            <w:vAlign w:val="bottom"/>
          </w:tcPr>
          <w:p w14:paraId="5B5B763B" w14:textId="610850B7"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5ED3A78C" w14:textId="7936297B"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7,2%</w:t>
            </w:r>
          </w:p>
        </w:tc>
        <w:tc>
          <w:tcPr>
            <w:tcW w:w="1417" w:type="dxa"/>
            <w:vAlign w:val="bottom"/>
          </w:tcPr>
          <w:p w14:paraId="78CF9832" w14:textId="5BA84097"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6,1%</w:t>
            </w:r>
          </w:p>
        </w:tc>
      </w:tr>
      <w:tr w:rsidR="00A947F9" w:rsidRPr="0033269A" w14:paraId="2842640B"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38539BE" w14:textId="7BB1DE2C"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2904E446" w14:textId="7267B25B"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Alicante / Alacant</w:t>
            </w:r>
          </w:p>
        </w:tc>
        <w:tc>
          <w:tcPr>
            <w:tcW w:w="1417" w:type="dxa"/>
            <w:vAlign w:val="bottom"/>
          </w:tcPr>
          <w:p w14:paraId="3BB61863" w14:textId="2D66837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4,9%</w:t>
            </w:r>
          </w:p>
        </w:tc>
        <w:tc>
          <w:tcPr>
            <w:tcW w:w="1559" w:type="dxa"/>
            <w:vAlign w:val="bottom"/>
          </w:tcPr>
          <w:p w14:paraId="53D26854" w14:textId="0CFCA771"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5,8%</w:t>
            </w:r>
          </w:p>
        </w:tc>
        <w:tc>
          <w:tcPr>
            <w:tcW w:w="1560" w:type="dxa"/>
            <w:vAlign w:val="bottom"/>
          </w:tcPr>
          <w:p w14:paraId="49F93A9A" w14:textId="2C56345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6,3%</w:t>
            </w:r>
          </w:p>
        </w:tc>
        <w:tc>
          <w:tcPr>
            <w:tcW w:w="1417" w:type="dxa"/>
            <w:vAlign w:val="bottom"/>
          </w:tcPr>
          <w:p w14:paraId="794A08D9" w14:textId="7AC5D05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6,1%</w:t>
            </w:r>
          </w:p>
        </w:tc>
      </w:tr>
      <w:tr w:rsidR="00A947F9" w:rsidRPr="0033269A" w14:paraId="68449786"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604D38A" w14:textId="68B786F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52340AEE" w14:textId="14CB578B"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Valencia capital</w:t>
            </w:r>
          </w:p>
        </w:tc>
        <w:tc>
          <w:tcPr>
            <w:tcW w:w="1417" w:type="dxa"/>
            <w:vAlign w:val="bottom"/>
          </w:tcPr>
          <w:p w14:paraId="31943656" w14:textId="54216DA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4,4%</w:t>
            </w:r>
          </w:p>
        </w:tc>
        <w:tc>
          <w:tcPr>
            <w:tcW w:w="1559" w:type="dxa"/>
            <w:vAlign w:val="bottom"/>
          </w:tcPr>
          <w:p w14:paraId="1DF54DF9" w14:textId="0C9F447F"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6,0%</w:t>
            </w:r>
          </w:p>
        </w:tc>
        <w:tc>
          <w:tcPr>
            <w:tcW w:w="1560" w:type="dxa"/>
            <w:vAlign w:val="bottom"/>
          </w:tcPr>
          <w:p w14:paraId="66BCFCEE" w14:textId="67C73385"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6,2%</w:t>
            </w:r>
          </w:p>
        </w:tc>
        <w:tc>
          <w:tcPr>
            <w:tcW w:w="1417" w:type="dxa"/>
            <w:vAlign w:val="bottom"/>
          </w:tcPr>
          <w:p w14:paraId="7B402E7E" w14:textId="71E6A795"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5,9%</w:t>
            </w:r>
          </w:p>
        </w:tc>
      </w:tr>
      <w:tr w:rsidR="00B97983" w:rsidRPr="0033269A" w14:paraId="522D7D87"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A75E458" w14:textId="2EB3739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07C5D6B1" w14:textId="50266FC5"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Santa Pola</w:t>
            </w:r>
          </w:p>
        </w:tc>
        <w:tc>
          <w:tcPr>
            <w:tcW w:w="1417" w:type="dxa"/>
          </w:tcPr>
          <w:p w14:paraId="4BCA0C28" w14:textId="7BF121B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AB3A6C">
              <w:rPr>
                <w:rFonts w:ascii="Open Sans" w:eastAsia="Open Sans" w:hAnsi="Open Sans" w:cs="Open Sans"/>
                <w:color w:val="000000"/>
                <w:sz w:val="20"/>
                <w:szCs w:val="20"/>
              </w:rPr>
              <w:t>-</w:t>
            </w:r>
          </w:p>
        </w:tc>
        <w:tc>
          <w:tcPr>
            <w:tcW w:w="1559" w:type="dxa"/>
          </w:tcPr>
          <w:p w14:paraId="21413BCA" w14:textId="6CA758E5"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AB3A6C">
              <w:rPr>
                <w:rFonts w:ascii="Open Sans" w:eastAsia="Open Sans" w:hAnsi="Open Sans" w:cs="Open Sans"/>
                <w:color w:val="000000"/>
                <w:sz w:val="20"/>
                <w:szCs w:val="20"/>
              </w:rPr>
              <w:t>-</w:t>
            </w:r>
          </w:p>
        </w:tc>
        <w:tc>
          <w:tcPr>
            <w:tcW w:w="1560" w:type="dxa"/>
            <w:vAlign w:val="bottom"/>
          </w:tcPr>
          <w:p w14:paraId="5E9F8561" w14:textId="02BA750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6,5%</w:t>
            </w:r>
          </w:p>
        </w:tc>
        <w:tc>
          <w:tcPr>
            <w:tcW w:w="1417" w:type="dxa"/>
            <w:vAlign w:val="bottom"/>
          </w:tcPr>
          <w:p w14:paraId="28CCC1A4" w14:textId="7879ECB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5,9%</w:t>
            </w:r>
          </w:p>
        </w:tc>
      </w:tr>
      <w:tr w:rsidR="00B97983" w:rsidRPr="0033269A" w14:paraId="0F5B5E7D"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63592CA" w14:textId="10A7B843"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Melilla</w:t>
            </w:r>
          </w:p>
        </w:tc>
        <w:tc>
          <w:tcPr>
            <w:tcW w:w="1985" w:type="dxa"/>
            <w:vAlign w:val="bottom"/>
          </w:tcPr>
          <w:p w14:paraId="404D14B1" w14:textId="638CE803"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Melilla capital</w:t>
            </w:r>
          </w:p>
        </w:tc>
        <w:tc>
          <w:tcPr>
            <w:tcW w:w="1417" w:type="dxa"/>
          </w:tcPr>
          <w:p w14:paraId="681FA4D0" w14:textId="4D523530"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BF489F">
              <w:rPr>
                <w:rFonts w:ascii="Open Sans" w:eastAsia="Open Sans" w:hAnsi="Open Sans" w:cs="Open Sans"/>
                <w:color w:val="000000"/>
                <w:sz w:val="20"/>
                <w:szCs w:val="20"/>
              </w:rPr>
              <w:t>-</w:t>
            </w:r>
          </w:p>
        </w:tc>
        <w:tc>
          <w:tcPr>
            <w:tcW w:w="1559" w:type="dxa"/>
            <w:vAlign w:val="bottom"/>
          </w:tcPr>
          <w:p w14:paraId="2102A997" w14:textId="7BA2905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5,4%</w:t>
            </w:r>
          </w:p>
        </w:tc>
        <w:tc>
          <w:tcPr>
            <w:tcW w:w="1560" w:type="dxa"/>
            <w:vAlign w:val="bottom"/>
          </w:tcPr>
          <w:p w14:paraId="7E30BA27" w14:textId="5D92EAC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5,8%</w:t>
            </w:r>
          </w:p>
        </w:tc>
        <w:tc>
          <w:tcPr>
            <w:tcW w:w="1417" w:type="dxa"/>
            <w:vAlign w:val="bottom"/>
          </w:tcPr>
          <w:p w14:paraId="2E626221" w14:textId="432204B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5,9%</w:t>
            </w:r>
          </w:p>
        </w:tc>
      </w:tr>
      <w:tr w:rsidR="00B97983" w:rsidRPr="0033269A" w14:paraId="72DBC154"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F44945D" w14:textId="7FF0510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Tarragona</w:t>
            </w:r>
          </w:p>
        </w:tc>
        <w:tc>
          <w:tcPr>
            <w:tcW w:w="1985" w:type="dxa"/>
            <w:vAlign w:val="bottom"/>
          </w:tcPr>
          <w:p w14:paraId="44FC7B0B" w14:textId="3211B64E"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Salou</w:t>
            </w:r>
          </w:p>
        </w:tc>
        <w:tc>
          <w:tcPr>
            <w:tcW w:w="1417" w:type="dxa"/>
          </w:tcPr>
          <w:p w14:paraId="250924DF" w14:textId="65CF49A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BF489F">
              <w:rPr>
                <w:rFonts w:ascii="Open Sans" w:eastAsia="Open Sans" w:hAnsi="Open Sans" w:cs="Open Sans"/>
                <w:color w:val="000000"/>
                <w:sz w:val="20"/>
                <w:szCs w:val="20"/>
              </w:rPr>
              <w:t>-</w:t>
            </w:r>
          </w:p>
        </w:tc>
        <w:tc>
          <w:tcPr>
            <w:tcW w:w="1559" w:type="dxa"/>
            <w:vAlign w:val="bottom"/>
          </w:tcPr>
          <w:p w14:paraId="6AD84A9D" w14:textId="5C4975F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06B34D71" w14:textId="5531ADDB"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6,9%</w:t>
            </w:r>
          </w:p>
        </w:tc>
        <w:tc>
          <w:tcPr>
            <w:tcW w:w="1417" w:type="dxa"/>
            <w:vAlign w:val="bottom"/>
          </w:tcPr>
          <w:p w14:paraId="27AEAAD0" w14:textId="67479DC8"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5,8%</w:t>
            </w:r>
          </w:p>
        </w:tc>
      </w:tr>
      <w:tr w:rsidR="00B97983" w:rsidRPr="0033269A" w14:paraId="195CACE0"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AD59CAA" w14:textId="48FBD1C6"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1FE80F69" w14:textId="43BCE3A9"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Oliva</w:t>
            </w:r>
          </w:p>
        </w:tc>
        <w:tc>
          <w:tcPr>
            <w:tcW w:w="1417" w:type="dxa"/>
          </w:tcPr>
          <w:p w14:paraId="24A3E71E" w14:textId="09C852A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960553">
              <w:rPr>
                <w:rFonts w:ascii="Open Sans" w:eastAsia="Open Sans" w:hAnsi="Open Sans" w:cs="Open Sans"/>
                <w:color w:val="000000"/>
                <w:sz w:val="20"/>
                <w:szCs w:val="20"/>
              </w:rPr>
              <w:t>-</w:t>
            </w:r>
          </w:p>
        </w:tc>
        <w:tc>
          <w:tcPr>
            <w:tcW w:w="1559" w:type="dxa"/>
          </w:tcPr>
          <w:p w14:paraId="3EE637AD" w14:textId="50F35F9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960553">
              <w:rPr>
                <w:rFonts w:ascii="Open Sans" w:eastAsia="Open Sans" w:hAnsi="Open Sans" w:cs="Open Sans"/>
                <w:color w:val="000000"/>
                <w:sz w:val="20"/>
                <w:szCs w:val="20"/>
              </w:rPr>
              <w:t>-</w:t>
            </w:r>
          </w:p>
        </w:tc>
        <w:tc>
          <w:tcPr>
            <w:tcW w:w="1560" w:type="dxa"/>
            <w:vAlign w:val="bottom"/>
          </w:tcPr>
          <w:p w14:paraId="7154560C" w14:textId="73446C0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7,6%</w:t>
            </w:r>
          </w:p>
        </w:tc>
        <w:tc>
          <w:tcPr>
            <w:tcW w:w="1417" w:type="dxa"/>
            <w:vAlign w:val="bottom"/>
          </w:tcPr>
          <w:p w14:paraId="20F2B028" w14:textId="14E0FC75"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5,8%</w:t>
            </w:r>
          </w:p>
        </w:tc>
      </w:tr>
      <w:tr w:rsidR="00B97983" w:rsidRPr="0033269A" w14:paraId="66BDC922"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shd w:val="clear" w:color="auto" w:fill="4472C4" w:themeFill="accent1"/>
            <w:vAlign w:val="bottom"/>
          </w:tcPr>
          <w:p w14:paraId="1360C5A6" w14:textId="38E42AFF"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lastRenderedPageBreak/>
              <w:t>Granada</w:t>
            </w:r>
          </w:p>
        </w:tc>
        <w:tc>
          <w:tcPr>
            <w:tcW w:w="1985" w:type="dxa"/>
            <w:shd w:val="clear" w:color="auto" w:fill="D9E2F3" w:themeFill="accent1" w:themeFillTint="33"/>
            <w:vAlign w:val="bottom"/>
          </w:tcPr>
          <w:p w14:paraId="028B3498" w14:textId="208D7A3B"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Motril</w:t>
            </w:r>
          </w:p>
        </w:tc>
        <w:tc>
          <w:tcPr>
            <w:tcW w:w="1417" w:type="dxa"/>
            <w:shd w:val="clear" w:color="auto" w:fill="D9E2F3" w:themeFill="accent1" w:themeFillTint="33"/>
          </w:tcPr>
          <w:p w14:paraId="316D630B" w14:textId="65177BC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960553">
              <w:rPr>
                <w:rFonts w:ascii="Open Sans" w:eastAsia="Open Sans" w:hAnsi="Open Sans" w:cs="Open Sans"/>
                <w:color w:val="000000"/>
                <w:sz w:val="20"/>
                <w:szCs w:val="20"/>
              </w:rPr>
              <w:t>-</w:t>
            </w:r>
          </w:p>
        </w:tc>
        <w:tc>
          <w:tcPr>
            <w:tcW w:w="1559" w:type="dxa"/>
            <w:shd w:val="clear" w:color="auto" w:fill="D9E2F3" w:themeFill="accent1" w:themeFillTint="33"/>
          </w:tcPr>
          <w:p w14:paraId="4C7D5CD6" w14:textId="23A74B2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960553">
              <w:rPr>
                <w:rFonts w:ascii="Open Sans" w:eastAsia="Open Sans" w:hAnsi="Open Sans" w:cs="Open Sans"/>
                <w:color w:val="000000"/>
                <w:sz w:val="20"/>
                <w:szCs w:val="20"/>
              </w:rPr>
              <w:t>-</w:t>
            </w:r>
          </w:p>
        </w:tc>
        <w:tc>
          <w:tcPr>
            <w:tcW w:w="1560" w:type="dxa"/>
            <w:shd w:val="clear" w:color="auto" w:fill="D9E2F3" w:themeFill="accent1" w:themeFillTint="33"/>
            <w:vAlign w:val="bottom"/>
          </w:tcPr>
          <w:p w14:paraId="0AE1C3AA" w14:textId="787BAD7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9,5%</w:t>
            </w:r>
          </w:p>
        </w:tc>
        <w:tc>
          <w:tcPr>
            <w:tcW w:w="1417" w:type="dxa"/>
            <w:shd w:val="clear" w:color="auto" w:fill="D9E2F3" w:themeFill="accent1" w:themeFillTint="33"/>
            <w:vAlign w:val="bottom"/>
          </w:tcPr>
          <w:p w14:paraId="005F654C" w14:textId="2CD2B10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5,8%</w:t>
            </w:r>
          </w:p>
        </w:tc>
      </w:tr>
      <w:tr w:rsidR="00B97983" w:rsidRPr="0033269A" w14:paraId="161F7B68"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9DA03DC" w14:textId="55492C0E"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Castellón</w:t>
            </w:r>
          </w:p>
        </w:tc>
        <w:tc>
          <w:tcPr>
            <w:tcW w:w="1985" w:type="dxa"/>
            <w:vAlign w:val="bottom"/>
          </w:tcPr>
          <w:p w14:paraId="5BD2BD00" w14:textId="31CA2D16"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Vinaròs</w:t>
            </w:r>
          </w:p>
        </w:tc>
        <w:tc>
          <w:tcPr>
            <w:tcW w:w="1417" w:type="dxa"/>
            <w:vAlign w:val="bottom"/>
          </w:tcPr>
          <w:p w14:paraId="3EA99E0A" w14:textId="6FBC114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4,9%</w:t>
            </w:r>
          </w:p>
        </w:tc>
        <w:tc>
          <w:tcPr>
            <w:tcW w:w="1559" w:type="dxa"/>
          </w:tcPr>
          <w:p w14:paraId="0C20B4D6" w14:textId="274612C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A10F49">
              <w:rPr>
                <w:rFonts w:ascii="Open Sans" w:eastAsia="Open Sans" w:hAnsi="Open Sans" w:cs="Open Sans"/>
                <w:color w:val="000000"/>
                <w:sz w:val="20"/>
                <w:szCs w:val="20"/>
              </w:rPr>
              <w:t>-</w:t>
            </w:r>
          </w:p>
        </w:tc>
        <w:tc>
          <w:tcPr>
            <w:tcW w:w="1560" w:type="dxa"/>
            <w:vAlign w:val="bottom"/>
          </w:tcPr>
          <w:p w14:paraId="5AD50132" w14:textId="3C8CBA9F"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7,6%</w:t>
            </w:r>
          </w:p>
        </w:tc>
        <w:tc>
          <w:tcPr>
            <w:tcW w:w="1417" w:type="dxa"/>
            <w:vAlign w:val="bottom"/>
          </w:tcPr>
          <w:p w14:paraId="5DC628FE" w14:textId="1D81F94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5,8%</w:t>
            </w:r>
          </w:p>
        </w:tc>
      </w:tr>
      <w:tr w:rsidR="00B97983" w:rsidRPr="0033269A" w14:paraId="64BAD03A"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0CE042B" w14:textId="0A3756C0"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0A82D917" w14:textId="42481105"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Manilva</w:t>
            </w:r>
          </w:p>
        </w:tc>
        <w:tc>
          <w:tcPr>
            <w:tcW w:w="1417" w:type="dxa"/>
          </w:tcPr>
          <w:p w14:paraId="58CEF74F" w14:textId="6C32AA6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BA6F1F">
              <w:rPr>
                <w:rFonts w:ascii="Open Sans" w:eastAsia="Open Sans" w:hAnsi="Open Sans" w:cs="Open Sans"/>
                <w:color w:val="000000"/>
                <w:sz w:val="20"/>
                <w:szCs w:val="20"/>
              </w:rPr>
              <w:t>-</w:t>
            </w:r>
          </w:p>
        </w:tc>
        <w:tc>
          <w:tcPr>
            <w:tcW w:w="1559" w:type="dxa"/>
          </w:tcPr>
          <w:p w14:paraId="16F27522" w14:textId="768E9A6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BA6F1F">
              <w:rPr>
                <w:rFonts w:ascii="Open Sans" w:eastAsia="Open Sans" w:hAnsi="Open Sans" w:cs="Open Sans"/>
                <w:color w:val="000000"/>
                <w:sz w:val="20"/>
                <w:szCs w:val="20"/>
              </w:rPr>
              <w:t>-</w:t>
            </w:r>
          </w:p>
        </w:tc>
        <w:tc>
          <w:tcPr>
            <w:tcW w:w="1560" w:type="dxa"/>
          </w:tcPr>
          <w:p w14:paraId="4B7B3681" w14:textId="57C5B4D6"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sidRPr="00BA6F1F">
              <w:rPr>
                <w:rFonts w:ascii="Open Sans" w:eastAsia="Open Sans" w:hAnsi="Open Sans" w:cs="Open Sans"/>
                <w:color w:val="000000"/>
                <w:sz w:val="20"/>
                <w:szCs w:val="20"/>
              </w:rPr>
              <w:t>-</w:t>
            </w:r>
          </w:p>
        </w:tc>
        <w:tc>
          <w:tcPr>
            <w:tcW w:w="1417" w:type="dxa"/>
            <w:vAlign w:val="bottom"/>
          </w:tcPr>
          <w:p w14:paraId="6E844E40" w14:textId="77BB3F52"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5,7%</w:t>
            </w:r>
          </w:p>
        </w:tc>
      </w:tr>
      <w:tr w:rsidR="00A947F9" w:rsidRPr="0033269A" w14:paraId="770FFF3D"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DD33F52" w14:textId="63E279A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Santa Cruz de Tenerife</w:t>
            </w:r>
          </w:p>
        </w:tc>
        <w:tc>
          <w:tcPr>
            <w:tcW w:w="1985" w:type="dxa"/>
            <w:vAlign w:val="bottom"/>
          </w:tcPr>
          <w:p w14:paraId="5C312F76" w14:textId="5F9347DC"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Santa Cruz de Tenerife capital</w:t>
            </w:r>
          </w:p>
        </w:tc>
        <w:tc>
          <w:tcPr>
            <w:tcW w:w="1417" w:type="dxa"/>
            <w:vAlign w:val="bottom"/>
          </w:tcPr>
          <w:p w14:paraId="65F6B9AD" w14:textId="711C87EB"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5,1%</w:t>
            </w:r>
          </w:p>
        </w:tc>
        <w:tc>
          <w:tcPr>
            <w:tcW w:w="1559" w:type="dxa"/>
            <w:vAlign w:val="bottom"/>
          </w:tcPr>
          <w:p w14:paraId="453E0CB2" w14:textId="3BBC74E8"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6,6%</w:t>
            </w:r>
          </w:p>
        </w:tc>
        <w:tc>
          <w:tcPr>
            <w:tcW w:w="1560" w:type="dxa"/>
            <w:vAlign w:val="bottom"/>
          </w:tcPr>
          <w:p w14:paraId="430B32C2" w14:textId="1FFD017D"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7,3%</w:t>
            </w:r>
          </w:p>
        </w:tc>
        <w:tc>
          <w:tcPr>
            <w:tcW w:w="1417" w:type="dxa"/>
            <w:vAlign w:val="bottom"/>
          </w:tcPr>
          <w:p w14:paraId="7879E340" w14:textId="4A8F244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5,6%</w:t>
            </w:r>
          </w:p>
        </w:tc>
      </w:tr>
      <w:tr w:rsidR="00B97983" w:rsidRPr="0033269A" w14:paraId="37960976"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BBFC411" w14:textId="291D4B67"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Santa Cruz de Tenerife</w:t>
            </w:r>
          </w:p>
        </w:tc>
        <w:tc>
          <w:tcPr>
            <w:tcW w:w="1985" w:type="dxa"/>
            <w:vAlign w:val="bottom"/>
          </w:tcPr>
          <w:p w14:paraId="46D19239" w14:textId="0A07924E"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Arona</w:t>
            </w:r>
          </w:p>
        </w:tc>
        <w:tc>
          <w:tcPr>
            <w:tcW w:w="1417" w:type="dxa"/>
          </w:tcPr>
          <w:p w14:paraId="70E36A92" w14:textId="7025818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686640">
              <w:rPr>
                <w:rFonts w:ascii="Open Sans" w:eastAsia="Open Sans" w:hAnsi="Open Sans" w:cs="Open Sans"/>
                <w:color w:val="000000"/>
                <w:sz w:val="20"/>
                <w:szCs w:val="20"/>
              </w:rPr>
              <w:t>-</w:t>
            </w:r>
          </w:p>
        </w:tc>
        <w:tc>
          <w:tcPr>
            <w:tcW w:w="1559" w:type="dxa"/>
            <w:vAlign w:val="bottom"/>
          </w:tcPr>
          <w:p w14:paraId="5F7C6962" w14:textId="5D27FBA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5,6%</w:t>
            </w:r>
          </w:p>
        </w:tc>
        <w:tc>
          <w:tcPr>
            <w:tcW w:w="1560" w:type="dxa"/>
            <w:vAlign w:val="bottom"/>
          </w:tcPr>
          <w:p w14:paraId="68C50AF3" w14:textId="2CB7F48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6,5%</w:t>
            </w:r>
          </w:p>
        </w:tc>
        <w:tc>
          <w:tcPr>
            <w:tcW w:w="1417" w:type="dxa"/>
            <w:vAlign w:val="bottom"/>
          </w:tcPr>
          <w:p w14:paraId="42E3C8AA" w14:textId="5EEFE95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5,6%</w:t>
            </w:r>
          </w:p>
        </w:tc>
      </w:tr>
      <w:tr w:rsidR="00B97983" w:rsidRPr="0033269A" w14:paraId="0A60C6C4"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1F5B655" w14:textId="7B5D13A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Castellón</w:t>
            </w:r>
          </w:p>
        </w:tc>
        <w:tc>
          <w:tcPr>
            <w:tcW w:w="1985" w:type="dxa"/>
            <w:vAlign w:val="bottom"/>
          </w:tcPr>
          <w:p w14:paraId="1A6092C7" w14:textId="75F15C2E"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 xml:space="preserve">Peñíscola / </w:t>
            </w:r>
            <w:proofErr w:type="spellStart"/>
            <w:r>
              <w:rPr>
                <w:rFonts w:ascii="Open Sans" w:hAnsi="Open Sans" w:cs="Open Sans"/>
                <w:color w:val="000000"/>
                <w:sz w:val="22"/>
                <w:szCs w:val="22"/>
              </w:rPr>
              <w:t>Peníscola</w:t>
            </w:r>
            <w:proofErr w:type="spellEnd"/>
          </w:p>
        </w:tc>
        <w:tc>
          <w:tcPr>
            <w:tcW w:w="1417" w:type="dxa"/>
          </w:tcPr>
          <w:p w14:paraId="05EBA31B" w14:textId="69E6761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686640">
              <w:rPr>
                <w:rFonts w:ascii="Open Sans" w:eastAsia="Open Sans" w:hAnsi="Open Sans" w:cs="Open Sans"/>
                <w:color w:val="000000"/>
                <w:sz w:val="20"/>
                <w:szCs w:val="20"/>
              </w:rPr>
              <w:t>-</w:t>
            </w:r>
          </w:p>
        </w:tc>
        <w:tc>
          <w:tcPr>
            <w:tcW w:w="1559" w:type="dxa"/>
          </w:tcPr>
          <w:p w14:paraId="3BDCE8DF" w14:textId="0A916FE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CF0B73">
              <w:rPr>
                <w:rFonts w:ascii="Open Sans" w:eastAsia="Open Sans" w:hAnsi="Open Sans" w:cs="Open Sans"/>
                <w:color w:val="000000"/>
                <w:sz w:val="20"/>
                <w:szCs w:val="20"/>
              </w:rPr>
              <w:t>-</w:t>
            </w:r>
          </w:p>
        </w:tc>
        <w:tc>
          <w:tcPr>
            <w:tcW w:w="1560" w:type="dxa"/>
            <w:vAlign w:val="bottom"/>
          </w:tcPr>
          <w:p w14:paraId="7E6AAFF4" w14:textId="7D2ACBB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eastAsia="Open Sans" w:hAnsi="Open Sans" w:cs="Open Sans"/>
                <w:color w:val="000000"/>
                <w:sz w:val="20"/>
                <w:szCs w:val="20"/>
              </w:rPr>
              <w:t>-</w:t>
            </w:r>
          </w:p>
        </w:tc>
        <w:tc>
          <w:tcPr>
            <w:tcW w:w="1417" w:type="dxa"/>
            <w:vAlign w:val="bottom"/>
          </w:tcPr>
          <w:p w14:paraId="24DE9758" w14:textId="71601C0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5,5%</w:t>
            </w:r>
          </w:p>
        </w:tc>
      </w:tr>
      <w:tr w:rsidR="00B97983" w:rsidRPr="0033269A" w14:paraId="713B9285"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DB5FEBB" w14:textId="6FCE5519"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09FA2840" w14:textId="54477769"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Puerto Real</w:t>
            </w:r>
          </w:p>
        </w:tc>
        <w:tc>
          <w:tcPr>
            <w:tcW w:w="1417" w:type="dxa"/>
          </w:tcPr>
          <w:p w14:paraId="5CE6CA55" w14:textId="494D927F"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686640">
              <w:rPr>
                <w:rFonts w:ascii="Open Sans" w:eastAsia="Open Sans" w:hAnsi="Open Sans" w:cs="Open Sans"/>
                <w:color w:val="000000"/>
                <w:sz w:val="20"/>
                <w:szCs w:val="20"/>
              </w:rPr>
              <w:t>-</w:t>
            </w:r>
          </w:p>
        </w:tc>
        <w:tc>
          <w:tcPr>
            <w:tcW w:w="1559" w:type="dxa"/>
          </w:tcPr>
          <w:p w14:paraId="1CED09BB" w14:textId="087EA27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sidRPr="00CF0B73">
              <w:rPr>
                <w:rFonts w:ascii="Open Sans" w:eastAsia="Open Sans" w:hAnsi="Open Sans" w:cs="Open Sans"/>
                <w:color w:val="000000"/>
                <w:sz w:val="20"/>
                <w:szCs w:val="20"/>
              </w:rPr>
              <w:t>-</w:t>
            </w:r>
          </w:p>
        </w:tc>
        <w:tc>
          <w:tcPr>
            <w:tcW w:w="1560" w:type="dxa"/>
            <w:vAlign w:val="bottom"/>
          </w:tcPr>
          <w:p w14:paraId="6CA7913F" w14:textId="65BFE002"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7,4%</w:t>
            </w:r>
          </w:p>
        </w:tc>
        <w:tc>
          <w:tcPr>
            <w:tcW w:w="1417" w:type="dxa"/>
            <w:vAlign w:val="bottom"/>
          </w:tcPr>
          <w:p w14:paraId="4C9AFF28" w14:textId="0EA299B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5,5%</w:t>
            </w:r>
          </w:p>
        </w:tc>
      </w:tr>
      <w:tr w:rsidR="00B97983" w:rsidRPr="0033269A" w14:paraId="71E70B9E"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570F53A" w14:textId="19A1B88D"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Santa Cruz de Tenerife</w:t>
            </w:r>
          </w:p>
        </w:tc>
        <w:tc>
          <w:tcPr>
            <w:tcW w:w="1985" w:type="dxa"/>
            <w:vAlign w:val="bottom"/>
          </w:tcPr>
          <w:p w14:paraId="297C5DC1" w14:textId="6AE0C2C2"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Puerto de la Cruz</w:t>
            </w:r>
          </w:p>
        </w:tc>
        <w:tc>
          <w:tcPr>
            <w:tcW w:w="1417" w:type="dxa"/>
          </w:tcPr>
          <w:p w14:paraId="23258AFC" w14:textId="3FF9DDD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sidRPr="00686640">
              <w:rPr>
                <w:rFonts w:ascii="Open Sans" w:eastAsia="Open Sans" w:hAnsi="Open Sans" w:cs="Open Sans"/>
                <w:color w:val="000000"/>
                <w:sz w:val="20"/>
                <w:szCs w:val="20"/>
              </w:rPr>
              <w:t>-</w:t>
            </w:r>
          </w:p>
        </w:tc>
        <w:tc>
          <w:tcPr>
            <w:tcW w:w="1559" w:type="dxa"/>
            <w:vAlign w:val="bottom"/>
          </w:tcPr>
          <w:p w14:paraId="72519F2A" w14:textId="0E56B57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6,5%</w:t>
            </w:r>
          </w:p>
        </w:tc>
        <w:tc>
          <w:tcPr>
            <w:tcW w:w="1560" w:type="dxa"/>
            <w:vAlign w:val="bottom"/>
          </w:tcPr>
          <w:p w14:paraId="79706322" w14:textId="382553C7"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6,3%</w:t>
            </w:r>
          </w:p>
        </w:tc>
        <w:tc>
          <w:tcPr>
            <w:tcW w:w="1417" w:type="dxa"/>
            <w:vAlign w:val="bottom"/>
          </w:tcPr>
          <w:p w14:paraId="4054023F" w14:textId="5C6556E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5,4%</w:t>
            </w:r>
          </w:p>
        </w:tc>
      </w:tr>
      <w:tr w:rsidR="00A947F9" w:rsidRPr="0033269A" w14:paraId="74925B5B"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7B59958" w14:textId="6A4870FE"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1CC8A302" w14:textId="4F802460"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Barcelona capital</w:t>
            </w:r>
          </w:p>
        </w:tc>
        <w:tc>
          <w:tcPr>
            <w:tcW w:w="1417" w:type="dxa"/>
            <w:vAlign w:val="bottom"/>
          </w:tcPr>
          <w:p w14:paraId="582235A1" w14:textId="21091FDB"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4,7%</w:t>
            </w:r>
          </w:p>
        </w:tc>
        <w:tc>
          <w:tcPr>
            <w:tcW w:w="1559" w:type="dxa"/>
            <w:vAlign w:val="bottom"/>
          </w:tcPr>
          <w:p w14:paraId="33703A48" w14:textId="0C6CCFE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4,6%</w:t>
            </w:r>
          </w:p>
        </w:tc>
        <w:tc>
          <w:tcPr>
            <w:tcW w:w="1560" w:type="dxa"/>
            <w:vAlign w:val="bottom"/>
          </w:tcPr>
          <w:p w14:paraId="501806A4" w14:textId="0221F29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5,7%</w:t>
            </w:r>
          </w:p>
        </w:tc>
        <w:tc>
          <w:tcPr>
            <w:tcW w:w="1417" w:type="dxa"/>
            <w:vAlign w:val="bottom"/>
          </w:tcPr>
          <w:p w14:paraId="737898FF" w14:textId="0EF1E531"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5,4%</w:t>
            </w:r>
          </w:p>
        </w:tc>
      </w:tr>
      <w:tr w:rsidR="00A947F9" w:rsidRPr="0033269A" w14:paraId="3FD57D5C"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DC7A17A" w14:textId="6A20ED48"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Asturias</w:t>
            </w:r>
          </w:p>
        </w:tc>
        <w:tc>
          <w:tcPr>
            <w:tcW w:w="1985" w:type="dxa"/>
            <w:vAlign w:val="bottom"/>
          </w:tcPr>
          <w:p w14:paraId="5E8AA30E" w14:textId="60817586"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Gijón</w:t>
            </w:r>
          </w:p>
        </w:tc>
        <w:tc>
          <w:tcPr>
            <w:tcW w:w="1417" w:type="dxa"/>
            <w:vAlign w:val="bottom"/>
          </w:tcPr>
          <w:p w14:paraId="079E32D8" w14:textId="1792066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c>
          <w:tcPr>
            <w:tcW w:w="1559" w:type="dxa"/>
            <w:vAlign w:val="bottom"/>
          </w:tcPr>
          <w:p w14:paraId="5B114B61" w14:textId="4F30F948"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6,0%</w:t>
            </w:r>
          </w:p>
        </w:tc>
        <w:tc>
          <w:tcPr>
            <w:tcW w:w="1560" w:type="dxa"/>
            <w:vAlign w:val="bottom"/>
          </w:tcPr>
          <w:p w14:paraId="21BAAC30" w14:textId="11F5F84B"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6,6%</w:t>
            </w:r>
          </w:p>
        </w:tc>
        <w:tc>
          <w:tcPr>
            <w:tcW w:w="1417" w:type="dxa"/>
            <w:vAlign w:val="bottom"/>
          </w:tcPr>
          <w:p w14:paraId="4185A9F2" w14:textId="3C955D27"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5,4%</w:t>
            </w:r>
          </w:p>
        </w:tc>
      </w:tr>
      <w:tr w:rsidR="00A947F9" w:rsidRPr="0033269A" w14:paraId="3B7C6F92"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B3EF9E9" w14:textId="2B450F9B" w:rsidR="00A947F9" w:rsidRPr="00142BAE" w:rsidRDefault="00A947F9" w:rsidP="00A947F9">
            <w:pPr>
              <w:rPr>
                <w:rFonts w:ascii="Open Sans" w:eastAsia="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3A0660E6" w14:textId="7E15029E"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sz w:val="20"/>
                <w:szCs w:val="20"/>
              </w:rPr>
            </w:pPr>
            <w:r>
              <w:rPr>
                <w:rFonts w:ascii="Open Sans" w:hAnsi="Open Sans" w:cs="Open Sans"/>
                <w:color w:val="000000"/>
                <w:sz w:val="22"/>
                <w:szCs w:val="22"/>
              </w:rPr>
              <w:t>Torrevieja</w:t>
            </w:r>
          </w:p>
        </w:tc>
        <w:tc>
          <w:tcPr>
            <w:tcW w:w="1417" w:type="dxa"/>
            <w:vAlign w:val="bottom"/>
          </w:tcPr>
          <w:p w14:paraId="21C017C5" w14:textId="70DC914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6,4%</w:t>
            </w:r>
          </w:p>
        </w:tc>
        <w:tc>
          <w:tcPr>
            <w:tcW w:w="1559" w:type="dxa"/>
            <w:vAlign w:val="bottom"/>
          </w:tcPr>
          <w:p w14:paraId="12444000" w14:textId="13ACCCA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6,3%</w:t>
            </w:r>
          </w:p>
        </w:tc>
        <w:tc>
          <w:tcPr>
            <w:tcW w:w="1560" w:type="dxa"/>
            <w:vAlign w:val="bottom"/>
          </w:tcPr>
          <w:p w14:paraId="0946FAB9" w14:textId="3130E08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0"/>
                <w:szCs w:val="20"/>
              </w:rPr>
            </w:pPr>
            <w:r>
              <w:rPr>
                <w:rFonts w:ascii="Open Sans" w:hAnsi="Open Sans" w:cs="Open Sans"/>
                <w:color w:val="000000"/>
                <w:sz w:val="22"/>
                <w:szCs w:val="22"/>
              </w:rPr>
              <w:t>6,2%</w:t>
            </w:r>
          </w:p>
        </w:tc>
        <w:tc>
          <w:tcPr>
            <w:tcW w:w="1417" w:type="dxa"/>
            <w:vAlign w:val="bottom"/>
          </w:tcPr>
          <w:p w14:paraId="615CAD97" w14:textId="5A99763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0"/>
                <w:szCs w:val="20"/>
              </w:rPr>
            </w:pPr>
            <w:r>
              <w:rPr>
                <w:rFonts w:ascii="Open Sans" w:hAnsi="Open Sans" w:cs="Open Sans"/>
                <w:color w:val="000000"/>
                <w:sz w:val="22"/>
                <w:szCs w:val="22"/>
              </w:rPr>
              <w:t>5,4%</w:t>
            </w:r>
          </w:p>
        </w:tc>
      </w:tr>
      <w:tr w:rsidR="00A947F9" w:rsidRPr="0033269A" w14:paraId="5DE51287"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075E824" w14:textId="7C98B089"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Cantabria</w:t>
            </w:r>
          </w:p>
        </w:tc>
        <w:tc>
          <w:tcPr>
            <w:tcW w:w="1985" w:type="dxa"/>
            <w:vAlign w:val="bottom"/>
          </w:tcPr>
          <w:p w14:paraId="46575EFB" w14:textId="65FB2943"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Santander</w:t>
            </w:r>
          </w:p>
        </w:tc>
        <w:tc>
          <w:tcPr>
            <w:tcW w:w="1417" w:type="dxa"/>
            <w:vAlign w:val="bottom"/>
          </w:tcPr>
          <w:p w14:paraId="20E39BFA" w14:textId="39635E8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4,4%</w:t>
            </w:r>
          </w:p>
        </w:tc>
        <w:tc>
          <w:tcPr>
            <w:tcW w:w="1559" w:type="dxa"/>
            <w:vAlign w:val="bottom"/>
          </w:tcPr>
          <w:p w14:paraId="56E38E20" w14:textId="05D67EE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c>
          <w:tcPr>
            <w:tcW w:w="1560" w:type="dxa"/>
            <w:vAlign w:val="bottom"/>
          </w:tcPr>
          <w:p w14:paraId="72D04653" w14:textId="12C78A0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c>
          <w:tcPr>
            <w:tcW w:w="1417" w:type="dxa"/>
            <w:vAlign w:val="bottom"/>
          </w:tcPr>
          <w:p w14:paraId="3B26E327" w14:textId="116438D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5,3%</w:t>
            </w:r>
          </w:p>
        </w:tc>
      </w:tr>
      <w:tr w:rsidR="00A947F9" w:rsidRPr="0033269A" w14:paraId="220583A4"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804AA32" w14:textId="064881EC"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2602223F" w14:textId="720A74F8"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Torremolinos</w:t>
            </w:r>
          </w:p>
        </w:tc>
        <w:tc>
          <w:tcPr>
            <w:tcW w:w="1417" w:type="dxa"/>
            <w:vAlign w:val="bottom"/>
          </w:tcPr>
          <w:p w14:paraId="3AE89BCF" w14:textId="759CE800"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5,5%</w:t>
            </w:r>
          </w:p>
        </w:tc>
        <w:tc>
          <w:tcPr>
            <w:tcW w:w="1559" w:type="dxa"/>
            <w:vAlign w:val="bottom"/>
          </w:tcPr>
          <w:p w14:paraId="08AE34A3" w14:textId="24D49E3A"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5,4%</w:t>
            </w:r>
          </w:p>
        </w:tc>
        <w:tc>
          <w:tcPr>
            <w:tcW w:w="1560" w:type="dxa"/>
            <w:vAlign w:val="bottom"/>
          </w:tcPr>
          <w:p w14:paraId="1E25FBED" w14:textId="687F9E8D"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6,0%</w:t>
            </w:r>
          </w:p>
        </w:tc>
        <w:tc>
          <w:tcPr>
            <w:tcW w:w="1417" w:type="dxa"/>
            <w:vAlign w:val="bottom"/>
          </w:tcPr>
          <w:p w14:paraId="323E7B1B" w14:textId="2848CB90"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5,3%</w:t>
            </w:r>
          </w:p>
        </w:tc>
      </w:tr>
      <w:tr w:rsidR="00A947F9" w:rsidRPr="0033269A" w14:paraId="6CE3AC9F"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BDFFA0A" w14:textId="3F6FEFCA"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Valencia</w:t>
            </w:r>
          </w:p>
        </w:tc>
        <w:tc>
          <w:tcPr>
            <w:tcW w:w="1985" w:type="dxa"/>
            <w:vAlign w:val="bottom"/>
          </w:tcPr>
          <w:p w14:paraId="3A883969" w14:textId="3CE505AB"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Alboraya</w:t>
            </w:r>
          </w:p>
        </w:tc>
        <w:tc>
          <w:tcPr>
            <w:tcW w:w="1417" w:type="dxa"/>
            <w:vAlign w:val="bottom"/>
          </w:tcPr>
          <w:p w14:paraId="170F3A94" w14:textId="2888DA0D"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59" w:type="dxa"/>
            <w:vAlign w:val="bottom"/>
          </w:tcPr>
          <w:p w14:paraId="3E46F38B" w14:textId="647F55E8"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5,7%</w:t>
            </w:r>
          </w:p>
        </w:tc>
        <w:tc>
          <w:tcPr>
            <w:tcW w:w="1560" w:type="dxa"/>
            <w:vAlign w:val="bottom"/>
          </w:tcPr>
          <w:p w14:paraId="42F9E2AE" w14:textId="61E895CB"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5,8%</w:t>
            </w:r>
          </w:p>
        </w:tc>
        <w:tc>
          <w:tcPr>
            <w:tcW w:w="1417" w:type="dxa"/>
            <w:vAlign w:val="bottom"/>
          </w:tcPr>
          <w:p w14:paraId="0779F61F" w14:textId="29E1F5B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r>
      <w:tr w:rsidR="00A947F9" w:rsidRPr="0033269A" w14:paraId="6B457E91"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56233CA" w14:textId="20A7294D"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5369B91A" w14:textId="4A7055E6"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Benidorm</w:t>
            </w:r>
          </w:p>
        </w:tc>
        <w:tc>
          <w:tcPr>
            <w:tcW w:w="1417" w:type="dxa"/>
            <w:vAlign w:val="bottom"/>
          </w:tcPr>
          <w:p w14:paraId="19EF09DE" w14:textId="53E9C5B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3,8%</w:t>
            </w:r>
          </w:p>
        </w:tc>
        <w:tc>
          <w:tcPr>
            <w:tcW w:w="1559" w:type="dxa"/>
            <w:vAlign w:val="bottom"/>
          </w:tcPr>
          <w:p w14:paraId="025A40F3" w14:textId="5FE5C97D"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60" w:type="dxa"/>
            <w:vAlign w:val="bottom"/>
          </w:tcPr>
          <w:p w14:paraId="5B7A5FB3" w14:textId="0D385E0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6,4%</w:t>
            </w:r>
          </w:p>
        </w:tc>
        <w:tc>
          <w:tcPr>
            <w:tcW w:w="1417" w:type="dxa"/>
            <w:vAlign w:val="bottom"/>
          </w:tcPr>
          <w:p w14:paraId="00B6436E" w14:textId="1D75B9FC"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r>
      <w:tr w:rsidR="00B97983" w:rsidRPr="0033269A" w14:paraId="3DE3C40F"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41575F0" w14:textId="2F72E7F8"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265A67E8" w14:textId="4AFE989E"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Barbate</w:t>
            </w:r>
          </w:p>
        </w:tc>
        <w:tc>
          <w:tcPr>
            <w:tcW w:w="1417" w:type="dxa"/>
          </w:tcPr>
          <w:p w14:paraId="75510273" w14:textId="2B0BAEC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20D01">
              <w:rPr>
                <w:rFonts w:ascii="Open Sans" w:eastAsia="Open Sans" w:hAnsi="Open Sans" w:cs="Open Sans"/>
                <w:color w:val="000000"/>
                <w:sz w:val="20"/>
                <w:szCs w:val="20"/>
              </w:rPr>
              <w:t>-</w:t>
            </w:r>
          </w:p>
        </w:tc>
        <w:tc>
          <w:tcPr>
            <w:tcW w:w="1559" w:type="dxa"/>
          </w:tcPr>
          <w:p w14:paraId="3FD7E772" w14:textId="7A3D4C7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20D01">
              <w:rPr>
                <w:rFonts w:ascii="Open Sans" w:eastAsia="Open Sans" w:hAnsi="Open Sans" w:cs="Open Sans"/>
                <w:color w:val="000000"/>
                <w:sz w:val="20"/>
                <w:szCs w:val="20"/>
              </w:rPr>
              <w:t>-</w:t>
            </w:r>
          </w:p>
        </w:tc>
        <w:tc>
          <w:tcPr>
            <w:tcW w:w="1560" w:type="dxa"/>
            <w:vAlign w:val="bottom"/>
          </w:tcPr>
          <w:p w14:paraId="58D6C905" w14:textId="10DE7C8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5,6%</w:t>
            </w:r>
          </w:p>
        </w:tc>
        <w:tc>
          <w:tcPr>
            <w:tcW w:w="1417" w:type="dxa"/>
            <w:vAlign w:val="bottom"/>
          </w:tcPr>
          <w:p w14:paraId="42EA9F08" w14:textId="3B395E8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r>
      <w:tr w:rsidR="00A947F9" w:rsidRPr="0033269A" w14:paraId="73AEC911"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5E5383B" w14:textId="54377F09"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Bizkaia</w:t>
            </w:r>
          </w:p>
        </w:tc>
        <w:tc>
          <w:tcPr>
            <w:tcW w:w="1985" w:type="dxa"/>
            <w:vAlign w:val="bottom"/>
          </w:tcPr>
          <w:p w14:paraId="25AB25E6" w14:textId="2254866A"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Bilbao</w:t>
            </w:r>
          </w:p>
        </w:tc>
        <w:tc>
          <w:tcPr>
            <w:tcW w:w="1417" w:type="dxa"/>
            <w:vAlign w:val="bottom"/>
          </w:tcPr>
          <w:p w14:paraId="31D9A2B3" w14:textId="35577A8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4,2%</w:t>
            </w:r>
          </w:p>
        </w:tc>
        <w:tc>
          <w:tcPr>
            <w:tcW w:w="1559" w:type="dxa"/>
            <w:vAlign w:val="bottom"/>
          </w:tcPr>
          <w:p w14:paraId="05438512" w14:textId="4B253EFC"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4,7%</w:t>
            </w:r>
          </w:p>
        </w:tc>
        <w:tc>
          <w:tcPr>
            <w:tcW w:w="1560" w:type="dxa"/>
            <w:vAlign w:val="bottom"/>
          </w:tcPr>
          <w:p w14:paraId="0A54C76D" w14:textId="438DBF1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417" w:type="dxa"/>
            <w:vAlign w:val="bottom"/>
          </w:tcPr>
          <w:p w14:paraId="717369CD" w14:textId="7FD475B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5,2%</w:t>
            </w:r>
          </w:p>
        </w:tc>
      </w:tr>
      <w:tr w:rsidR="00A947F9" w:rsidRPr="0033269A" w14:paraId="6E06B601"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3648B16" w14:textId="642141D8"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133892DA" w14:textId="0987BA81"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Castelldefels</w:t>
            </w:r>
          </w:p>
        </w:tc>
        <w:tc>
          <w:tcPr>
            <w:tcW w:w="1417" w:type="dxa"/>
            <w:vAlign w:val="bottom"/>
          </w:tcPr>
          <w:p w14:paraId="7C667016" w14:textId="2A29D15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00E6F35B" w14:textId="06E86279"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5,2%</w:t>
            </w:r>
          </w:p>
        </w:tc>
        <w:tc>
          <w:tcPr>
            <w:tcW w:w="1560" w:type="dxa"/>
            <w:vAlign w:val="bottom"/>
          </w:tcPr>
          <w:p w14:paraId="3712AB2C" w14:textId="1CAAEC83"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417" w:type="dxa"/>
            <w:vAlign w:val="bottom"/>
          </w:tcPr>
          <w:p w14:paraId="623D8AE7" w14:textId="2228793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5,1%</w:t>
            </w:r>
          </w:p>
        </w:tc>
      </w:tr>
      <w:tr w:rsidR="00B97983" w:rsidRPr="0033269A" w14:paraId="360233B8"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2812865" w14:textId="5AE389E3"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Almería</w:t>
            </w:r>
          </w:p>
        </w:tc>
        <w:tc>
          <w:tcPr>
            <w:tcW w:w="1985" w:type="dxa"/>
            <w:vAlign w:val="bottom"/>
          </w:tcPr>
          <w:p w14:paraId="7FF7710C" w14:textId="2E5F5B4D"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Vera</w:t>
            </w:r>
          </w:p>
        </w:tc>
        <w:tc>
          <w:tcPr>
            <w:tcW w:w="1417" w:type="dxa"/>
          </w:tcPr>
          <w:p w14:paraId="52B8C8B4" w14:textId="1288F2C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902A3">
              <w:rPr>
                <w:rFonts w:ascii="Open Sans" w:eastAsia="Open Sans" w:hAnsi="Open Sans" w:cs="Open Sans"/>
                <w:color w:val="000000"/>
                <w:sz w:val="20"/>
                <w:szCs w:val="20"/>
              </w:rPr>
              <w:t>-</w:t>
            </w:r>
          </w:p>
        </w:tc>
        <w:tc>
          <w:tcPr>
            <w:tcW w:w="1559" w:type="dxa"/>
          </w:tcPr>
          <w:p w14:paraId="15F8783C" w14:textId="2AD7954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902A3">
              <w:rPr>
                <w:rFonts w:ascii="Open Sans" w:eastAsia="Open Sans" w:hAnsi="Open Sans" w:cs="Open Sans"/>
                <w:color w:val="000000"/>
                <w:sz w:val="20"/>
                <w:szCs w:val="20"/>
              </w:rPr>
              <w:t>-</w:t>
            </w:r>
          </w:p>
        </w:tc>
        <w:tc>
          <w:tcPr>
            <w:tcW w:w="1560" w:type="dxa"/>
            <w:vAlign w:val="bottom"/>
          </w:tcPr>
          <w:p w14:paraId="78295D46" w14:textId="2520F42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6,9%</w:t>
            </w:r>
          </w:p>
        </w:tc>
        <w:tc>
          <w:tcPr>
            <w:tcW w:w="1417" w:type="dxa"/>
            <w:vAlign w:val="bottom"/>
          </w:tcPr>
          <w:p w14:paraId="65EC5192" w14:textId="6415C8F5"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r>
      <w:tr w:rsidR="00B97983" w:rsidRPr="0033269A" w14:paraId="3F989BB7"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D86DFFB" w14:textId="024B9D14"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0A4B5443" w14:textId="461AC37C"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El Campello</w:t>
            </w:r>
          </w:p>
        </w:tc>
        <w:tc>
          <w:tcPr>
            <w:tcW w:w="1417" w:type="dxa"/>
          </w:tcPr>
          <w:p w14:paraId="06EC4B09" w14:textId="14F1A3E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7C4189">
              <w:rPr>
                <w:rFonts w:ascii="Open Sans" w:eastAsia="Open Sans" w:hAnsi="Open Sans" w:cs="Open Sans"/>
                <w:color w:val="000000"/>
                <w:sz w:val="20"/>
                <w:szCs w:val="20"/>
              </w:rPr>
              <w:t>-</w:t>
            </w:r>
          </w:p>
        </w:tc>
        <w:tc>
          <w:tcPr>
            <w:tcW w:w="1559" w:type="dxa"/>
            <w:vAlign w:val="bottom"/>
          </w:tcPr>
          <w:p w14:paraId="320750B1" w14:textId="3B0B343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5,6%</w:t>
            </w:r>
          </w:p>
        </w:tc>
        <w:tc>
          <w:tcPr>
            <w:tcW w:w="1560" w:type="dxa"/>
            <w:vAlign w:val="bottom"/>
          </w:tcPr>
          <w:p w14:paraId="5DAF6786" w14:textId="0E7E570C"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6,2%</w:t>
            </w:r>
          </w:p>
        </w:tc>
        <w:tc>
          <w:tcPr>
            <w:tcW w:w="1417" w:type="dxa"/>
            <w:vAlign w:val="bottom"/>
          </w:tcPr>
          <w:p w14:paraId="2D2355A0" w14:textId="2992749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r>
      <w:tr w:rsidR="00B97983" w:rsidRPr="0033269A" w14:paraId="6C2C9B94"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C9A84FC" w14:textId="065407ED"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2EEC98A8" w14:textId="692D0F8A"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Vélez-Málaga</w:t>
            </w:r>
          </w:p>
        </w:tc>
        <w:tc>
          <w:tcPr>
            <w:tcW w:w="1417" w:type="dxa"/>
          </w:tcPr>
          <w:p w14:paraId="45A92818" w14:textId="152A7638"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C4189">
              <w:rPr>
                <w:rFonts w:ascii="Open Sans" w:eastAsia="Open Sans" w:hAnsi="Open Sans" w:cs="Open Sans"/>
                <w:color w:val="000000"/>
                <w:sz w:val="20"/>
                <w:szCs w:val="20"/>
              </w:rPr>
              <w:t>-</w:t>
            </w:r>
          </w:p>
        </w:tc>
        <w:tc>
          <w:tcPr>
            <w:tcW w:w="1559" w:type="dxa"/>
          </w:tcPr>
          <w:p w14:paraId="0573EA01" w14:textId="51BCEB4B"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26B48">
              <w:rPr>
                <w:rFonts w:ascii="Open Sans" w:eastAsia="Open Sans" w:hAnsi="Open Sans" w:cs="Open Sans"/>
                <w:color w:val="000000"/>
                <w:sz w:val="20"/>
                <w:szCs w:val="20"/>
              </w:rPr>
              <w:t>-</w:t>
            </w:r>
          </w:p>
        </w:tc>
        <w:tc>
          <w:tcPr>
            <w:tcW w:w="1560" w:type="dxa"/>
            <w:vAlign w:val="bottom"/>
          </w:tcPr>
          <w:p w14:paraId="4AE4CE34" w14:textId="66948548"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5,7%</w:t>
            </w:r>
          </w:p>
        </w:tc>
        <w:tc>
          <w:tcPr>
            <w:tcW w:w="1417" w:type="dxa"/>
            <w:vAlign w:val="bottom"/>
          </w:tcPr>
          <w:p w14:paraId="46C77051" w14:textId="62A0171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5,0%</w:t>
            </w:r>
          </w:p>
        </w:tc>
      </w:tr>
      <w:tr w:rsidR="00B97983" w:rsidRPr="0033269A" w14:paraId="676B7BF1"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65979E6" w14:textId="6048584D"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Huelva</w:t>
            </w:r>
          </w:p>
        </w:tc>
        <w:tc>
          <w:tcPr>
            <w:tcW w:w="1985" w:type="dxa"/>
            <w:vAlign w:val="bottom"/>
          </w:tcPr>
          <w:p w14:paraId="31A62D38" w14:textId="7F7293DA"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Ayamonte</w:t>
            </w:r>
          </w:p>
        </w:tc>
        <w:tc>
          <w:tcPr>
            <w:tcW w:w="1417" w:type="dxa"/>
          </w:tcPr>
          <w:p w14:paraId="4F218DD1" w14:textId="190601E3"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7C4189">
              <w:rPr>
                <w:rFonts w:ascii="Open Sans" w:eastAsia="Open Sans" w:hAnsi="Open Sans" w:cs="Open Sans"/>
                <w:color w:val="000000"/>
                <w:sz w:val="20"/>
                <w:szCs w:val="20"/>
              </w:rPr>
              <w:t>-</w:t>
            </w:r>
          </w:p>
        </w:tc>
        <w:tc>
          <w:tcPr>
            <w:tcW w:w="1559" w:type="dxa"/>
          </w:tcPr>
          <w:p w14:paraId="554A67E9" w14:textId="579B8A9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726B48">
              <w:rPr>
                <w:rFonts w:ascii="Open Sans" w:eastAsia="Open Sans" w:hAnsi="Open Sans" w:cs="Open Sans"/>
                <w:color w:val="000000"/>
                <w:sz w:val="20"/>
                <w:szCs w:val="20"/>
              </w:rPr>
              <w:t>-</w:t>
            </w:r>
          </w:p>
        </w:tc>
        <w:tc>
          <w:tcPr>
            <w:tcW w:w="1560" w:type="dxa"/>
            <w:vAlign w:val="bottom"/>
          </w:tcPr>
          <w:p w14:paraId="22813F72" w14:textId="74D9D830"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417" w:type="dxa"/>
            <w:vAlign w:val="bottom"/>
          </w:tcPr>
          <w:p w14:paraId="536BBE2C" w14:textId="329C5D9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4,9%</w:t>
            </w:r>
          </w:p>
        </w:tc>
      </w:tr>
      <w:tr w:rsidR="00B97983" w:rsidRPr="0033269A" w14:paraId="5499457C"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17EC437" w14:textId="3FD1BA7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173A2888" w14:textId="14446AC8"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Torrox</w:t>
            </w:r>
          </w:p>
        </w:tc>
        <w:tc>
          <w:tcPr>
            <w:tcW w:w="1417" w:type="dxa"/>
          </w:tcPr>
          <w:p w14:paraId="2D31A5E0" w14:textId="1683162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C4189">
              <w:rPr>
                <w:rFonts w:ascii="Open Sans" w:eastAsia="Open Sans" w:hAnsi="Open Sans" w:cs="Open Sans"/>
                <w:color w:val="000000"/>
                <w:sz w:val="20"/>
                <w:szCs w:val="20"/>
              </w:rPr>
              <w:t>-</w:t>
            </w:r>
          </w:p>
        </w:tc>
        <w:tc>
          <w:tcPr>
            <w:tcW w:w="1559" w:type="dxa"/>
          </w:tcPr>
          <w:p w14:paraId="64B54C41" w14:textId="0521983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26B48">
              <w:rPr>
                <w:rFonts w:ascii="Open Sans" w:eastAsia="Open Sans" w:hAnsi="Open Sans" w:cs="Open Sans"/>
                <w:color w:val="000000"/>
                <w:sz w:val="20"/>
                <w:szCs w:val="20"/>
              </w:rPr>
              <w:t>-</w:t>
            </w:r>
          </w:p>
        </w:tc>
        <w:tc>
          <w:tcPr>
            <w:tcW w:w="1560" w:type="dxa"/>
            <w:vAlign w:val="bottom"/>
          </w:tcPr>
          <w:p w14:paraId="1A3B3734" w14:textId="36AC862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4,6%</w:t>
            </w:r>
          </w:p>
        </w:tc>
        <w:tc>
          <w:tcPr>
            <w:tcW w:w="1417" w:type="dxa"/>
            <w:vAlign w:val="bottom"/>
          </w:tcPr>
          <w:p w14:paraId="6CC17458" w14:textId="6C734486"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4,9%</w:t>
            </w:r>
          </w:p>
        </w:tc>
      </w:tr>
      <w:tr w:rsidR="00A947F9" w:rsidRPr="0033269A" w14:paraId="4092043E"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70B8715" w14:textId="1C4E24B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3049ECB9" w14:textId="50F9C130"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Málaga capital</w:t>
            </w:r>
          </w:p>
        </w:tc>
        <w:tc>
          <w:tcPr>
            <w:tcW w:w="1417" w:type="dxa"/>
            <w:vAlign w:val="bottom"/>
          </w:tcPr>
          <w:p w14:paraId="1F0B429C" w14:textId="5855B51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5,2%</w:t>
            </w:r>
          </w:p>
        </w:tc>
        <w:tc>
          <w:tcPr>
            <w:tcW w:w="1559" w:type="dxa"/>
            <w:vAlign w:val="bottom"/>
          </w:tcPr>
          <w:p w14:paraId="0E072681" w14:textId="73C75414"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5,2%</w:t>
            </w:r>
          </w:p>
        </w:tc>
        <w:tc>
          <w:tcPr>
            <w:tcW w:w="1560" w:type="dxa"/>
            <w:vAlign w:val="bottom"/>
          </w:tcPr>
          <w:p w14:paraId="435CCF72" w14:textId="08CC8CB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4,7%</w:t>
            </w:r>
          </w:p>
        </w:tc>
        <w:tc>
          <w:tcPr>
            <w:tcW w:w="1417" w:type="dxa"/>
            <w:vAlign w:val="bottom"/>
          </w:tcPr>
          <w:p w14:paraId="5A8F252D" w14:textId="2EC7379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r>
      <w:tr w:rsidR="00A947F9" w:rsidRPr="0033269A" w14:paraId="24B6296C"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CB990A5" w14:textId="4BFB336B"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35EEE6C7" w14:textId="6154E070"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Mijas</w:t>
            </w:r>
          </w:p>
        </w:tc>
        <w:tc>
          <w:tcPr>
            <w:tcW w:w="1417" w:type="dxa"/>
            <w:vAlign w:val="bottom"/>
          </w:tcPr>
          <w:p w14:paraId="29183C28" w14:textId="770E17A8"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21C89889" w14:textId="294BFE8C"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5,8%</w:t>
            </w:r>
          </w:p>
        </w:tc>
        <w:tc>
          <w:tcPr>
            <w:tcW w:w="1560" w:type="dxa"/>
            <w:vAlign w:val="bottom"/>
          </w:tcPr>
          <w:p w14:paraId="2790769E" w14:textId="034E2B6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5,4%</w:t>
            </w:r>
          </w:p>
        </w:tc>
        <w:tc>
          <w:tcPr>
            <w:tcW w:w="1417" w:type="dxa"/>
            <w:vAlign w:val="bottom"/>
          </w:tcPr>
          <w:p w14:paraId="6C2363BD" w14:textId="7A1578A7"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r>
      <w:tr w:rsidR="00A947F9" w:rsidRPr="0033269A" w14:paraId="5BA3F6CF"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B5FCD1A" w14:textId="675C4510"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254C597B" w14:textId="12984854"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Benalmádena</w:t>
            </w:r>
          </w:p>
        </w:tc>
        <w:tc>
          <w:tcPr>
            <w:tcW w:w="1417" w:type="dxa"/>
            <w:vAlign w:val="bottom"/>
          </w:tcPr>
          <w:p w14:paraId="7D11810C" w14:textId="58DFC82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5,3%</w:t>
            </w:r>
          </w:p>
        </w:tc>
        <w:tc>
          <w:tcPr>
            <w:tcW w:w="1559" w:type="dxa"/>
            <w:vAlign w:val="bottom"/>
          </w:tcPr>
          <w:p w14:paraId="2390A07F" w14:textId="5539896C"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560" w:type="dxa"/>
            <w:vAlign w:val="bottom"/>
          </w:tcPr>
          <w:p w14:paraId="7E69FAC7" w14:textId="61A7C507"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417" w:type="dxa"/>
            <w:vAlign w:val="bottom"/>
          </w:tcPr>
          <w:p w14:paraId="42C6B1E8" w14:textId="0414D52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r>
      <w:tr w:rsidR="00B97983" w:rsidRPr="0033269A" w14:paraId="415B1479"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C124795" w14:textId="79692EEA"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1451154B" w14:textId="71785FE2"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Chipiona</w:t>
            </w:r>
          </w:p>
        </w:tc>
        <w:tc>
          <w:tcPr>
            <w:tcW w:w="1417" w:type="dxa"/>
          </w:tcPr>
          <w:p w14:paraId="05AAA2F6" w14:textId="42ECF12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D3507">
              <w:rPr>
                <w:rFonts w:ascii="Open Sans" w:eastAsia="Open Sans" w:hAnsi="Open Sans" w:cs="Open Sans"/>
                <w:color w:val="000000"/>
                <w:sz w:val="20"/>
                <w:szCs w:val="20"/>
              </w:rPr>
              <w:t>-</w:t>
            </w:r>
          </w:p>
        </w:tc>
        <w:tc>
          <w:tcPr>
            <w:tcW w:w="1559" w:type="dxa"/>
          </w:tcPr>
          <w:p w14:paraId="7E3A5A21" w14:textId="16ECFFE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7D3507">
              <w:rPr>
                <w:rFonts w:ascii="Open Sans" w:eastAsia="Open Sans" w:hAnsi="Open Sans" w:cs="Open Sans"/>
                <w:color w:val="000000"/>
                <w:sz w:val="20"/>
                <w:szCs w:val="20"/>
              </w:rPr>
              <w:t>-</w:t>
            </w:r>
          </w:p>
        </w:tc>
        <w:tc>
          <w:tcPr>
            <w:tcW w:w="1560" w:type="dxa"/>
            <w:vAlign w:val="bottom"/>
          </w:tcPr>
          <w:p w14:paraId="1FA0AEFC" w14:textId="43D83B8A"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6,8%</w:t>
            </w:r>
          </w:p>
        </w:tc>
        <w:tc>
          <w:tcPr>
            <w:tcW w:w="1417" w:type="dxa"/>
            <w:vAlign w:val="bottom"/>
          </w:tcPr>
          <w:p w14:paraId="7265AAEC" w14:textId="5ABD22C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r>
      <w:tr w:rsidR="00B97983" w:rsidRPr="0033269A" w14:paraId="5710032B"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E2D3FCB" w14:textId="6C4B60F6"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08F546C9" w14:textId="4714BAF2"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Estepona</w:t>
            </w:r>
          </w:p>
        </w:tc>
        <w:tc>
          <w:tcPr>
            <w:tcW w:w="1417" w:type="dxa"/>
          </w:tcPr>
          <w:p w14:paraId="44A9400C" w14:textId="0AA05C0B"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025DE7">
              <w:rPr>
                <w:rFonts w:ascii="Open Sans" w:eastAsia="Open Sans" w:hAnsi="Open Sans" w:cs="Open Sans"/>
                <w:color w:val="000000"/>
                <w:sz w:val="20"/>
                <w:szCs w:val="20"/>
              </w:rPr>
              <w:t>-</w:t>
            </w:r>
          </w:p>
        </w:tc>
        <w:tc>
          <w:tcPr>
            <w:tcW w:w="1559" w:type="dxa"/>
            <w:vAlign w:val="bottom"/>
          </w:tcPr>
          <w:p w14:paraId="2C0ADA96" w14:textId="1DABA020"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560" w:type="dxa"/>
            <w:vAlign w:val="bottom"/>
          </w:tcPr>
          <w:p w14:paraId="3770783F" w14:textId="6B7F6A9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417" w:type="dxa"/>
            <w:vAlign w:val="bottom"/>
          </w:tcPr>
          <w:p w14:paraId="70C1D4DD" w14:textId="55823F8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4,8%</w:t>
            </w:r>
          </w:p>
        </w:tc>
      </w:tr>
      <w:tr w:rsidR="00B97983" w:rsidRPr="0033269A" w14:paraId="0470CEBE"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C565D38" w14:textId="306FB7F6"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3842E398" w14:textId="275D8281"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Jávea / Xàbia</w:t>
            </w:r>
          </w:p>
        </w:tc>
        <w:tc>
          <w:tcPr>
            <w:tcW w:w="1417" w:type="dxa"/>
          </w:tcPr>
          <w:p w14:paraId="7922052C" w14:textId="44F7D49B"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025DE7">
              <w:rPr>
                <w:rFonts w:ascii="Open Sans" w:eastAsia="Open Sans" w:hAnsi="Open Sans" w:cs="Open Sans"/>
                <w:color w:val="000000"/>
                <w:sz w:val="20"/>
                <w:szCs w:val="20"/>
              </w:rPr>
              <w:t>-</w:t>
            </w:r>
          </w:p>
        </w:tc>
        <w:tc>
          <w:tcPr>
            <w:tcW w:w="1559" w:type="dxa"/>
            <w:vAlign w:val="bottom"/>
          </w:tcPr>
          <w:p w14:paraId="292D69B7" w14:textId="72A42A81"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4E3D475A" w14:textId="198A1EB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417" w:type="dxa"/>
            <w:vAlign w:val="bottom"/>
          </w:tcPr>
          <w:p w14:paraId="1FE7388A" w14:textId="7D82322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4,7%</w:t>
            </w:r>
          </w:p>
        </w:tc>
      </w:tr>
      <w:tr w:rsidR="00A947F9" w:rsidRPr="0033269A" w14:paraId="5CE8B2AB"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6B802DF" w14:textId="67651554"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 Coruña</w:t>
            </w:r>
          </w:p>
        </w:tc>
        <w:tc>
          <w:tcPr>
            <w:tcW w:w="1985" w:type="dxa"/>
            <w:vAlign w:val="bottom"/>
          </w:tcPr>
          <w:p w14:paraId="0C531987" w14:textId="2A5F9218"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 Coruña capital</w:t>
            </w:r>
          </w:p>
        </w:tc>
        <w:tc>
          <w:tcPr>
            <w:tcW w:w="1417" w:type="dxa"/>
            <w:vAlign w:val="bottom"/>
          </w:tcPr>
          <w:p w14:paraId="6B0714E6" w14:textId="5A59FBB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3,4%</w:t>
            </w:r>
          </w:p>
        </w:tc>
        <w:tc>
          <w:tcPr>
            <w:tcW w:w="1559" w:type="dxa"/>
            <w:vAlign w:val="bottom"/>
          </w:tcPr>
          <w:p w14:paraId="09B9B8FD" w14:textId="28E56F39"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4,3%</w:t>
            </w:r>
          </w:p>
        </w:tc>
        <w:tc>
          <w:tcPr>
            <w:tcW w:w="1560" w:type="dxa"/>
            <w:vAlign w:val="bottom"/>
          </w:tcPr>
          <w:p w14:paraId="34FA7816" w14:textId="6C04C7FD"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417" w:type="dxa"/>
            <w:vAlign w:val="bottom"/>
          </w:tcPr>
          <w:p w14:paraId="07DDA3FC" w14:textId="5AAF8E97"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4,7%</w:t>
            </w:r>
          </w:p>
        </w:tc>
      </w:tr>
      <w:tr w:rsidR="00B97983" w:rsidRPr="0033269A" w14:paraId="5BCC9905"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61B25D5" w14:textId="396B4175"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3A8742CE" w14:textId="208286A7"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Guardamar del Segura</w:t>
            </w:r>
          </w:p>
        </w:tc>
        <w:tc>
          <w:tcPr>
            <w:tcW w:w="1417" w:type="dxa"/>
          </w:tcPr>
          <w:p w14:paraId="721ABE49" w14:textId="2C63E2F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A540B">
              <w:rPr>
                <w:rFonts w:ascii="Open Sans" w:eastAsia="Open Sans" w:hAnsi="Open Sans" w:cs="Open Sans"/>
                <w:color w:val="000000"/>
                <w:sz w:val="20"/>
                <w:szCs w:val="20"/>
              </w:rPr>
              <w:t>-</w:t>
            </w:r>
          </w:p>
        </w:tc>
        <w:tc>
          <w:tcPr>
            <w:tcW w:w="1559" w:type="dxa"/>
          </w:tcPr>
          <w:p w14:paraId="0702F47A" w14:textId="0F07A794"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A540B">
              <w:rPr>
                <w:rFonts w:ascii="Open Sans" w:eastAsia="Open Sans" w:hAnsi="Open Sans" w:cs="Open Sans"/>
                <w:color w:val="000000"/>
                <w:sz w:val="20"/>
                <w:szCs w:val="20"/>
              </w:rPr>
              <w:t>-</w:t>
            </w:r>
          </w:p>
        </w:tc>
        <w:tc>
          <w:tcPr>
            <w:tcW w:w="1560" w:type="dxa"/>
            <w:vAlign w:val="bottom"/>
          </w:tcPr>
          <w:p w14:paraId="1769ACD6" w14:textId="7D09EBE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4,4%</w:t>
            </w:r>
          </w:p>
        </w:tc>
        <w:tc>
          <w:tcPr>
            <w:tcW w:w="1417" w:type="dxa"/>
            <w:vAlign w:val="bottom"/>
          </w:tcPr>
          <w:p w14:paraId="4C185047" w14:textId="388E92E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4,7%</w:t>
            </w:r>
          </w:p>
        </w:tc>
      </w:tr>
      <w:tr w:rsidR="00B97983" w:rsidRPr="0033269A" w14:paraId="55BB7615"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3173DDD" w14:textId="38955F27"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3DAD3A73" w14:textId="7152E803"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Altea</w:t>
            </w:r>
          </w:p>
        </w:tc>
        <w:tc>
          <w:tcPr>
            <w:tcW w:w="1417" w:type="dxa"/>
          </w:tcPr>
          <w:p w14:paraId="39A82E96" w14:textId="7844B21C"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B70E2E">
              <w:rPr>
                <w:rFonts w:ascii="Open Sans" w:eastAsia="Open Sans" w:hAnsi="Open Sans" w:cs="Open Sans"/>
                <w:color w:val="000000"/>
                <w:sz w:val="20"/>
                <w:szCs w:val="20"/>
              </w:rPr>
              <w:t>-</w:t>
            </w:r>
          </w:p>
        </w:tc>
        <w:tc>
          <w:tcPr>
            <w:tcW w:w="1559" w:type="dxa"/>
          </w:tcPr>
          <w:p w14:paraId="040FFE0C" w14:textId="7E71D3D4"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B70E2E">
              <w:rPr>
                <w:rFonts w:ascii="Open Sans" w:eastAsia="Open Sans" w:hAnsi="Open Sans" w:cs="Open Sans"/>
                <w:color w:val="000000"/>
                <w:sz w:val="20"/>
                <w:szCs w:val="20"/>
              </w:rPr>
              <w:t>-</w:t>
            </w:r>
          </w:p>
        </w:tc>
        <w:tc>
          <w:tcPr>
            <w:tcW w:w="1560" w:type="dxa"/>
            <w:vAlign w:val="bottom"/>
          </w:tcPr>
          <w:p w14:paraId="7491C5C2" w14:textId="4667247B"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5,5%</w:t>
            </w:r>
          </w:p>
        </w:tc>
        <w:tc>
          <w:tcPr>
            <w:tcW w:w="1417" w:type="dxa"/>
            <w:vAlign w:val="bottom"/>
          </w:tcPr>
          <w:p w14:paraId="175C948C" w14:textId="622D98D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4,6%</w:t>
            </w:r>
          </w:p>
        </w:tc>
      </w:tr>
      <w:tr w:rsidR="00A947F9" w:rsidRPr="0033269A" w14:paraId="54A8DE9D"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3ADD873" w14:textId="4CBCBEC0"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0F557EEF" w14:textId="3461AA19"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Cádiz capital</w:t>
            </w:r>
          </w:p>
        </w:tc>
        <w:tc>
          <w:tcPr>
            <w:tcW w:w="1417" w:type="dxa"/>
            <w:vAlign w:val="bottom"/>
          </w:tcPr>
          <w:p w14:paraId="5DF3516B" w14:textId="31AD101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559" w:type="dxa"/>
            <w:vAlign w:val="bottom"/>
          </w:tcPr>
          <w:p w14:paraId="5A87515B" w14:textId="0101F3B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560" w:type="dxa"/>
            <w:vAlign w:val="bottom"/>
          </w:tcPr>
          <w:p w14:paraId="144907F2" w14:textId="1C10583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4,7%</w:t>
            </w:r>
          </w:p>
        </w:tc>
        <w:tc>
          <w:tcPr>
            <w:tcW w:w="1417" w:type="dxa"/>
            <w:vAlign w:val="bottom"/>
          </w:tcPr>
          <w:p w14:paraId="50C29A5E" w14:textId="7FF9EE8B"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4,6%</w:t>
            </w:r>
          </w:p>
        </w:tc>
      </w:tr>
      <w:tr w:rsidR="00B97983" w:rsidRPr="0033269A" w14:paraId="17D61846"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D711E66" w14:textId="03EB65A8"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Castellón</w:t>
            </w:r>
          </w:p>
        </w:tc>
        <w:tc>
          <w:tcPr>
            <w:tcW w:w="1985" w:type="dxa"/>
            <w:vAlign w:val="bottom"/>
          </w:tcPr>
          <w:p w14:paraId="27A82871" w14:textId="742F2CFC"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Benicasim / Benicàssim</w:t>
            </w:r>
          </w:p>
        </w:tc>
        <w:tc>
          <w:tcPr>
            <w:tcW w:w="1417" w:type="dxa"/>
          </w:tcPr>
          <w:p w14:paraId="7924346A" w14:textId="49C23935"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86E84">
              <w:rPr>
                <w:rFonts w:ascii="Open Sans" w:eastAsia="Open Sans" w:hAnsi="Open Sans" w:cs="Open Sans"/>
                <w:color w:val="000000"/>
                <w:sz w:val="20"/>
                <w:szCs w:val="20"/>
              </w:rPr>
              <w:t>-</w:t>
            </w:r>
          </w:p>
        </w:tc>
        <w:tc>
          <w:tcPr>
            <w:tcW w:w="1559" w:type="dxa"/>
          </w:tcPr>
          <w:p w14:paraId="7CFBBDA4" w14:textId="3B198F61"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E86E84">
              <w:rPr>
                <w:rFonts w:ascii="Open Sans" w:eastAsia="Open Sans" w:hAnsi="Open Sans" w:cs="Open Sans"/>
                <w:color w:val="000000"/>
                <w:sz w:val="20"/>
                <w:szCs w:val="20"/>
              </w:rPr>
              <w:t>-</w:t>
            </w:r>
          </w:p>
        </w:tc>
        <w:tc>
          <w:tcPr>
            <w:tcW w:w="1560" w:type="dxa"/>
            <w:vAlign w:val="bottom"/>
          </w:tcPr>
          <w:p w14:paraId="60A73596" w14:textId="0FAA51E2"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5,9%</w:t>
            </w:r>
          </w:p>
        </w:tc>
        <w:tc>
          <w:tcPr>
            <w:tcW w:w="1417" w:type="dxa"/>
            <w:vAlign w:val="bottom"/>
          </w:tcPr>
          <w:p w14:paraId="09BFA2D2" w14:textId="5C56F9B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4,5%</w:t>
            </w:r>
          </w:p>
        </w:tc>
      </w:tr>
      <w:tr w:rsidR="00B97983" w:rsidRPr="0033269A" w14:paraId="0C65FA7E"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B6E01EF" w14:textId="5088AE4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164CF2C3" w14:textId="6728CDE0"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Orihuela</w:t>
            </w:r>
          </w:p>
        </w:tc>
        <w:tc>
          <w:tcPr>
            <w:tcW w:w="1417" w:type="dxa"/>
          </w:tcPr>
          <w:p w14:paraId="2109DA84" w14:textId="158BD98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DA27D6">
              <w:rPr>
                <w:rFonts w:ascii="Open Sans" w:eastAsia="Open Sans" w:hAnsi="Open Sans" w:cs="Open Sans"/>
                <w:color w:val="000000"/>
                <w:sz w:val="20"/>
                <w:szCs w:val="20"/>
              </w:rPr>
              <w:t>-</w:t>
            </w:r>
          </w:p>
        </w:tc>
        <w:tc>
          <w:tcPr>
            <w:tcW w:w="1559" w:type="dxa"/>
          </w:tcPr>
          <w:p w14:paraId="1210ABDC" w14:textId="3123D20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DA27D6">
              <w:rPr>
                <w:rFonts w:ascii="Open Sans" w:eastAsia="Open Sans" w:hAnsi="Open Sans" w:cs="Open Sans"/>
                <w:color w:val="000000"/>
                <w:sz w:val="20"/>
                <w:szCs w:val="20"/>
              </w:rPr>
              <w:t>-</w:t>
            </w:r>
          </w:p>
        </w:tc>
        <w:tc>
          <w:tcPr>
            <w:tcW w:w="1560" w:type="dxa"/>
            <w:vAlign w:val="bottom"/>
          </w:tcPr>
          <w:p w14:paraId="249DC95A" w14:textId="17A3A4A9"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4,5%</w:t>
            </w:r>
          </w:p>
        </w:tc>
        <w:tc>
          <w:tcPr>
            <w:tcW w:w="1417" w:type="dxa"/>
            <w:vAlign w:val="bottom"/>
          </w:tcPr>
          <w:p w14:paraId="54423E89" w14:textId="58B44BB5"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4,5%</w:t>
            </w:r>
          </w:p>
        </w:tc>
      </w:tr>
      <w:tr w:rsidR="00A947F9" w:rsidRPr="0033269A" w14:paraId="7E3389E5"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F477CC1" w14:textId="4A1AD563"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Pontevedra</w:t>
            </w:r>
          </w:p>
        </w:tc>
        <w:tc>
          <w:tcPr>
            <w:tcW w:w="1985" w:type="dxa"/>
            <w:vAlign w:val="bottom"/>
          </w:tcPr>
          <w:p w14:paraId="3489CECE" w14:textId="737A5E04"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Vigo</w:t>
            </w:r>
          </w:p>
        </w:tc>
        <w:tc>
          <w:tcPr>
            <w:tcW w:w="1417" w:type="dxa"/>
            <w:vAlign w:val="bottom"/>
          </w:tcPr>
          <w:p w14:paraId="25CF94BF" w14:textId="20898E7E"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4,1%</w:t>
            </w:r>
          </w:p>
        </w:tc>
        <w:tc>
          <w:tcPr>
            <w:tcW w:w="1559" w:type="dxa"/>
            <w:vAlign w:val="bottom"/>
          </w:tcPr>
          <w:p w14:paraId="278A2A0C" w14:textId="33E56C81"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560" w:type="dxa"/>
            <w:vAlign w:val="bottom"/>
          </w:tcPr>
          <w:p w14:paraId="7A7BCCD9" w14:textId="71C67ED5"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4,7%</w:t>
            </w:r>
          </w:p>
        </w:tc>
        <w:tc>
          <w:tcPr>
            <w:tcW w:w="1417" w:type="dxa"/>
            <w:vAlign w:val="bottom"/>
          </w:tcPr>
          <w:p w14:paraId="7A6E8D66" w14:textId="08326780"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4,5%</w:t>
            </w:r>
          </w:p>
        </w:tc>
      </w:tr>
      <w:tr w:rsidR="00A947F9" w:rsidRPr="0033269A" w14:paraId="78162409"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A3E2289" w14:textId="7BA8A7EF"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Illes Balears</w:t>
            </w:r>
          </w:p>
        </w:tc>
        <w:tc>
          <w:tcPr>
            <w:tcW w:w="1985" w:type="dxa"/>
            <w:vAlign w:val="bottom"/>
          </w:tcPr>
          <w:p w14:paraId="5CBF9D7C" w14:textId="16B6D3AF"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Palma de Mallorca</w:t>
            </w:r>
          </w:p>
        </w:tc>
        <w:tc>
          <w:tcPr>
            <w:tcW w:w="1417" w:type="dxa"/>
            <w:vAlign w:val="bottom"/>
          </w:tcPr>
          <w:p w14:paraId="3E099555" w14:textId="2E2A173F"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5,4%</w:t>
            </w:r>
          </w:p>
        </w:tc>
        <w:tc>
          <w:tcPr>
            <w:tcW w:w="1559" w:type="dxa"/>
            <w:vAlign w:val="bottom"/>
          </w:tcPr>
          <w:p w14:paraId="10B2BE51" w14:textId="39C39F1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560" w:type="dxa"/>
            <w:vAlign w:val="bottom"/>
          </w:tcPr>
          <w:p w14:paraId="343BD423" w14:textId="376FEB04"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417" w:type="dxa"/>
            <w:vAlign w:val="bottom"/>
          </w:tcPr>
          <w:p w14:paraId="76460AB8" w14:textId="6B03B210"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4,4%</w:t>
            </w:r>
          </w:p>
        </w:tc>
      </w:tr>
      <w:tr w:rsidR="00B97983" w:rsidRPr="0033269A" w14:paraId="39A128C1"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4715C64" w14:textId="6C191D26"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lastRenderedPageBreak/>
              <w:t>Málaga</w:t>
            </w:r>
          </w:p>
        </w:tc>
        <w:tc>
          <w:tcPr>
            <w:tcW w:w="1985" w:type="dxa"/>
            <w:vAlign w:val="bottom"/>
          </w:tcPr>
          <w:p w14:paraId="0BF22A32" w14:textId="7B3DADB2"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Rincón de la Victoria</w:t>
            </w:r>
          </w:p>
        </w:tc>
        <w:tc>
          <w:tcPr>
            <w:tcW w:w="1417" w:type="dxa"/>
          </w:tcPr>
          <w:p w14:paraId="644966AD" w14:textId="47477E7A"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2A05EC">
              <w:rPr>
                <w:rFonts w:ascii="Open Sans" w:eastAsia="Open Sans" w:hAnsi="Open Sans" w:cs="Open Sans"/>
                <w:color w:val="000000"/>
                <w:sz w:val="20"/>
                <w:szCs w:val="20"/>
              </w:rPr>
              <w:t>-</w:t>
            </w:r>
          </w:p>
        </w:tc>
        <w:tc>
          <w:tcPr>
            <w:tcW w:w="1559" w:type="dxa"/>
            <w:vAlign w:val="bottom"/>
          </w:tcPr>
          <w:p w14:paraId="6EF4E29F" w14:textId="430C89F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560" w:type="dxa"/>
            <w:vAlign w:val="bottom"/>
          </w:tcPr>
          <w:p w14:paraId="43A6DD8E" w14:textId="7B0B6642"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4,6%</w:t>
            </w:r>
          </w:p>
        </w:tc>
        <w:tc>
          <w:tcPr>
            <w:tcW w:w="1417" w:type="dxa"/>
            <w:vAlign w:val="bottom"/>
          </w:tcPr>
          <w:p w14:paraId="738E6AB9" w14:textId="774A0E38"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4,4%</w:t>
            </w:r>
          </w:p>
        </w:tc>
      </w:tr>
      <w:tr w:rsidR="00B97983" w:rsidRPr="0033269A" w14:paraId="38B844FF"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6A53D2A" w14:textId="4422705F"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Illes Balears</w:t>
            </w:r>
          </w:p>
        </w:tc>
        <w:tc>
          <w:tcPr>
            <w:tcW w:w="1985" w:type="dxa"/>
            <w:vAlign w:val="bottom"/>
          </w:tcPr>
          <w:p w14:paraId="3C287848" w14:textId="37CA4F7D"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Calvià</w:t>
            </w:r>
          </w:p>
        </w:tc>
        <w:tc>
          <w:tcPr>
            <w:tcW w:w="1417" w:type="dxa"/>
          </w:tcPr>
          <w:p w14:paraId="779B3E17" w14:textId="1CCBEA7C"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A05EC">
              <w:rPr>
                <w:rFonts w:ascii="Open Sans" w:eastAsia="Open Sans" w:hAnsi="Open Sans" w:cs="Open Sans"/>
                <w:color w:val="000000"/>
                <w:sz w:val="20"/>
                <w:szCs w:val="20"/>
              </w:rPr>
              <w:t>-</w:t>
            </w:r>
          </w:p>
        </w:tc>
        <w:tc>
          <w:tcPr>
            <w:tcW w:w="1559" w:type="dxa"/>
            <w:vAlign w:val="bottom"/>
          </w:tcPr>
          <w:p w14:paraId="19A9F3B1" w14:textId="634340BF"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4,6%</w:t>
            </w:r>
          </w:p>
        </w:tc>
        <w:tc>
          <w:tcPr>
            <w:tcW w:w="1560" w:type="dxa"/>
            <w:vAlign w:val="bottom"/>
          </w:tcPr>
          <w:p w14:paraId="27F6802E" w14:textId="7A37949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4,5%</w:t>
            </w:r>
          </w:p>
        </w:tc>
        <w:tc>
          <w:tcPr>
            <w:tcW w:w="1417" w:type="dxa"/>
            <w:vAlign w:val="bottom"/>
          </w:tcPr>
          <w:p w14:paraId="36A02500" w14:textId="013C60F7"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4,4%</w:t>
            </w:r>
          </w:p>
        </w:tc>
      </w:tr>
      <w:tr w:rsidR="00B97983" w:rsidRPr="0033269A" w14:paraId="1C53824F"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A14953B" w14:textId="7792BDF9"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Granada</w:t>
            </w:r>
          </w:p>
        </w:tc>
        <w:tc>
          <w:tcPr>
            <w:tcW w:w="1985" w:type="dxa"/>
            <w:vAlign w:val="bottom"/>
          </w:tcPr>
          <w:p w14:paraId="62ADCB87" w14:textId="3DCD93F8"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Almuñécar</w:t>
            </w:r>
          </w:p>
        </w:tc>
        <w:tc>
          <w:tcPr>
            <w:tcW w:w="1417" w:type="dxa"/>
          </w:tcPr>
          <w:p w14:paraId="4065E4BE" w14:textId="55EF5A8E"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2A05EC">
              <w:rPr>
                <w:rFonts w:ascii="Open Sans" w:eastAsia="Open Sans" w:hAnsi="Open Sans" w:cs="Open Sans"/>
                <w:color w:val="000000"/>
                <w:sz w:val="20"/>
                <w:szCs w:val="20"/>
              </w:rPr>
              <w:t>-</w:t>
            </w:r>
          </w:p>
        </w:tc>
        <w:tc>
          <w:tcPr>
            <w:tcW w:w="1559" w:type="dxa"/>
            <w:vAlign w:val="bottom"/>
          </w:tcPr>
          <w:p w14:paraId="200519AD" w14:textId="5F9182AF"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7EB6D4B7" w14:textId="07B2882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4,9%</w:t>
            </w:r>
          </w:p>
        </w:tc>
        <w:tc>
          <w:tcPr>
            <w:tcW w:w="1417" w:type="dxa"/>
            <w:vAlign w:val="bottom"/>
          </w:tcPr>
          <w:p w14:paraId="470B6CA3" w14:textId="7C0CE5C6"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4,3%</w:t>
            </w:r>
          </w:p>
        </w:tc>
      </w:tr>
      <w:tr w:rsidR="00B97983" w:rsidRPr="0033269A" w14:paraId="4F371EBA"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ABAC30D" w14:textId="2D96EAF5"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Barcelona</w:t>
            </w:r>
          </w:p>
        </w:tc>
        <w:tc>
          <w:tcPr>
            <w:tcW w:w="1985" w:type="dxa"/>
            <w:vAlign w:val="bottom"/>
          </w:tcPr>
          <w:p w14:paraId="79D9A5F5" w14:textId="624FBDE6"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Sitges</w:t>
            </w:r>
          </w:p>
        </w:tc>
        <w:tc>
          <w:tcPr>
            <w:tcW w:w="1417" w:type="dxa"/>
          </w:tcPr>
          <w:p w14:paraId="2DC098D9" w14:textId="5A71ECA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2A05EC">
              <w:rPr>
                <w:rFonts w:ascii="Open Sans" w:eastAsia="Open Sans" w:hAnsi="Open Sans" w:cs="Open Sans"/>
                <w:color w:val="000000"/>
                <w:sz w:val="20"/>
                <w:szCs w:val="20"/>
              </w:rPr>
              <w:t>-</w:t>
            </w:r>
          </w:p>
        </w:tc>
        <w:tc>
          <w:tcPr>
            <w:tcW w:w="1559" w:type="dxa"/>
            <w:vAlign w:val="bottom"/>
          </w:tcPr>
          <w:p w14:paraId="50B48596" w14:textId="163CA83D"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4,3%</w:t>
            </w:r>
          </w:p>
        </w:tc>
        <w:tc>
          <w:tcPr>
            <w:tcW w:w="1560" w:type="dxa"/>
            <w:vAlign w:val="bottom"/>
          </w:tcPr>
          <w:p w14:paraId="3875B3A5" w14:textId="467DD830"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417" w:type="dxa"/>
            <w:vAlign w:val="bottom"/>
          </w:tcPr>
          <w:p w14:paraId="167986DA" w14:textId="53E370FE"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4,2%</w:t>
            </w:r>
          </w:p>
        </w:tc>
      </w:tr>
      <w:tr w:rsidR="00A947F9" w:rsidRPr="0033269A" w14:paraId="63D6E232"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10A2B4FE" w14:textId="1ED4D36F"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Pontevedra</w:t>
            </w:r>
          </w:p>
        </w:tc>
        <w:tc>
          <w:tcPr>
            <w:tcW w:w="1985" w:type="dxa"/>
            <w:vAlign w:val="bottom"/>
          </w:tcPr>
          <w:p w14:paraId="4D062B92" w14:textId="1665049D"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Pontevedra capital</w:t>
            </w:r>
          </w:p>
        </w:tc>
        <w:tc>
          <w:tcPr>
            <w:tcW w:w="1417" w:type="dxa"/>
            <w:vAlign w:val="bottom"/>
          </w:tcPr>
          <w:p w14:paraId="00C25BD5" w14:textId="611C4CE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4,2%</w:t>
            </w:r>
          </w:p>
        </w:tc>
        <w:tc>
          <w:tcPr>
            <w:tcW w:w="1559" w:type="dxa"/>
            <w:vAlign w:val="bottom"/>
          </w:tcPr>
          <w:p w14:paraId="3B499B0C" w14:textId="4C437C02"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5,0%</w:t>
            </w:r>
          </w:p>
        </w:tc>
        <w:tc>
          <w:tcPr>
            <w:tcW w:w="1560" w:type="dxa"/>
            <w:vAlign w:val="bottom"/>
          </w:tcPr>
          <w:p w14:paraId="11CDFCB2" w14:textId="1CD036ED"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417" w:type="dxa"/>
            <w:vAlign w:val="bottom"/>
          </w:tcPr>
          <w:p w14:paraId="2663F5BC" w14:textId="447FA1B4"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A947F9" w:rsidRPr="0033269A" w14:paraId="61A460F7"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5B07B25" w14:textId="14A20FFF"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Bizkaia</w:t>
            </w:r>
          </w:p>
        </w:tc>
        <w:tc>
          <w:tcPr>
            <w:tcW w:w="1985" w:type="dxa"/>
            <w:vAlign w:val="bottom"/>
          </w:tcPr>
          <w:p w14:paraId="1E711242" w14:textId="7CE1CC7E"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Getxo</w:t>
            </w:r>
          </w:p>
        </w:tc>
        <w:tc>
          <w:tcPr>
            <w:tcW w:w="1417" w:type="dxa"/>
            <w:vAlign w:val="bottom"/>
          </w:tcPr>
          <w:p w14:paraId="72D64351" w14:textId="04D4A36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3,9%</w:t>
            </w:r>
          </w:p>
        </w:tc>
        <w:tc>
          <w:tcPr>
            <w:tcW w:w="1559" w:type="dxa"/>
            <w:vAlign w:val="bottom"/>
          </w:tcPr>
          <w:p w14:paraId="20E1765C" w14:textId="68AF468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3,9%</w:t>
            </w:r>
          </w:p>
        </w:tc>
        <w:tc>
          <w:tcPr>
            <w:tcW w:w="1560" w:type="dxa"/>
            <w:vAlign w:val="bottom"/>
          </w:tcPr>
          <w:p w14:paraId="04866BAF" w14:textId="5F74D80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4,3%</w:t>
            </w:r>
          </w:p>
        </w:tc>
        <w:tc>
          <w:tcPr>
            <w:tcW w:w="1417" w:type="dxa"/>
            <w:vAlign w:val="bottom"/>
          </w:tcPr>
          <w:p w14:paraId="33DDDE42" w14:textId="05AE988D"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A947F9" w:rsidRPr="0033269A" w14:paraId="5B09E8B6"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A28DF82" w14:textId="1654BF6C"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0D138121" w14:textId="24322717" w:rsidR="00A947F9" w:rsidRPr="00142BAE" w:rsidRDefault="00A947F9"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Marbella</w:t>
            </w:r>
          </w:p>
        </w:tc>
        <w:tc>
          <w:tcPr>
            <w:tcW w:w="1417" w:type="dxa"/>
            <w:vAlign w:val="bottom"/>
          </w:tcPr>
          <w:p w14:paraId="404D8F0D" w14:textId="3E1A990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5,2%</w:t>
            </w:r>
          </w:p>
        </w:tc>
        <w:tc>
          <w:tcPr>
            <w:tcW w:w="1559" w:type="dxa"/>
            <w:vAlign w:val="bottom"/>
          </w:tcPr>
          <w:p w14:paraId="7A75CB2C" w14:textId="76326CF9"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560" w:type="dxa"/>
            <w:vAlign w:val="bottom"/>
          </w:tcPr>
          <w:p w14:paraId="140054F1" w14:textId="0EFF0863"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4,1%</w:t>
            </w:r>
          </w:p>
        </w:tc>
        <w:tc>
          <w:tcPr>
            <w:tcW w:w="1417" w:type="dxa"/>
            <w:vAlign w:val="bottom"/>
          </w:tcPr>
          <w:p w14:paraId="6BC76210" w14:textId="12AAE171"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B97983" w:rsidRPr="0033269A" w14:paraId="5DB856A6"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6317359" w14:textId="5BECA430"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Cádiz</w:t>
            </w:r>
          </w:p>
        </w:tc>
        <w:tc>
          <w:tcPr>
            <w:tcW w:w="1985" w:type="dxa"/>
            <w:vAlign w:val="bottom"/>
          </w:tcPr>
          <w:p w14:paraId="5222E004" w14:textId="660C0F7D" w:rsidR="00B97983" w:rsidRPr="00142BAE" w:rsidRDefault="00B97983" w:rsidP="00B9798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Conil de la Frontera</w:t>
            </w:r>
          </w:p>
        </w:tc>
        <w:tc>
          <w:tcPr>
            <w:tcW w:w="1417" w:type="dxa"/>
          </w:tcPr>
          <w:p w14:paraId="1EF8EC9F" w14:textId="52C3745B"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337A42">
              <w:rPr>
                <w:rFonts w:ascii="Open Sans" w:eastAsia="Open Sans" w:hAnsi="Open Sans" w:cs="Open Sans"/>
                <w:color w:val="000000"/>
                <w:sz w:val="20"/>
                <w:szCs w:val="20"/>
              </w:rPr>
              <w:t>-</w:t>
            </w:r>
          </w:p>
        </w:tc>
        <w:tc>
          <w:tcPr>
            <w:tcW w:w="1559" w:type="dxa"/>
          </w:tcPr>
          <w:p w14:paraId="4E9A4A35" w14:textId="2F5398CF"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337A42">
              <w:rPr>
                <w:rFonts w:ascii="Open Sans" w:eastAsia="Open Sans" w:hAnsi="Open Sans" w:cs="Open Sans"/>
                <w:color w:val="000000"/>
                <w:sz w:val="20"/>
                <w:szCs w:val="20"/>
              </w:rPr>
              <w:t>-</w:t>
            </w:r>
          </w:p>
        </w:tc>
        <w:tc>
          <w:tcPr>
            <w:tcW w:w="1560" w:type="dxa"/>
          </w:tcPr>
          <w:p w14:paraId="101DA0CF" w14:textId="3519F732"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sidRPr="00337A42">
              <w:rPr>
                <w:rFonts w:ascii="Open Sans" w:eastAsia="Open Sans" w:hAnsi="Open Sans" w:cs="Open Sans"/>
                <w:color w:val="000000"/>
                <w:sz w:val="20"/>
                <w:szCs w:val="20"/>
              </w:rPr>
              <w:t>-</w:t>
            </w:r>
          </w:p>
        </w:tc>
        <w:tc>
          <w:tcPr>
            <w:tcW w:w="1417" w:type="dxa"/>
            <w:vAlign w:val="bottom"/>
          </w:tcPr>
          <w:p w14:paraId="5BAED899" w14:textId="08F97E13" w:rsidR="00B97983" w:rsidRPr="0033269A" w:rsidRDefault="00B97983" w:rsidP="00B9798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A947F9" w:rsidRPr="0033269A" w14:paraId="3AE18552"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3E0FBD2" w14:textId="2C43718A"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69294EC6" w14:textId="210E926C" w:rsidR="00A947F9" w:rsidRPr="00142BAE" w:rsidRDefault="00B97983" w:rsidP="00A947F9">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Denia</w:t>
            </w:r>
          </w:p>
        </w:tc>
        <w:tc>
          <w:tcPr>
            <w:tcW w:w="1417" w:type="dxa"/>
            <w:vAlign w:val="bottom"/>
          </w:tcPr>
          <w:p w14:paraId="70BFF791" w14:textId="7DF1CABA"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5,1%</w:t>
            </w:r>
          </w:p>
        </w:tc>
        <w:tc>
          <w:tcPr>
            <w:tcW w:w="1559" w:type="dxa"/>
            <w:vAlign w:val="bottom"/>
          </w:tcPr>
          <w:p w14:paraId="0F895643" w14:textId="402D0345" w:rsidR="00A947F9" w:rsidRPr="0033269A" w:rsidRDefault="00B97983"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w:t>
            </w:r>
          </w:p>
        </w:tc>
        <w:tc>
          <w:tcPr>
            <w:tcW w:w="1560" w:type="dxa"/>
            <w:vAlign w:val="bottom"/>
          </w:tcPr>
          <w:p w14:paraId="22BF0110" w14:textId="2411865F"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4,8%</w:t>
            </w:r>
          </w:p>
        </w:tc>
        <w:tc>
          <w:tcPr>
            <w:tcW w:w="1417" w:type="dxa"/>
            <w:vAlign w:val="bottom"/>
          </w:tcPr>
          <w:p w14:paraId="1498898C" w14:textId="3389B204" w:rsidR="00A947F9" w:rsidRPr="0033269A" w:rsidRDefault="00A947F9" w:rsidP="00A947F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A947F9" w:rsidRPr="0033269A" w14:paraId="17592287"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8C45CDF" w14:textId="48CE1D05"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Málaga</w:t>
            </w:r>
          </w:p>
        </w:tc>
        <w:tc>
          <w:tcPr>
            <w:tcW w:w="1985" w:type="dxa"/>
            <w:vAlign w:val="bottom"/>
          </w:tcPr>
          <w:p w14:paraId="202BDF29" w14:textId="3C979DAA"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Fuengirola</w:t>
            </w:r>
          </w:p>
        </w:tc>
        <w:tc>
          <w:tcPr>
            <w:tcW w:w="1417" w:type="dxa"/>
            <w:vAlign w:val="bottom"/>
          </w:tcPr>
          <w:p w14:paraId="4E1CDD05" w14:textId="5B7F78D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5,7%</w:t>
            </w:r>
          </w:p>
        </w:tc>
        <w:tc>
          <w:tcPr>
            <w:tcW w:w="1559" w:type="dxa"/>
            <w:vAlign w:val="bottom"/>
          </w:tcPr>
          <w:p w14:paraId="4457DA57" w14:textId="0D4634A6"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4,6%</w:t>
            </w:r>
          </w:p>
        </w:tc>
        <w:tc>
          <w:tcPr>
            <w:tcW w:w="1560" w:type="dxa"/>
            <w:vAlign w:val="bottom"/>
          </w:tcPr>
          <w:p w14:paraId="7960070E" w14:textId="19BB5319"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4,5%</w:t>
            </w:r>
          </w:p>
        </w:tc>
        <w:tc>
          <w:tcPr>
            <w:tcW w:w="1417" w:type="dxa"/>
            <w:vAlign w:val="bottom"/>
          </w:tcPr>
          <w:p w14:paraId="73FBA0EA" w14:textId="4D79FF19"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4,0%</w:t>
            </w:r>
          </w:p>
        </w:tc>
      </w:tr>
      <w:tr w:rsidR="00B97983" w:rsidRPr="0033269A" w14:paraId="0E853C11" w14:textId="77777777" w:rsidTr="00C629D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18E4FB6" w14:textId="6C0D3892" w:rsidR="00B97983" w:rsidRPr="00142BAE" w:rsidRDefault="00B97983" w:rsidP="00B97983">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Alicante</w:t>
            </w:r>
          </w:p>
        </w:tc>
        <w:tc>
          <w:tcPr>
            <w:tcW w:w="1985" w:type="dxa"/>
            <w:vAlign w:val="bottom"/>
          </w:tcPr>
          <w:p w14:paraId="5B94DB92" w14:textId="4A081CBD" w:rsidR="00B97983" w:rsidRPr="00142BAE" w:rsidRDefault="00B97983" w:rsidP="00B9798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Calpe / Calp</w:t>
            </w:r>
          </w:p>
        </w:tc>
        <w:tc>
          <w:tcPr>
            <w:tcW w:w="1417" w:type="dxa"/>
          </w:tcPr>
          <w:p w14:paraId="78B863CD" w14:textId="49E8A83B"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18005A">
              <w:rPr>
                <w:rFonts w:ascii="Open Sans" w:eastAsia="Open Sans" w:hAnsi="Open Sans" w:cs="Open Sans"/>
                <w:color w:val="000000"/>
                <w:sz w:val="20"/>
                <w:szCs w:val="20"/>
              </w:rPr>
              <w:t>-</w:t>
            </w:r>
          </w:p>
        </w:tc>
        <w:tc>
          <w:tcPr>
            <w:tcW w:w="1559" w:type="dxa"/>
          </w:tcPr>
          <w:p w14:paraId="54D9A1AA" w14:textId="7D8AB42D"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sidRPr="0018005A">
              <w:rPr>
                <w:rFonts w:ascii="Open Sans" w:eastAsia="Open Sans" w:hAnsi="Open Sans" w:cs="Open Sans"/>
                <w:color w:val="000000"/>
                <w:sz w:val="20"/>
                <w:szCs w:val="20"/>
              </w:rPr>
              <w:t>-</w:t>
            </w:r>
          </w:p>
        </w:tc>
        <w:tc>
          <w:tcPr>
            <w:tcW w:w="1560" w:type="dxa"/>
            <w:vAlign w:val="bottom"/>
          </w:tcPr>
          <w:p w14:paraId="3C1BC9B4" w14:textId="0C0A92F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3,7%</w:t>
            </w:r>
          </w:p>
        </w:tc>
        <w:tc>
          <w:tcPr>
            <w:tcW w:w="1417" w:type="dxa"/>
            <w:vAlign w:val="bottom"/>
          </w:tcPr>
          <w:p w14:paraId="1115DB28" w14:textId="1948F6F9" w:rsidR="00B97983" w:rsidRPr="0033269A" w:rsidRDefault="00B97983" w:rsidP="00B9798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3,7%</w:t>
            </w:r>
          </w:p>
        </w:tc>
      </w:tr>
      <w:tr w:rsidR="00A947F9" w:rsidRPr="0033269A" w14:paraId="22E38BA6" w14:textId="77777777" w:rsidTr="00C629D4">
        <w:trPr>
          <w:trHeight w:val="272"/>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85E03F0" w14:textId="0431793D" w:rsidR="00A947F9" w:rsidRPr="00142BAE" w:rsidRDefault="00A947F9" w:rsidP="00A947F9">
            <w:pPr>
              <w:rPr>
                <w:rFonts w:ascii="Open Sans" w:hAnsi="Open Sans" w:cs="Open Sans"/>
                <w:b w:val="0"/>
                <w:bCs/>
                <w:color w:val="FFFFFF" w:themeColor="background1"/>
                <w:sz w:val="20"/>
                <w:szCs w:val="20"/>
              </w:rPr>
            </w:pPr>
            <w:r w:rsidRPr="00142BAE">
              <w:rPr>
                <w:rFonts w:ascii="Open Sans" w:hAnsi="Open Sans" w:cs="Open Sans"/>
                <w:b w:val="0"/>
                <w:bCs/>
                <w:color w:val="FFFFFF" w:themeColor="background1"/>
                <w:sz w:val="22"/>
                <w:szCs w:val="22"/>
              </w:rPr>
              <w:t>Gipuzkoa</w:t>
            </w:r>
          </w:p>
        </w:tc>
        <w:tc>
          <w:tcPr>
            <w:tcW w:w="1985" w:type="dxa"/>
            <w:vAlign w:val="bottom"/>
          </w:tcPr>
          <w:p w14:paraId="39C9C4A9" w14:textId="18BAC040" w:rsidR="00A947F9" w:rsidRPr="00142BAE" w:rsidRDefault="00A947F9" w:rsidP="00A947F9">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0"/>
                <w:szCs w:val="20"/>
              </w:rPr>
            </w:pPr>
            <w:r>
              <w:rPr>
                <w:rFonts w:ascii="Open Sans" w:hAnsi="Open Sans" w:cs="Open Sans"/>
                <w:color w:val="000000"/>
                <w:sz w:val="22"/>
                <w:szCs w:val="22"/>
              </w:rPr>
              <w:t>Donostia - San Sebastián</w:t>
            </w:r>
          </w:p>
        </w:tc>
        <w:tc>
          <w:tcPr>
            <w:tcW w:w="1417" w:type="dxa"/>
            <w:vAlign w:val="bottom"/>
          </w:tcPr>
          <w:p w14:paraId="0C8A6343" w14:textId="2C05305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3,5%</w:t>
            </w:r>
          </w:p>
        </w:tc>
        <w:tc>
          <w:tcPr>
            <w:tcW w:w="1559" w:type="dxa"/>
            <w:vAlign w:val="bottom"/>
          </w:tcPr>
          <w:p w14:paraId="340EA8FA" w14:textId="24A284FE"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3,6%</w:t>
            </w:r>
          </w:p>
        </w:tc>
        <w:tc>
          <w:tcPr>
            <w:tcW w:w="1560" w:type="dxa"/>
            <w:vAlign w:val="bottom"/>
          </w:tcPr>
          <w:p w14:paraId="31755C08" w14:textId="45BBB752"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hAnsi="Open Sans" w:cs="Open Sans"/>
                <w:color w:val="000000"/>
                <w:sz w:val="22"/>
                <w:szCs w:val="22"/>
              </w:rPr>
              <w:t>3,7%</w:t>
            </w:r>
          </w:p>
        </w:tc>
        <w:tc>
          <w:tcPr>
            <w:tcW w:w="1417" w:type="dxa"/>
            <w:vAlign w:val="bottom"/>
          </w:tcPr>
          <w:p w14:paraId="7E58773E" w14:textId="0D5DFF05" w:rsidR="00A947F9" w:rsidRPr="0033269A" w:rsidRDefault="00A947F9" w:rsidP="00A947F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0"/>
                <w:szCs w:val="20"/>
              </w:rPr>
            </w:pPr>
            <w:r>
              <w:rPr>
                <w:rFonts w:ascii="Open Sans" w:hAnsi="Open Sans" w:cs="Open Sans"/>
                <w:color w:val="000000"/>
                <w:sz w:val="22"/>
                <w:szCs w:val="22"/>
              </w:rPr>
              <w:t>3,3%</w:t>
            </w:r>
          </w:p>
        </w:tc>
      </w:tr>
    </w:tbl>
    <w:p w14:paraId="3FC8EC36" w14:textId="4377F54F" w:rsidR="00EE57D7" w:rsidRDefault="00EE57D7" w:rsidP="00FA7E2A">
      <w:pPr>
        <w:spacing w:line="276" w:lineRule="auto"/>
        <w:ind w:right="-574"/>
        <w:jc w:val="center"/>
        <w:rPr>
          <w:rFonts w:ascii="Open Sans Light" w:eastAsia="Open Sans Light" w:hAnsi="Open Sans Light" w:cs="Open Sans Light"/>
          <w:b/>
          <w:color w:val="303AB2"/>
        </w:rPr>
      </w:pPr>
    </w:p>
    <w:p w14:paraId="5AFB97A5" w14:textId="77777777" w:rsidR="00DF40B2" w:rsidRDefault="00DF40B2" w:rsidP="00DF40B2">
      <w:pPr>
        <w:spacing w:line="276" w:lineRule="auto"/>
        <w:ind w:right="-716"/>
        <w:jc w:val="right"/>
        <w:rPr>
          <w:rFonts w:ascii="Open Sans Light" w:eastAsia="Open Sans Light" w:hAnsi="Open Sans Light" w:cs="Open Sans Light"/>
          <w:b/>
          <w:color w:val="303AB2"/>
        </w:rPr>
      </w:pPr>
    </w:p>
    <w:p w14:paraId="05EC8027" w14:textId="4E84E2BF" w:rsidR="00DF40B2" w:rsidRDefault="00DF40B2" w:rsidP="00DF40B2">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5CFCFD42" w14:textId="77777777" w:rsidR="00DF40B2" w:rsidRDefault="00DF40B2" w:rsidP="00DF40B2">
      <w:pPr>
        <w:shd w:val="clear" w:color="auto" w:fill="FFFFFF"/>
        <w:spacing w:before="280" w:after="280" w:line="276" w:lineRule="auto"/>
        <w:ind w:right="-716"/>
        <w:jc w:val="both"/>
        <w:rPr>
          <w:rFonts w:ascii="Open Sans" w:eastAsia="Open Sans" w:hAnsi="Open Sans" w:cs="Open Sans"/>
          <w:sz w:val="22"/>
          <w:szCs w:val="22"/>
        </w:rPr>
      </w:pPr>
      <w:r>
        <w:rPr>
          <w:rFonts w:ascii="Open Sans" w:eastAsia="Open Sans" w:hAnsi="Open Sans" w:cs="Open Sans"/>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4">
        <w:r>
          <w:rPr>
            <w:rFonts w:ascii="Open Sans" w:eastAsia="Open Sans" w:hAnsi="Open Sans" w:cs="Open Sans"/>
            <w:color w:val="0000FF"/>
            <w:sz w:val="22"/>
            <w:szCs w:val="22"/>
            <w:u w:val="single"/>
          </w:rPr>
          <w:t>índice inmobiliario Fotocasa</w:t>
        </w:r>
      </w:hyperlink>
      <w:r>
        <w:rPr>
          <w:rFonts w:ascii="Open Sans" w:eastAsia="Open Sans" w:hAnsi="Open Sans" w:cs="Open Sans"/>
          <w:sz w:val="22"/>
          <w:szCs w:val="22"/>
        </w:rPr>
        <w:t xml:space="preserve">, un informe de referencia sobre la evolución del precio medio de la vivienda en España, tanto en venta como en alquiler. </w:t>
      </w:r>
    </w:p>
    <w:p w14:paraId="708CA371" w14:textId="77777777" w:rsidR="00DF40B2" w:rsidRDefault="00DF40B2" w:rsidP="00DF40B2">
      <w:pPr>
        <w:shd w:val="clear" w:color="auto" w:fill="FFFFFF"/>
        <w:spacing w:before="280" w:after="280" w:line="276" w:lineRule="auto"/>
        <w:ind w:right="-716"/>
        <w:jc w:val="both"/>
        <w:rPr>
          <w:rFonts w:ascii="Open Sans" w:eastAsia="Open Sans" w:hAnsi="Open Sans" w:cs="Open Sans"/>
          <w:sz w:val="22"/>
          <w:szCs w:val="22"/>
        </w:rPr>
      </w:pPr>
      <w:r>
        <w:rPr>
          <w:rFonts w:ascii="Open Sans" w:eastAsia="Open Sans" w:hAnsi="Open Sans" w:cs="Open Sans"/>
          <w:sz w:val="22"/>
          <w:szCs w:val="22"/>
        </w:rPr>
        <w:t xml:space="preserve">Toda nuestra información la puedes encontrar en nuestra </w:t>
      </w:r>
      <w:hyperlink r:id="rId15">
        <w:r>
          <w:rPr>
            <w:rFonts w:ascii="Open Sans" w:eastAsia="Open Sans" w:hAnsi="Open Sans" w:cs="Open Sans"/>
            <w:color w:val="0000FF"/>
            <w:sz w:val="22"/>
            <w:szCs w:val="22"/>
            <w:u w:val="single"/>
          </w:rPr>
          <w:t>Sala de Prensa</w:t>
        </w:r>
      </w:hyperlink>
      <w:r>
        <w:rPr>
          <w:rFonts w:ascii="Open Sans" w:eastAsia="Open Sans" w:hAnsi="Open Sans" w:cs="Open Sans"/>
          <w:sz w:val="22"/>
          <w:szCs w:val="22"/>
        </w:rPr>
        <w:t xml:space="preserve">. </w:t>
      </w:r>
    </w:p>
    <w:p w14:paraId="5E67176A" w14:textId="77777777" w:rsidR="00DF40B2" w:rsidRDefault="00DF40B2" w:rsidP="00DF40B2">
      <w:pPr>
        <w:shd w:val="clear" w:color="auto" w:fill="FFFFFF"/>
        <w:spacing w:before="280" w:after="280" w:line="276" w:lineRule="auto"/>
        <w:ind w:right="-716"/>
        <w:jc w:val="both"/>
        <w:rPr>
          <w:rFonts w:ascii="Open Sans" w:eastAsia="Open Sans" w:hAnsi="Open Sans" w:cs="Open Sans"/>
          <w:sz w:val="22"/>
          <w:szCs w:val="22"/>
        </w:rPr>
      </w:pPr>
      <w:hyperlink r:id="rId16">
        <w:r>
          <w:rPr>
            <w:rFonts w:ascii="Open Sans" w:eastAsia="Open Sans" w:hAnsi="Open Sans" w:cs="Open Sans"/>
            <w:color w:val="0000FF"/>
            <w:sz w:val="22"/>
            <w:szCs w:val="22"/>
            <w:u w:val="single"/>
          </w:rPr>
          <w:t>Más información sobre Fotocasa</w:t>
        </w:r>
      </w:hyperlink>
      <w:r>
        <w:rPr>
          <w:rFonts w:ascii="Open Sans" w:eastAsia="Open Sans" w:hAnsi="Open Sans" w:cs="Open Sans"/>
          <w:sz w:val="22"/>
          <w:szCs w:val="22"/>
        </w:rPr>
        <w:t xml:space="preserve">. </w:t>
      </w:r>
    </w:p>
    <w:p w14:paraId="33FA36F8" w14:textId="77777777" w:rsidR="00DF40B2" w:rsidRDefault="00DF40B2" w:rsidP="00DF40B2">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p>
    <w:p w14:paraId="211B8C6E" w14:textId="77777777" w:rsidR="00DF40B2" w:rsidRDefault="00DF40B2" w:rsidP="00DF40B2">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es un grupo de empresas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únicos al mes en sus plataformas de los sectores inmobiliario (</w:t>
      </w:r>
      <w:hyperlink r:id="rId17">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8">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19">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0">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fldChar w:fldCharType="end"/>
      </w:r>
      <w:r>
        <w:rPr>
          <w:rFonts w:ascii="Open Sans" w:eastAsia="Open Sans" w:hAnsi="Open Sans" w:cs="Open Sans"/>
          <w:sz w:val="22"/>
          <w:szCs w:val="22"/>
        </w:rPr>
        <w:t>).</w:t>
      </w:r>
    </w:p>
    <w:p w14:paraId="38E7249D" w14:textId="77777777" w:rsidR="00DF40B2" w:rsidRDefault="00DF40B2" w:rsidP="00DF40B2">
      <w:pPr>
        <w:spacing w:before="143" w:after="200"/>
        <w:ind w:right="-716"/>
        <w:jc w:val="both"/>
        <w:rPr>
          <w:rFonts w:ascii="Open Sans" w:eastAsia="Open Sans" w:hAnsi="Open Sans" w:cs="Open Sans"/>
          <w:sz w:val="22"/>
          <w:szCs w:val="22"/>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14:paraId="16746DE9" w14:textId="77777777" w:rsidR="00DF40B2" w:rsidRDefault="00DF40B2" w:rsidP="00DF40B2">
      <w:pPr>
        <w:spacing w:before="143" w:after="200"/>
        <w:ind w:right="-716"/>
        <w:jc w:val="both"/>
        <w:rPr>
          <w:rFonts w:ascii="Open Sans" w:eastAsia="Open Sans" w:hAnsi="Open Sans" w:cs="Open Sans"/>
          <w:sz w:val="22"/>
          <w:szCs w:val="22"/>
        </w:rPr>
      </w:pPr>
      <w:proofErr w:type="spellStart"/>
      <w:r>
        <w:rPr>
          <w:rFonts w:ascii="Open Sans" w:eastAsia="Open Sans" w:hAnsi="Open Sans" w:cs="Open Sans"/>
          <w:sz w:val="22"/>
          <w:szCs w:val="22"/>
        </w:rPr>
        <w:lastRenderedPageBreak/>
        <w:t>Adevinta</w:t>
      </w:r>
      <w:proofErr w:type="spellEnd"/>
      <w:r>
        <w:rPr>
          <w:rFonts w:ascii="Open Sans" w:eastAsia="Open Sans" w:hAnsi="Open Sans" w:cs="Open Sans"/>
          <w:sz w:val="22"/>
          <w:szCs w:val="22"/>
        </w:rPr>
        <w:t xml:space="preserve"> tiene presencia mundial en 10 países. El conjunto de sus plataformas locales recibe un promedio de 2.500 millones de visitas cada mes. </w:t>
      </w:r>
    </w:p>
    <w:p w14:paraId="0BA93314" w14:textId="77777777" w:rsidR="00DF40B2" w:rsidRDefault="00DF40B2" w:rsidP="00DF40B2">
      <w:pPr>
        <w:spacing w:before="143" w:after="200"/>
        <w:ind w:right="-716"/>
        <w:jc w:val="both"/>
      </w:pPr>
      <w:r>
        <w:rPr>
          <w:rFonts w:ascii="Open Sans" w:eastAsia="Open Sans" w:hAnsi="Open Sans" w:cs="Open Sans"/>
          <w:sz w:val="22"/>
          <w:szCs w:val="22"/>
        </w:rPr>
        <w:t xml:space="preserve">Más información en </w:t>
      </w:r>
      <w:hyperlink r:id="rId22">
        <w:r>
          <w:rPr>
            <w:rFonts w:ascii="Open Sans" w:eastAsia="Open Sans" w:hAnsi="Open Sans" w:cs="Open Sans"/>
            <w:color w:val="1155CC"/>
            <w:sz w:val="22"/>
            <w:szCs w:val="22"/>
            <w:u w:val="single"/>
          </w:rPr>
          <w:t>adevinta.es</w:t>
        </w:r>
      </w:hyperlink>
    </w:p>
    <w:p w14:paraId="751938EA" w14:textId="77777777" w:rsidR="00DF40B2" w:rsidRDefault="00DF40B2" w:rsidP="00DF40B2">
      <w:pPr>
        <w:spacing w:before="143" w:after="200"/>
        <w:ind w:right="-716"/>
        <w:jc w:val="both"/>
        <w:rPr>
          <w:rFonts w:ascii="Open Sans" w:eastAsia="Open Sans" w:hAnsi="Open Sans" w:cs="Open Sans"/>
        </w:rPr>
      </w:pPr>
    </w:p>
    <w:p w14:paraId="63A9611E" w14:textId="77777777" w:rsidR="00DF40B2" w:rsidRDefault="00DF40B2" w:rsidP="00DF40B2">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73FF9C54" w14:textId="77777777" w:rsidR="00DF40B2" w:rsidRDefault="00DF40B2" w:rsidP="00DF40B2">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301D39F4" w14:textId="77777777" w:rsidR="00DF40B2" w:rsidRDefault="00DF40B2" w:rsidP="00DF40B2">
      <w:pPr>
        <w:shd w:val="clear" w:color="auto" w:fill="FFFFFF"/>
        <w:spacing w:line="276" w:lineRule="auto"/>
        <w:ind w:right="-716"/>
        <w:rPr>
          <w:rFonts w:ascii="Open Sans" w:eastAsia="Open Sans" w:hAnsi="Open Sans" w:cs="Open Sans"/>
          <w:color w:val="0000FF"/>
          <w:sz w:val="22"/>
          <w:szCs w:val="22"/>
          <w:u w:val="single"/>
        </w:rPr>
      </w:pPr>
      <w:hyperlink r:id="rId23">
        <w:r>
          <w:rPr>
            <w:rFonts w:ascii="Open Sans" w:eastAsia="Open Sans" w:hAnsi="Open Sans" w:cs="Open Sans"/>
            <w:color w:val="0000FF"/>
            <w:sz w:val="22"/>
            <w:szCs w:val="22"/>
            <w:u w:val="single"/>
          </w:rPr>
          <w:t>comunicacion@fotocasa.es</w:t>
        </w:r>
      </w:hyperlink>
    </w:p>
    <w:p w14:paraId="6C450DCB" w14:textId="77777777" w:rsidR="00DF40B2" w:rsidRDefault="00DF40B2" w:rsidP="00DF40B2">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47FE37EB" w14:textId="761E5D41" w:rsidR="00EE57D7" w:rsidRDefault="00EE57D7" w:rsidP="00DF40B2">
      <w:pPr>
        <w:spacing w:line="276" w:lineRule="auto"/>
        <w:ind w:right="-716"/>
        <w:jc w:val="right"/>
        <w:rPr>
          <w:rFonts w:ascii="Open Sans" w:eastAsia="Open Sans" w:hAnsi="Open Sans" w:cs="Open Sans"/>
          <w:color w:val="000000"/>
          <w:sz w:val="21"/>
          <w:szCs w:val="21"/>
        </w:rPr>
      </w:pPr>
    </w:p>
    <w:sectPr w:rsidR="00EE57D7">
      <w:footerReference w:type="default" r:id="rId24"/>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32FFE" w14:textId="77777777" w:rsidR="00D87969" w:rsidRDefault="00D87969">
      <w:r>
        <w:separator/>
      </w:r>
    </w:p>
  </w:endnote>
  <w:endnote w:type="continuationSeparator" w:id="0">
    <w:p w14:paraId="31392E1C" w14:textId="77777777" w:rsidR="00D87969" w:rsidRDefault="00D8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orbel"/>
    <w:charset w:val="00"/>
    <w:family w:val="auto"/>
    <w:pitch w:val="default"/>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D884" w14:textId="77777777" w:rsidR="00EE57D7" w:rsidRDefault="0092484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7A2444B5" wp14:editId="5C6CD8C0">
          <wp:simplePos x="0" y="0"/>
          <wp:positionH relativeFrom="column">
            <wp:posOffset>-1068069</wp:posOffset>
          </wp:positionH>
          <wp:positionV relativeFrom="paragraph">
            <wp:posOffset>174608</wp:posOffset>
          </wp:positionV>
          <wp:extent cx="7670550" cy="4513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3436" w14:textId="77777777" w:rsidR="00D87969" w:rsidRDefault="00D87969">
      <w:r>
        <w:separator/>
      </w:r>
    </w:p>
  </w:footnote>
  <w:footnote w:type="continuationSeparator" w:id="0">
    <w:p w14:paraId="22EA77B4" w14:textId="77777777" w:rsidR="00D87969" w:rsidRDefault="00D8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502E6"/>
    <w:multiLevelType w:val="multilevel"/>
    <w:tmpl w:val="D8CA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56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D7"/>
    <w:rsid w:val="00002C83"/>
    <w:rsid w:val="000079A5"/>
    <w:rsid w:val="000240AA"/>
    <w:rsid w:val="000427EB"/>
    <w:rsid w:val="000428D2"/>
    <w:rsid w:val="00083B37"/>
    <w:rsid w:val="00087F96"/>
    <w:rsid w:val="00094753"/>
    <w:rsid w:val="000D5E58"/>
    <w:rsid w:val="000E6D38"/>
    <w:rsid w:val="000F64EC"/>
    <w:rsid w:val="000F7B54"/>
    <w:rsid w:val="001245E8"/>
    <w:rsid w:val="0014003D"/>
    <w:rsid w:val="00140F5E"/>
    <w:rsid w:val="0014158E"/>
    <w:rsid w:val="00142BAE"/>
    <w:rsid w:val="00155315"/>
    <w:rsid w:val="00167A9A"/>
    <w:rsid w:val="00173BE4"/>
    <w:rsid w:val="001908E6"/>
    <w:rsid w:val="001A2B37"/>
    <w:rsid w:val="001D4C83"/>
    <w:rsid w:val="001D51C1"/>
    <w:rsid w:val="00215606"/>
    <w:rsid w:val="00222B28"/>
    <w:rsid w:val="002348A5"/>
    <w:rsid w:val="00251E97"/>
    <w:rsid w:val="00276373"/>
    <w:rsid w:val="00280132"/>
    <w:rsid w:val="002A7730"/>
    <w:rsid w:val="002C5D29"/>
    <w:rsid w:val="002F529C"/>
    <w:rsid w:val="00304519"/>
    <w:rsid w:val="00330440"/>
    <w:rsid w:val="0033269A"/>
    <w:rsid w:val="00340653"/>
    <w:rsid w:val="003432E4"/>
    <w:rsid w:val="00343AD6"/>
    <w:rsid w:val="00344758"/>
    <w:rsid w:val="00377AAA"/>
    <w:rsid w:val="00392AFF"/>
    <w:rsid w:val="00393FAE"/>
    <w:rsid w:val="0039459F"/>
    <w:rsid w:val="003A2249"/>
    <w:rsid w:val="003A6912"/>
    <w:rsid w:val="003B3E02"/>
    <w:rsid w:val="003D1C36"/>
    <w:rsid w:val="003D1FA2"/>
    <w:rsid w:val="003F62C5"/>
    <w:rsid w:val="00406881"/>
    <w:rsid w:val="004333A5"/>
    <w:rsid w:val="00445049"/>
    <w:rsid w:val="00446F66"/>
    <w:rsid w:val="00457BE3"/>
    <w:rsid w:val="00473512"/>
    <w:rsid w:val="004B09AC"/>
    <w:rsid w:val="004B53E3"/>
    <w:rsid w:val="004C0882"/>
    <w:rsid w:val="004C45CA"/>
    <w:rsid w:val="004E40EC"/>
    <w:rsid w:val="00500C86"/>
    <w:rsid w:val="00503B95"/>
    <w:rsid w:val="00523142"/>
    <w:rsid w:val="00535E4D"/>
    <w:rsid w:val="0054423C"/>
    <w:rsid w:val="00583B8A"/>
    <w:rsid w:val="005954EF"/>
    <w:rsid w:val="005A3A4F"/>
    <w:rsid w:val="006631F1"/>
    <w:rsid w:val="006703B9"/>
    <w:rsid w:val="00695CF3"/>
    <w:rsid w:val="006B456F"/>
    <w:rsid w:val="006C3BEB"/>
    <w:rsid w:val="006C615D"/>
    <w:rsid w:val="006D4178"/>
    <w:rsid w:val="006E69F0"/>
    <w:rsid w:val="006F7B8A"/>
    <w:rsid w:val="007131B6"/>
    <w:rsid w:val="00733184"/>
    <w:rsid w:val="00735E2D"/>
    <w:rsid w:val="0076517F"/>
    <w:rsid w:val="00772183"/>
    <w:rsid w:val="00775372"/>
    <w:rsid w:val="00776E3E"/>
    <w:rsid w:val="007C49D2"/>
    <w:rsid w:val="007C5ECF"/>
    <w:rsid w:val="007D2074"/>
    <w:rsid w:val="007D3B2C"/>
    <w:rsid w:val="007E2C31"/>
    <w:rsid w:val="0083160F"/>
    <w:rsid w:val="00837956"/>
    <w:rsid w:val="0084284E"/>
    <w:rsid w:val="00896007"/>
    <w:rsid w:val="008A073D"/>
    <w:rsid w:val="008B6210"/>
    <w:rsid w:val="008D2CCC"/>
    <w:rsid w:val="008F67A7"/>
    <w:rsid w:val="0090665A"/>
    <w:rsid w:val="00907B47"/>
    <w:rsid w:val="00912478"/>
    <w:rsid w:val="00924841"/>
    <w:rsid w:val="009358C0"/>
    <w:rsid w:val="009364DB"/>
    <w:rsid w:val="00942BB6"/>
    <w:rsid w:val="00975390"/>
    <w:rsid w:val="00976C1C"/>
    <w:rsid w:val="0098570C"/>
    <w:rsid w:val="0099233F"/>
    <w:rsid w:val="009B41B5"/>
    <w:rsid w:val="009C32B7"/>
    <w:rsid w:val="009D0A36"/>
    <w:rsid w:val="009E0370"/>
    <w:rsid w:val="009F10A1"/>
    <w:rsid w:val="009F19B8"/>
    <w:rsid w:val="00A05EF2"/>
    <w:rsid w:val="00A20A45"/>
    <w:rsid w:val="00A31D0C"/>
    <w:rsid w:val="00A3222F"/>
    <w:rsid w:val="00A3301E"/>
    <w:rsid w:val="00A33333"/>
    <w:rsid w:val="00A378A8"/>
    <w:rsid w:val="00A4587B"/>
    <w:rsid w:val="00A947F9"/>
    <w:rsid w:val="00AA351F"/>
    <w:rsid w:val="00AB4E61"/>
    <w:rsid w:val="00AC10EE"/>
    <w:rsid w:val="00AF7801"/>
    <w:rsid w:val="00AF7B19"/>
    <w:rsid w:val="00B009BA"/>
    <w:rsid w:val="00B117A4"/>
    <w:rsid w:val="00B15640"/>
    <w:rsid w:val="00B16B72"/>
    <w:rsid w:val="00B254AB"/>
    <w:rsid w:val="00B26E88"/>
    <w:rsid w:val="00B70A08"/>
    <w:rsid w:val="00B972EC"/>
    <w:rsid w:val="00B97983"/>
    <w:rsid w:val="00B97E74"/>
    <w:rsid w:val="00BC6EB5"/>
    <w:rsid w:val="00BE1B02"/>
    <w:rsid w:val="00C06467"/>
    <w:rsid w:val="00C22B20"/>
    <w:rsid w:val="00C45817"/>
    <w:rsid w:val="00C61626"/>
    <w:rsid w:val="00C61DC8"/>
    <w:rsid w:val="00C629D4"/>
    <w:rsid w:val="00C66574"/>
    <w:rsid w:val="00C730CE"/>
    <w:rsid w:val="00C965DC"/>
    <w:rsid w:val="00CA6A5C"/>
    <w:rsid w:val="00CB0892"/>
    <w:rsid w:val="00CD099D"/>
    <w:rsid w:val="00CD4D28"/>
    <w:rsid w:val="00CE51EA"/>
    <w:rsid w:val="00CF0020"/>
    <w:rsid w:val="00D07FB5"/>
    <w:rsid w:val="00D20169"/>
    <w:rsid w:val="00D25E00"/>
    <w:rsid w:val="00D37AB0"/>
    <w:rsid w:val="00D47754"/>
    <w:rsid w:val="00D67B5B"/>
    <w:rsid w:val="00D730AF"/>
    <w:rsid w:val="00D73ACD"/>
    <w:rsid w:val="00D77610"/>
    <w:rsid w:val="00D86954"/>
    <w:rsid w:val="00D87969"/>
    <w:rsid w:val="00DA7B6F"/>
    <w:rsid w:val="00DC1AFC"/>
    <w:rsid w:val="00DD22B5"/>
    <w:rsid w:val="00DD5442"/>
    <w:rsid w:val="00DE615B"/>
    <w:rsid w:val="00DF40B2"/>
    <w:rsid w:val="00E04B49"/>
    <w:rsid w:val="00E2130C"/>
    <w:rsid w:val="00E25D36"/>
    <w:rsid w:val="00E378F6"/>
    <w:rsid w:val="00E41D86"/>
    <w:rsid w:val="00E622D1"/>
    <w:rsid w:val="00E6467F"/>
    <w:rsid w:val="00E7524D"/>
    <w:rsid w:val="00E779E7"/>
    <w:rsid w:val="00EA2602"/>
    <w:rsid w:val="00EC3255"/>
    <w:rsid w:val="00EE57D7"/>
    <w:rsid w:val="00EF161A"/>
    <w:rsid w:val="00EF4F2F"/>
    <w:rsid w:val="00EF56B0"/>
    <w:rsid w:val="00F1309D"/>
    <w:rsid w:val="00F3433E"/>
    <w:rsid w:val="00F37D6B"/>
    <w:rsid w:val="00F41A86"/>
    <w:rsid w:val="00F72E19"/>
    <w:rsid w:val="00F80F52"/>
    <w:rsid w:val="00F8507E"/>
    <w:rsid w:val="00FA5F6E"/>
    <w:rsid w:val="00FA7E2A"/>
    <w:rsid w:val="00FB4E01"/>
    <w:rsid w:val="00FB5A79"/>
    <w:rsid w:val="00FC4148"/>
    <w:rsid w:val="00FC5269"/>
    <w:rsid w:val="00FD2264"/>
    <w:rsid w:val="00FD327B"/>
    <w:rsid w:val="00FE017C"/>
    <w:rsid w:val="00FE4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5362"/>
  <w15:docId w15:val="{A78AE119-9889-42EE-A3C9-50FC4068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2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basedOn w:val="Fuentedeprrafopredeter"/>
    <w:link w:val="Textocomentario"/>
    <w:uiPriority w:val="99"/>
    <w:semiHidden/>
    <w:rsid w:val="00964BED"/>
    <w:rPr>
      <w:sz w:val="20"/>
      <w:szCs w:val="20"/>
    </w:rPr>
  </w:style>
  <w:style w:type="character" w:styleId="Mencinsinresolver">
    <w:name w:val="Unresolved Mention"/>
    <w:basedOn w:val="Fuentedeprrafopredeter"/>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exto">
    <w:name w:val="Texto"/>
    <w:basedOn w:val="Normal"/>
    <w:uiPriority w:val="99"/>
    <w:rsid w:val="0014415E"/>
    <w:rPr>
      <w:rFonts w:ascii="Gill Sans MT" w:eastAsia="Times New Roman" w:hAnsi="Gill Sans MT" w:cs="Arial"/>
      <w:sz w:val="22"/>
      <w:szCs w:val="22"/>
      <w:lang w:val="pt-BR"/>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rPr>
  </w:style>
  <w:style w:type="character" w:styleId="nfasis">
    <w:name w:val="Emphasis"/>
    <w:qFormat/>
    <w:rsid w:val="0014415E"/>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www.habitacli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tos.coches.net/"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fotocasa.e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ocasa.es/es/quienes-somos/" TargetMode="External"/><Relationship Id="rId20" Type="http://schemas.openxmlformats.org/officeDocument/2006/relationships/hyperlink" Target="https://www.coch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ensa.fotocasa.es" TargetMode="External"/><Relationship Id="rId23" Type="http://schemas.openxmlformats.org/officeDocument/2006/relationships/hyperlink" Target="mailto:comunicacion@fotocasa.es" TargetMode="External"/><Relationship Id="rId10" Type="http://schemas.openxmlformats.org/officeDocument/2006/relationships/hyperlink" Target="https://www.fotocasa.es" TargetMode="External"/><Relationship Id="rId19" Type="http://schemas.openxmlformats.org/officeDocument/2006/relationships/hyperlink" Target="https://www.infojobs.net/" TargetMode="Externa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hyperlink" Target="https://www.fotocasa.es/indice/" TargetMode="External"/><Relationship Id="rId22" Type="http://schemas.openxmlformats.org/officeDocument/2006/relationships/hyperlink" Target="http://adevinta.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I:\Mi%20unidad\01-SCHIBSTED\04-ESTUDIO%20NdP\VIVIENDA%20COSTAS%20ESPA&#209;A\JUNIO%202025\PRENSA%20RENTABILIDAD%20COSTAS%20JUNIO%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I:\Mi%20unidad\01-SCHIBSTED\04-ESTUDIO%20NdP\VIVIENDA%20COSTAS%20ESPA&#209;A\JUNIO%202025\PRENSA%20RENTABILIDAD%20COSTAS%20JUNIO%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[PRENSA RENTABILIDAD COSTAS JUNIO 2025.xlsx]Hoja3!TablaDinámica1</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pivotFmt>
      <c:pivotFmt>
        <c:idx val="2"/>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3.022980019979583E-2"/>
          <c:y val="4.0192350070259349E-2"/>
          <c:w val="0.95065150909135199"/>
          <c:h val="0.59529247370538541"/>
        </c:manualLayout>
      </c:layout>
      <c:barChart>
        <c:barDir val="col"/>
        <c:grouping val="clustered"/>
        <c:varyColors val="0"/>
        <c:ser>
          <c:idx val="0"/>
          <c:order val="0"/>
          <c:tx>
            <c:strRef>
              <c:f>Hoja3!$B$3</c:f>
              <c:strCache>
                <c:ptCount val="1"/>
                <c:pt idx="0">
                  <c:v>Total</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Hoja3!$A$4:$A$18</c:f>
              <c:strCache>
                <c:ptCount val="15"/>
                <c:pt idx="0">
                  <c:v>Adra</c:v>
                </c:pt>
                <c:pt idx="1">
                  <c:v>San Javier</c:v>
                </c:pt>
                <c:pt idx="2">
                  <c:v>La Línea de la Concepción</c:v>
                </c:pt>
                <c:pt idx="3">
                  <c:v>Mazarrón</c:v>
                </c:pt>
                <c:pt idx="4">
                  <c:v>Laredo</c:v>
                </c:pt>
                <c:pt idx="5">
                  <c:v>L'Hospitalet de Llobregat</c:v>
                </c:pt>
                <c:pt idx="6">
                  <c:v>Ferrol</c:v>
                </c:pt>
                <c:pt idx="7">
                  <c:v>Ribeira</c:v>
                </c:pt>
                <c:pt idx="8">
                  <c:v>Sagunto / Sagunt</c:v>
                </c:pt>
                <c:pt idx="9">
                  <c:v>Badalona</c:v>
                </c:pt>
                <c:pt idx="10">
                  <c:v>Foz</c:v>
                </c:pt>
                <c:pt idx="11">
                  <c:v>Mataró</c:v>
                </c:pt>
                <c:pt idx="12">
                  <c:v>Cullera</c:v>
                </c:pt>
                <c:pt idx="13">
                  <c:v>Algeciras</c:v>
                </c:pt>
                <c:pt idx="14">
                  <c:v>Gandia</c:v>
                </c:pt>
              </c:strCache>
            </c:strRef>
          </c:cat>
          <c:val>
            <c:numRef>
              <c:f>Hoja3!$B$4:$B$18</c:f>
              <c:numCache>
                <c:formatCode>0.0%</c:formatCode>
                <c:ptCount val="15"/>
                <c:pt idx="0">
                  <c:v>0.1370244906559476</c:v>
                </c:pt>
                <c:pt idx="1">
                  <c:v>0.10008877931272372</c:v>
                </c:pt>
                <c:pt idx="2">
                  <c:v>9.3549276904283399E-2</c:v>
                </c:pt>
                <c:pt idx="3">
                  <c:v>9.3179963675607366E-2</c:v>
                </c:pt>
                <c:pt idx="4">
                  <c:v>9.2308393606029299E-2</c:v>
                </c:pt>
                <c:pt idx="5">
                  <c:v>8.8336195108986437E-2</c:v>
                </c:pt>
                <c:pt idx="6">
                  <c:v>8.6948339136162608E-2</c:v>
                </c:pt>
                <c:pt idx="7">
                  <c:v>8.6575875486381321E-2</c:v>
                </c:pt>
                <c:pt idx="8">
                  <c:v>8.5130109319113342E-2</c:v>
                </c:pt>
                <c:pt idx="9">
                  <c:v>8.3228074447200637E-2</c:v>
                </c:pt>
                <c:pt idx="10">
                  <c:v>8.1404726660201099E-2</c:v>
                </c:pt>
                <c:pt idx="11">
                  <c:v>7.7472023991336458E-2</c:v>
                </c:pt>
                <c:pt idx="12">
                  <c:v>7.7231815454363625E-2</c:v>
                </c:pt>
                <c:pt idx="13">
                  <c:v>7.6649133950427842E-2</c:v>
                </c:pt>
                <c:pt idx="14">
                  <c:v>7.6109628026050938E-2</c:v>
                </c:pt>
              </c:numCache>
            </c:numRef>
          </c:val>
          <c:extLst>
            <c:ext xmlns:c16="http://schemas.microsoft.com/office/drawing/2014/chart" uri="{C3380CC4-5D6E-409C-BE32-E72D297353CC}">
              <c16:uniqueId val="{00000000-4CAD-4A09-AAA0-C8A78E1D233A}"/>
            </c:ext>
          </c:extLst>
        </c:ser>
        <c:dLbls>
          <c:showLegendKey val="0"/>
          <c:showVal val="0"/>
          <c:showCatName val="0"/>
          <c:showSerName val="0"/>
          <c:showPercent val="0"/>
          <c:showBubbleSize val="0"/>
        </c:dLbls>
        <c:gapWidth val="100"/>
        <c:overlap val="22"/>
        <c:axId val="227901631"/>
        <c:axId val="227902047"/>
      </c:barChart>
      <c:catAx>
        <c:axId val="227901631"/>
        <c:scaling>
          <c:orientation val="minMax"/>
        </c:scaling>
        <c:delete val="0"/>
        <c:axPos val="b"/>
        <c:numFmt formatCode="General" sourceLinked="1"/>
        <c:majorTickMark val="cross"/>
        <c:minorTickMark val="none"/>
        <c:tickLblPos val="nextTo"/>
        <c:spPr>
          <a:noFill/>
          <a:ln w="9525" cap="sq"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227902047"/>
        <c:crosses val="autoZero"/>
        <c:auto val="1"/>
        <c:lblAlgn val="ctr"/>
        <c:lblOffset val="100"/>
        <c:noMultiLvlLbl val="0"/>
      </c:catAx>
      <c:valAx>
        <c:axId val="227902047"/>
        <c:scaling>
          <c:orientation val="minMax"/>
        </c:scaling>
        <c:delete val="1"/>
        <c:axPos val="l"/>
        <c:numFmt formatCode="0%" sourceLinked="0"/>
        <c:majorTickMark val="none"/>
        <c:minorTickMark val="none"/>
        <c:tickLblPos val="nextTo"/>
        <c:crossAx val="227901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[PRENSA RENTABILIDAD COSTAS JUNIO 2025.xlsx]Hoja3!TablaDinámica4</c:name>
    <c:fmtId val="-1"/>
  </c:pivotSource>
  <c:chart>
    <c:autoTitleDeleted val="1"/>
    <c:pivotFmts>
      <c:pivotFmt>
        <c:idx val="0"/>
        <c:spPr>
          <a:solidFill>
            <a:schemeClr val="accent1"/>
          </a:solidFill>
          <a:ln>
            <a:noFill/>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pivotFmt>
      <c:pivotFmt>
        <c:idx val="2"/>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tx2">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0184645348948969E-2"/>
          <c:y val="6.312623128805446E-2"/>
          <c:w val="0.90275107456502246"/>
          <c:h val="0.57805323108668893"/>
        </c:manualLayout>
      </c:layout>
      <c:barChart>
        <c:barDir val="col"/>
        <c:grouping val="clustered"/>
        <c:varyColors val="0"/>
        <c:ser>
          <c:idx val="0"/>
          <c:order val="0"/>
          <c:tx>
            <c:strRef>
              <c:f>Hoja3!$B$34</c:f>
              <c:strCache>
                <c:ptCount val="1"/>
                <c:pt idx="0">
                  <c:v>Total</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Hoja3!$A$35:$A$49</c:f>
              <c:strCache>
                <c:ptCount val="15"/>
                <c:pt idx="0">
                  <c:v>Donostia - San Sebastián</c:v>
                </c:pt>
                <c:pt idx="1">
                  <c:v>Calpe / Calp</c:v>
                </c:pt>
                <c:pt idx="2">
                  <c:v>Fuengirola</c:v>
                </c:pt>
                <c:pt idx="3">
                  <c:v>Dénia</c:v>
                </c:pt>
                <c:pt idx="4">
                  <c:v>Conil de la Frontera</c:v>
                </c:pt>
                <c:pt idx="5">
                  <c:v>Marbella</c:v>
                </c:pt>
                <c:pt idx="6">
                  <c:v>Getxo</c:v>
                </c:pt>
                <c:pt idx="7">
                  <c:v>Pontevedra Capital</c:v>
                </c:pt>
                <c:pt idx="8">
                  <c:v>Sitges</c:v>
                </c:pt>
                <c:pt idx="9">
                  <c:v>Almuñécar</c:v>
                </c:pt>
                <c:pt idx="10">
                  <c:v>Calvià</c:v>
                </c:pt>
                <c:pt idx="11">
                  <c:v>Rincón de la Victoria</c:v>
                </c:pt>
                <c:pt idx="12">
                  <c:v>Palma de Mallorca</c:v>
                </c:pt>
                <c:pt idx="13">
                  <c:v>Vigo</c:v>
                </c:pt>
                <c:pt idx="14">
                  <c:v>Orihuela</c:v>
                </c:pt>
              </c:strCache>
            </c:strRef>
          </c:cat>
          <c:val>
            <c:numRef>
              <c:f>Hoja3!$B$35:$B$49</c:f>
              <c:numCache>
                <c:formatCode>0.0%</c:formatCode>
                <c:ptCount val="15"/>
                <c:pt idx="0">
                  <c:v>3.326010563853251E-2</c:v>
                </c:pt>
                <c:pt idx="1">
                  <c:v>3.6625039353552324E-2</c:v>
                </c:pt>
                <c:pt idx="2">
                  <c:v>3.9807858728506389E-2</c:v>
                </c:pt>
                <c:pt idx="3">
                  <c:v>3.9816788599938785E-2</c:v>
                </c:pt>
                <c:pt idx="4">
                  <c:v>4.0022171193285293E-2</c:v>
                </c:pt>
                <c:pt idx="5">
                  <c:v>4.0114939907409518E-2</c:v>
                </c:pt>
                <c:pt idx="6">
                  <c:v>4.0333568085932615E-2</c:v>
                </c:pt>
                <c:pt idx="7">
                  <c:v>4.0337949683221096E-2</c:v>
                </c:pt>
                <c:pt idx="8">
                  <c:v>4.2341530803712883E-2</c:v>
                </c:pt>
                <c:pt idx="9">
                  <c:v>4.2803692643591351E-2</c:v>
                </c:pt>
                <c:pt idx="10">
                  <c:v>4.3877803680465691E-2</c:v>
                </c:pt>
                <c:pt idx="11">
                  <c:v>4.4206579583938067E-2</c:v>
                </c:pt>
                <c:pt idx="12">
                  <c:v>4.4339159535832062E-2</c:v>
                </c:pt>
                <c:pt idx="13">
                  <c:v>4.4562956344497348E-2</c:v>
                </c:pt>
                <c:pt idx="14">
                  <c:v>4.4700075206287673E-2</c:v>
                </c:pt>
              </c:numCache>
            </c:numRef>
          </c:val>
          <c:extLst>
            <c:ext xmlns:c16="http://schemas.microsoft.com/office/drawing/2014/chart" uri="{C3380CC4-5D6E-409C-BE32-E72D297353CC}">
              <c16:uniqueId val="{00000000-9829-47FE-AD89-485FC2BD18EA}"/>
            </c:ext>
          </c:extLst>
        </c:ser>
        <c:dLbls>
          <c:showLegendKey val="0"/>
          <c:showVal val="0"/>
          <c:showCatName val="0"/>
          <c:showSerName val="0"/>
          <c:showPercent val="0"/>
          <c:showBubbleSize val="0"/>
        </c:dLbls>
        <c:gapWidth val="100"/>
        <c:overlap val="22"/>
        <c:axId val="227901631"/>
        <c:axId val="227902047"/>
      </c:barChart>
      <c:catAx>
        <c:axId val="227901631"/>
        <c:scaling>
          <c:orientation val="minMax"/>
        </c:scaling>
        <c:delete val="0"/>
        <c:axPos val="b"/>
        <c:numFmt formatCode="General" sourceLinked="1"/>
        <c:majorTickMark val="cross"/>
        <c:minorTickMark val="none"/>
        <c:tickLblPos val="nextTo"/>
        <c:spPr>
          <a:noFill/>
          <a:ln w="9525" cap="sq"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227902047"/>
        <c:crosses val="autoZero"/>
        <c:auto val="1"/>
        <c:lblAlgn val="ctr"/>
        <c:lblOffset val="100"/>
        <c:noMultiLvlLbl val="0"/>
      </c:catAx>
      <c:valAx>
        <c:axId val="227902047"/>
        <c:scaling>
          <c:orientation val="minMax"/>
        </c:scaling>
        <c:delete val="1"/>
        <c:axPos val="l"/>
        <c:numFmt formatCode="0%" sourceLinked="0"/>
        <c:majorTickMark val="none"/>
        <c:minorTickMark val="none"/>
        <c:tickLblPos val="nextTo"/>
        <c:crossAx val="227901631"/>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BYXB8L/p2RVulpjCyGSenuestw==">AMUW2mWo9gXtGlm72BVF/VPf3al3GL4IIvXxKzq1JXwZdHK2p/77dXvORg+riKgkxhzLVB1m5ocYmUiHmlH9w0orXvBHAXdTIQINIYAMM0u2faKwNxQXGCXIBwskhBlOaQ7UIrhO9wq8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7</Pages>
  <Words>1600</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31</cp:revision>
  <cp:lastPrinted>2021-07-12T06:28:00Z</cp:lastPrinted>
  <dcterms:created xsi:type="dcterms:W3CDTF">2024-07-03T11:59:00Z</dcterms:created>
  <dcterms:modified xsi:type="dcterms:W3CDTF">2025-06-19T22:26:00Z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2024-06-06T10:38:13Z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e6cd0067-942c-4c57-982d-389ccf32a601</vt:lpwstr>
  </property>
  <property fmtid="{D5CDD505-2E9C-101B-9397-08002B2CF9AE}" pid="8" name="MSIP_Label_defa4170-0d19-0005-0004-bc88714345d2_ContentBits">
    <vt:lpwstr>0</vt:lpwstr>
  </property>
</Properties>
</file>