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048A" w14:textId="77777777" w:rsidR="00C96839" w:rsidRDefault="00000000">
      <w:r>
        <w:rPr>
          <w:noProof/>
        </w:rPr>
        <w:drawing>
          <wp:anchor distT="0" distB="0" distL="114300" distR="114300" simplePos="0" relativeHeight="251658240" behindDoc="0" locked="0" layoutInCell="1" hidden="0" allowOverlap="1" wp14:anchorId="031FD999" wp14:editId="77EB82CB">
            <wp:simplePos x="0" y="0"/>
            <wp:positionH relativeFrom="column">
              <wp:posOffset>-1080116</wp:posOffset>
            </wp:positionH>
            <wp:positionV relativeFrom="paragraph">
              <wp:posOffset>-654665</wp:posOffset>
            </wp:positionV>
            <wp:extent cx="7581265" cy="1019175"/>
            <wp:effectExtent l="0" t="0" r="0" b="0"/>
            <wp:wrapNone/>
            <wp:docPr id="2066816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23ADE86" w14:textId="77777777" w:rsidR="00C96839" w:rsidRDefault="00C96839">
      <w:pPr>
        <w:jc w:val="right"/>
        <w:rPr>
          <w:rFonts w:ascii="National" w:eastAsia="National" w:hAnsi="National" w:cs="National"/>
          <w:color w:val="303AB2"/>
          <w:sz w:val="36"/>
          <w:szCs w:val="36"/>
        </w:rPr>
      </w:pPr>
    </w:p>
    <w:p w14:paraId="3777A3F4" w14:textId="77777777" w:rsidR="00C96839" w:rsidRDefault="00C96839">
      <w:pPr>
        <w:jc w:val="center"/>
        <w:rPr>
          <w:rFonts w:ascii="National" w:eastAsia="National" w:hAnsi="National" w:cs="National"/>
          <w:b/>
          <w:color w:val="1DBDC5"/>
          <w:sz w:val="34"/>
          <w:szCs w:val="34"/>
        </w:rPr>
      </w:pPr>
    </w:p>
    <w:p w14:paraId="03D9A95A" w14:textId="77777777" w:rsidR="00C96839"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ANÁLISIS DEL MERCADO INMOBILIARIO EN ANDALUCÍA</w:t>
      </w:r>
    </w:p>
    <w:p w14:paraId="55FA601B" w14:textId="5B29796F" w:rsidR="00BA2FC9" w:rsidRDefault="00BA2FC9">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precio de la vivienda en Jerez de la Frontera es un 66% más elevado que hace 9 años</w:t>
      </w:r>
    </w:p>
    <w:p w14:paraId="249293F8" w14:textId="77777777" w:rsidR="00C96839" w:rsidRDefault="00C96839">
      <w:pPr>
        <w:jc w:val="center"/>
        <w:rPr>
          <w:rFonts w:ascii="Open Sans" w:eastAsia="Open Sans" w:hAnsi="Open Sans" w:cs="Open Sans"/>
          <w:color w:val="303AB2"/>
        </w:rPr>
      </w:pPr>
    </w:p>
    <w:p w14:paraId="2643604B" w14:textId="77777777" w:rsidR="00C96839"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mercado de compraventa de vivienda en esta localidad aún se encuentra un 17% por debajo de su pico de 2007</w:t>
      </w:r>
    </w:p>
    <w:p w14:paraId="6EF8390D" w14:textId="77777777" w:rsidR="00C96839"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precio de un piso estándar de 80 metros cuadrados en Jerez de la Frontera ha pasado de 83.720 euros a 138.814 euros entre 2016 y 2025</w:t>
      </w:r>
    </w:p>
    <w:p w14:paraId="43B18D7A" w14:textId="77777777" w:rsidR="00C96839"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Otras localidades gaditanas como Cádiz capital, Algeciras, El Puerto de Santa María, San Fernando, Chiclana, o Sanlúcar de Barrameda también están registrando picos en las valoraciones del mercado inmobiliario</w:t>
      </w:r>
    </w:p>
    <w:p w14:paraId="0D8D6581" w14:textId="77777777" w:rsidR="00C96839" w:rsidRDefault="00C96839">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047BB3B9" w14:textId="77777777" w:rsidR="00C9683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3 de julio de 2025</w:t>
      </w:r>
    </w:p>
    <w:p w14:paraId="18AA79FB"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5F164762" w14:textId="6C4542D4" w:rsidR="00C9683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precio de </w:t>
      </w:r>
      <w:r w:rsidR="00590CDC">
        <w:rPr>
          <w:rFonts w:ascii="Open Sans" w:eastAsia="Open Sans" w:hAnsi="Open Sans" w:cs="Open Sans"/>
        </w:rPr>
        <w:t>la</w:t>
      </w:r>
      <w:r>
        <w:rPr>
          <w:rFonts w:ascii="Open Sans" w:eastAsia="Open Sans" w:hAnsi="Open Sans" w:cs="Open Sans"/>
        </w:rPr>
        <w:t xml:space="preserve"> vivienda </w:t>
      </w:r>
      <w:r w:rsidR="00590CDC">
        <w:rPr>
          <w:rFonts w:ascii="Open Sans" w:eastAsia="Open Sans" w:hAnsi="Open Sans" w:cs="Open Sans"/>
        </w:rPr>
        <w:t>de segunda mano</w:t>
      </w:r>
      <w:r>
        <w:rPr>
          <w:rFonts w:ascii="Open Sans" w:eastAsia="Open Sans" w:hAnsi="Open Sans" w:cs="Open Sans"/>
        </w:rPr>
        <w:t xml:space="preserve"> en la ciudad de Jerez de la Frontera ha alcanzado en la actualidad su máximo histórico en más de quince años. Concretamente, </w:t>
      </w:r>
      <w:r w:rsidR="00590CDC">
        <w:rPr>
          <w:rFonts w:ascii="Open Sans" w:eastAsia="Open Sans" w:hAnsi="Open Sans" w:cs="Open Sans"/>
          <w:b/>
        </w:rPr>
        <w:t>en 2025</w:t>
      </w:r>
      <w:r>
        <w:rPr>
          <w:rFonts w:ascii="Open Sans" w:eastAsia="Open Sans" w:hAnsi="Open Sans" w:cs="Open Sans"/>
          <w:b/>
        </w:rPr>
        <w:t xml:space="preserve"> esta ciudad andaluza ha registrado un precio del metro cuadrado de 1.735 euros de media</w:t>
      </w:r>
      <w:r>
        <w:rPr>
          <w:rFonts w:ascii="Open Sans" w:eastAsia="Open Sans" w:hAnsi="Open Sans" w:cs="Open Sans"/>
        </w:rPr>
        <w:t xml:space="preserve">, una cifra que no se lograba desde febrero de 2009, justo en el inicio de la crisis provocada por el estallido de la burbuja inmobiliaria en España, cuando estos precios de compraventa llegaron a 1.828 euros de media, </w:t>
      </w:r>
      <w:r>
        <w:rPr>
          <w:rFonts w:ascii="Open Sans" w:eastAsia="Open Sans" w:hAnsi="Open Sans" w:cs="Open Sans"/>
          <w:b/>
        </w:rPr>
        <w:t xml:space="preserve">según datos del Índice inmobiliario </w:t>
      </w:r>
      <w:hyperlink r:id="rId9">
        <w:r>
          <w:rPr>
            <w:rFonts w:ascii="Open Sans" w:eastAsia="Open Sans" w:hAnsi="Open Sans" w:cs="Open Sans"/>
            <w:b/>
            <w:color w:val="0000FF"/>
            <w:u w:val="single"/>
          </w:rPr>
          <w:t>Fotocasa</w:t>
        </w:r>
      </w:hyperlink>
      <w:r>
        <w:rPr>
          <w:rFonts w:ascii="Open Sans" w:eastAsia="Open Sans" w:hAnsi="Open Sans" w:cs="Open Sans"/>
        </w:rPr>
        <w:t>.</w:t>
      </w:r>
    </w:p>
    <w:p w14:paraId="74BD5317"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1E29870E" w14:textId="3821B3E8" w:rsidR="00C96839" w:rsidRDefault="00590CDC">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No obstante</w:t>
      </w:r>
      <w:r w:rsidR="00000000">
        <w:rPr>
          <w:rFonts w:ascii="Open Sans" w:eastAsia="Open Sans" w:hAnsi="Open Sans" w:cs="Open Sans"/>
        </w:rPr>
        <w:t xml:space="preserve">, a pesar de alcanzar máximos con relación a los últimos dieciséis años, el mercado de compraventa de vivienda </w:t>
      </w:r>
      <w:r w:rsidR="00000000">
        <w:rPr>
          <w:rFonts w:ascii="Open Sans" w:eastAsia="Open Sans" w:hAnsi="Open Sans" w:cs="Open Sans"/>
          <w:b/>
        </w:rPr>
        <w:t>en Jerez de la Frontera aún no ha recuperado los máximos que se registraron durante el boom inmobiliario</w:t>
      </w:r>
      <w:r w:rsidR="00000000">
        <w:rPr>
          <w:rFonts w:ascii="Open Sans" w:eastAsia="Open Sans" w:hAnsi="Open Sans" w:cs="Open Sans"/>
        </w:rPr>
        <w:t>. Los mencionados 1.735 euros por metro cuadrado que se han registrado en 2025 representan un descenso del 17% con relación al pico de 2.096 euros apuntado en julio de 2007, en plena expansión del mercado de la vivienda en España.</w:t>
      </w:r>
    </w:p>
    <w:p w14:paraId="03309150"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7943694C" w14:textId="7FFF8C8A" w:rsidR="00C9683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Asimismo, el dato de 2025 (1.735 euros por metro cuadrado en una vivienda de compra) es muy superior al de enero de 2016, cuando el precio en este mercado tocó fondo y era de 1.046 €/m2. De esta manera, </w:t>
      </w:r>
      <w:r>
        <w:rPr>
          <w:rFonts w:ascii="Open Sans" w:eastAsia="Open Sans" w:hAnsi="Open Sans" w:cs="Open Sans"/>
          <w:b/>
        </w:rPr>
        <w:t xml:space="preserve">el precio de un piso estándar </w:t>
      </w:r>
      <w:r>
        <w:rPr>
          <w:rFonts w:ascii="Open Sans" w:eastAsia="Open Sans" w:hAnsi="Open Sans" w:cs="Open Sans"/>
          <w:b/>
        </w:rPr>
        <w:lastRenderedPageBreak/>
        <w:t>de 80 metros cuadrados en Jerez de la Frontera ha pasado de 83.720 euros a 138.814 euros entre 2016 y 2025</w:t>
      </w:r>
      <w:r>
        <w:rPr>
          <w:rFonts w:ascii="Open Sans" w:eastAsia="Open Sans" w:hAnsi="Open Sans" w:cs="Open Sans"/>
        </w:rPr>
        <w:t xml:space="preserve">. </w:t>
      </w:r>
    </w:p>
    <w:p w14:paraId="197B9404" w14:textId="77777777" w:rsidR="000A6814" w:rsidRDefault="000A6814">
      <w:pPr>
        <w:pBdr>
          <w:top w:val="nil"/>
          <w:left w:val="nil"/>
          <w:bottom w:val="nil"/>
          <w:right w:val="nil"/>
          <w:between w:val="nil"/>
        </w:pBdr>
        <w:spacing w:line="276" w:lineRule="auto"/>
        <w:jc w:val="both"/>
        <w:rPr>
          <w:rFonts w:ascii="Open Sans" w:eastAsia="Open Sans" w:hAnsi="Open Sans" w:cs="Open Sans"/>
        </w:rPr>
      </w:pPr>
    </w:p>
    <w:p w14:paraId="14F1111B" w14:textId="0970FAA1" w:rsidR="000A6814" w:rsidRDefault="000A6814">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de la vivienda jerezano muestra un crecimiento muy significativo del precio en los últimos años, que se ha intensificado a partir de la recuperación económica postpandemia. La demanda de compra está siendo impulsada por unas condiciones hipotecarias todavía atractivas, el dinamismo económico y demográfico de la ciudad, el creciente interés por residir en zonas medias bien conectadas y el efecto arrastre de los precios desde otras localidades costeras más tensionadas de la provincia. Por el lado de la oferta, esta resulta insuficiente para dar respuesta a una demanda cada vez más activa, lo que está provocando una presión alcista constante sobre los precios”, explica </w:t>
      </w:r>
      <w:r>
        <w:rPr>
          <w:rFonts w:ascii="Open Sans" w:eastAsia="Open Sans" w:hAnsi="Open Sans" w:cs="Open Sans"/>
          <w:b/>
        </w:rPr>
        <w:t xml:space="preserve">María Matos, directora de Estudios y portavoz de </w:t>
      </w:r>
      <w:hyperlink r:id="rId10">
        <w:r>
          <w:rPr>
            <w:rFonts w:ascii="Open Sans" w:eastAsia="Open Sans" w:hAnsi="Open Sans" w:cs="Open Sans"/>
            <w:b/>
            <w:color w:val="0000FF"/>
            <w:u w:val="single"/>
          </w:rPr>
          <w:t>Fotocasa</w:t>
        </w:r>
      </w:hyperlink>
      <w:r>
        <w:rPr>
          <w:rFonts w:ascii="Open Sans" w:eastAsia="Open Sans" w:hAnsi="Open Sans" w:cs="Open Sans"/>
        </w:rPr>
        <w:t>.</w:t>
      </w:r>
    </w:p>
    <w:p w14:paraId="2A2B9481"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64ECE810" w14:textId="77777777" w:rsidR="00C9683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lo tanto, </w:t>
      </w:r>
      <w:r>
        <w:rPr>
          <w:rFonts w:ascii="Open Sans" w:eastAsia="Open Sans" w:hAnsi="Open Sans" w:cs="Open Sans"/>
          <w:b/>
        </w:rPr>
        <w:t>en la actualidad el valor de un inmueble de compra en Jerez de la Frontera se encuentra un 66% por encima del punto más bajo tras la resaca provocada por el estallido de la burbuja inmobiliaria</w:t>
      </w:r>
      <w:r>
        <w:rPr>
          <w:rFonts w:ascii="Open Sans" w:eastAsia="Open Sans" w:hAnsi="Open Sans" w:cs="Open Sans"/>
        </w:rPr>
        <w:t>. De hecho, hasta abril de 2025 (cuando se alzaron un 9% a nivel interanual), los precios de la vivienda de compra han crecido de forma prácticamente continuada desde junio de 2022 (a partir de la recuperación de la postpandemia).</w:t>
      </w:r>
    </w:p>
    <w:p w14:paraId="6F8F876D"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244B1E5D" w14:textId="77777777" w:rsidR="00C96839" w:rsidRDefault="00000000">
      <w:pPr>
        <w:spacing w:line="276" w:lineRule="auto"/>
        <w:jc w:val="center"/>
        <w:rPr>
          <w:rFonts w:ascii="National" w:eastAsia="National" w:hAnsi="National" w:cs="National"/>
          <w:b/>
          <w:color w:val="303AB2"/>
          <w:sz w:val="28"/>
          <w:szCs w:val="28"/>
        </w:rPr>
      </w:pPr>
      <w:r>
        <w:rPr>
          <w:rFonts w:ascii="National" w:eastAsia="National" w:hAnsi="National" w:cs="National"/>
          <w:b/>
          <w:color w:val="303AB2"/>
          <w:sz w:val="28"/>
          <w:szCs w:val="28"/>
        </w:rPr>
        <w:t>Variación interanual del precio de compraventa en Jerez de la Frontera (%)</w:t>
      </w:r>
    </w:p>
    <w:p w14:paraId="70D8994B"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407DC556" w14:textId="77777777" w:rsidR="00C96839"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21059924" wp14:editId="6ED0BA24">
            <wp:extent cx="5760720" cy="3339465"/>
            <wp:effectExtent l="0" t="0" r="0" b="0"/>
            <wp:docPr id="2066816620" name="Gráfico 2066816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084E15" w14:textId="5583D2D4" w:rsidR="00C96839"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Evolución al alza en otros municipios de la provincia de Cádiz</w:t>
      </w:r>
    </w:p>
    <w:p w14:paraId="3DA84D4D"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7CAA5C5C" w14:textId="77777777" w:rsidR="00C9683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su lado, </w:t>
      </w:r>
      <w:r>
        <w:rPr>
          <w:rFonts w:ascii="Open Sans" w:eastAsia="Open Sans" w:hAnsi="Open Sans" w:cs="Open Sans"/>
          <w:b/>
        </w:rPr>
        <w:t>el resto de los municipios más poblados o turísticos de la provincia de Cádiz están experimentando una evolución parecida a la de Jerez de la Frontera</w:t>
      </w:r>
      <w:r>
        <w:rPr>
          <w:rFonts w:ascii="Open Sans" w:eastAsia="Open Sans" w:hAnsi="Open Sans" w:cs="Open Sans"/>
        </w:rPr>
        <w:t>. La localidad de Cádiz capital, por ejemplo, ha registrado en enero de este año un pico de precios con una media de 3.186 euros por metro cuadrado, con un crecimiento interanual del 9%, pero aún por debajo de su cénit de 3.598 euros logrado en febrero de 2007. Lo mismo ocurre en Algeciras, que ha alcanzado una punta de precios en abril de 2025, con una valoración media de 1.341 euros, tras un crecimiento anual del 12%, pero todavía lejos de su máximo en la serie histórica de enero de 2007, con 1.930 euros.</w:t>
      </w:r>
    </w:p>
    <w:p w14:paraId="2EA62A03"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37A680D8" w14:textId="77777777" w:rsidR="00C9683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 el caso de El Puerto de Santa María, por ejemplo, los precios de la vivienda de compra alcanzaron su máximo histórico en junio de 2007, con una media de 2.636 euros por metro cuadrado</w:t>
      </w:r>
      <w:r>
        <w:rPr>
          <w:rFonts w:ascii="Open Sans" w:eastAsia="Open Sans" w:hAnsi="Open Sans" w:cs="Open Sans"/>
        </w:rPr>
        <w:t xml:space="preserve">, mientras que en la actualidad se encuentran en una punta de 2.157 euros, tras un crecimiento anual del 9%. Pasa lo mismo en San Fernando, que experimentó un crecimiento del 12% en diciembre de 2024, hasta registrar una punta de 1.839 euros por metro cuadrado, una cifra que todavía se encuentra por debajo de los 2.469 euros de media fijados en enero de 2007, su máximo histórico. </w:t>
      </w:r>
    </w:p>
    <w:p w14:paraId="09A9AA73"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4CFCB84C" w14:textId="77777777" w:rsidR="00C9683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Igualmente, en Chiclana, los precios han escalado un 9% interanual en abril, hasta llegar a un pico de 1.877 euros por metro cuadrado, pero aún no han superado los 2.366 euros de marzo de 2007, su récord en la serie histórica, mientras que </w:t>
      </w:r>
      <w:r>
        <w:rPr>
          <w:rFonts w:ascii="Open Sans" w:eastAsia="Open Sans" w:hAnsi="Open Sans" w:cs="Open Sans"/>
          <w:b/>
        </w:rPr>
        <w:t>en Sanlúcar de Barrameda este máximo se alcanzó en 2.676 euros de media en octubre de 2006, pero en cambio, el pico de precios actual se dio en octubre de 2024</w:t>
      </w:r>
      <w:r>
        <w:rPr>
          <w:rFonts w:ascii="Open Sans" w:eastAsia="Open Sans" w:hAnsi="Open Sans" w:cs="Open Sans"/>
        </w:rPr>
        <w:t>, con una valoración de 2.166 euros por metro cuadrado para una vivienda en propiedad. En todos los casos, se trata de puntas con relación a los últimos 15 años, pero por debajo de las cifras de la época del boom inmobiliario.</w:t>
      </w:r>
    </w:p>
    <w:p w14:paraId="16371022"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597297A1"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1C2FECEF" w14:textId="77777777" w:rsidR="00C96839" w:rsidRDefault="00C96839">
      <w:pPr>
        <w:pBdr>
          <w:top w:val="nil"/>
          <w:left w:val="nil"/>
          <w:bottom w:val="nil"/>
          <w:right w:val="nil"/>
          <w:between w:val="nil"/>
        </w:pBdr>
        <w:spacing w:line="276" w:lineRule="auto"/>
        <w:jc w:val="both"/>
        <w:rPr>
          <w:rFonts w:ascii="Open Sans" w:eastAsia="Open Sans" w:hAnsi="Open Sans" w:cs="Open Sans"/>
        </w:rPr>
      </w:pPr>
    </w:p>
    <w:p w14:paraId="3034DEA4" w14:textId="77777777" w:rsidR="00B545B2" w:rsidRDefault="00B545B2">
      <w:pPr>
        <w:pBdr>
          <w:top w:val="nil"/>
          <w:left w:val="nil"/>
          <w:bottom w:val="nil"/>
          <w:right w:val="nil"/>
          <w:between w:val="nil"/>
        </w:pBdr>
        <w:spacing w:line="276" w:lineRule="auto"/>
        <w:jc w:val="both"/>
        <w:rPr>
          <w:rFonts w:ascii="Open Sans" w:eastAsia="Open Sans" w:hAnsi="Open Sans" w:cs="Open Sans"/>
        </w:rPr>
      </w:pPr>
    </w:p>
    <w:p w14:paraId="08490D30" w14:textId="77777777" w:rsidR="00B545B2" w:rsidRDefault="00B545B2">
      <w:pPr>
        <w:pBdr>
          <w:top w:val="nil"/>
          <w:left w:val="nil"/>
          <w:bottom w:val="nil"/>
          <w:right w:val="nil"/>
          <w:between w:val="nil"/>
        </w:pBdr>
        <w:spacing w:line="276" w:lineRule="auto"/>
        <w:jc w:val="both"/>
        <w:rPr>
          <w:rFonts w:ascii="Open Sans" w:eastAsia="Open Sans" w:hAnsi="Open Sans" w:cs="Open Sans"/>
        </w:rPr>
      </w:pPr>
    </w:p>
    <w:p w14:paraId="063C0272" w14:textId="77777777" w:rsidR="00B545B2" w:rsidRDefault="00B545B2">
      <w:pPr>
        <w:pBdr>
          <w:top w:val="nil"/>
          <w:left w:val="nil"/>
          <w:bottom w:val="nil"/>
          <w:right w:val="nil"/>
          <w:between w:val="nil"/>
        </w:pBdr>
        <w:spacing w:line="276" w:lineRule="auto"/>
        <w:jc w:val="both"/>
        <w:rPr>
          <w:rFonts w:ascii="Open Sans" w:eastAsia="Open Sans" w:hAnsi="Open Sans" w:cs="Open Sans"/>
        </w:rPr>
      </w:pPr>
    </w:p>
    <w:p w14:paraId="10B2BD3A" w14:textId="77777777" w:rsidR="00B545B2" w:rsidRDefault="00B545B2">
      <w:pPr>
        <w:pBdr>
          <w:top w:val="nil"/>
          <w:left w:val="nil"/>
          <w:bottom w:val="nil"/>
          <w:right w:val="nil"/>
          <w:between w:val="nil"/>
        </w:pBdr>
        <w:spacing w:line="276" w:lineRule="auto"/>
        <w:jc w:val="both"/>
        <w:rPr>
          <w:rFonts w:ascii="Open Sans" w:eastAsia="Open Sans" w:hAnsi="Open Sans" w:cs="Open Sans"/>
        </w:rPr>
      </w:pPr>
    </w:p>
    <w:p w14:paraId="36EB9F83" w14:textId="77777777" w:rsidR="00B545B2" w:rsidRDefault="00B545B2">
      <w:pPr>
        <w:pBdr>
          <w:top w:val="nil"/>
          <w:left w:val="nil"/>
          <w:bottom w:val="nil"/>
          <w:right w:val="nil"/>
          <w:between w:val="nil"/>
        </w:pBdr>
        <w:spacing w:line="276" w:lineRule="auto"/>
        <w:jc w:val="both"/>
        <w:rPr>
          <w:rFonts w:ascii="Open Sans" w:eastAsia="Open Sans" w:hAnsi="Open Sans" w:cs="Open Sans"/>
        </w:rPr>
      </w:pPr>
    </w:p>
    <w:p w14:paraId="75A14072" w14:textId="77777777" w:rsidR="00C9683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46325B63" w14:textId="77777777" w:rsidR="00C9683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4E8B61D" w14:textId="77777777" w:rsidR="00C9683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E9F4583" w14:textId="77777777" w:rsidR="00C9683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F3A774C" w14:textId="77777777" w:rsidR="00C9683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0FF8E1B" w14:textId="77777777" w:rsidR="00C96839"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6FB6012" w14:textId="77777777" w:rsidR="00C9683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4A19092" w14:textId="77777777" w:rsidR="00C96839"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53403E9" w14:textId="77777777" w:rsidR="00C96839" w:rsidRDefault="00000000">
      <w:pPr>
        <w:spacing w:before="143" w:after="200"/>
        <w:jc w:val="both"/>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4786D770" w14:textId="77777777" w:rsidR="00C96839" w:rsidRDefault="00C96839">
      <w:pPr>
        <w:spacing w:before="143" w:after="200"/>
        <w:jc w:val="both"/>
        <w:rPr>
          <w:rFonts w:ascii="Open Sans" w:eastAsia="Open Sans" w:hAnsi="Open Sans" w:cs="Open Sans"/>
        </w:rPr>
      </w:pPr>
    </w:p>
    <w:p w14:paraId="1B03BCB4" w14:textId="77777777" w:rsidR="00C9683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96B1722" w14:textId="77777777" w:rsidR="00C9683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C637A13" w14:textId="77777777" w:rsidR="00C96839" w:rsidRDefault="00000000">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2F4EF528" w14:textId="77777777" w:rsidR="00C96839"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C96839">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15C80" w14:textId="77777777" w:rsidR="007B720A" w:rsidRDefault="007B720A">
      <w:r>
        <w:separator/>
      </w:r>
    </w:p>
  </w:endnote>
  <w:endnote w:type="continuationSeparator" w:id="0">
    <w:p w14:paraId="64A512EF" w14:textId="77777777" w:rsidR="007B720A" w:rsidRDefault="007B7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FA811EB-8A16-449C-8B72-B50D27D124B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D8C69B3-DAC0-4200-AAAD-E25EEFEF0AF4}"/>
    <w:embedBold r:id="rId3" w:fontKey="{E11D5740-D664-4A50-A0CD-B558E2C0C07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80F2D33-34BF-437C-B3DE-F3613A54F911}"/>
    <w:embedItalic r:id="rId5" w:fontKey="{9F2D9F5E-3BCD-4AB1-AEE2-72FAAF7D12AA}"/>
  </w:font>
  <w:font w:name="Cambria">
    <w:panose1 w:val="02040503050406030204"/>
    <w:charset w:val="00"/>
    <w:family w:val="roman"/>
    <w:pitch w:val="variable"/>
    <w:sig w:usb0="E00006FF" w:usb1="420024FF" w:usb2="02000000" w:usb3="00000000" w:csb0="0000019F" w:csb1="00000000"/>
    <w:embedRegular r:id="rId6" w:fontKey="{9131BFCA-44A9-4AE1-9C23-5F429CBA843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C87B339-9420-436C-9998-E53A294521EE}"/>
    <w:embedBold r:id="rId8" w:fontKey="{70A7F3B1-D19F-4015-B14B-D50623D3AD58}"/>
  </w:font>
  <w:font w:name="Open Sans Light">
    <w:charset w:val="00"/>
    <w:family w:val="swiss"/>
    <w:pitch w:val="variable"/>
    <w:sig w:usb0="E00002EF" w:usb1="4000205B" w:usb2="00000028" w:usb3="00000000" w:csb0="0000019F" w:csb1="00000000"/>
    <w:embedRegular r:id="rId9" w:fontKey="{EA28DC99-08ED-4A36-AD64-C4DE90396FFF}"/>
    <w:embedBold r:id="rId10" w:fontKey="{C3490082-966D-4909-AC0F-B623AD6765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78B4" w14:textId="77777777" w:rsidR="00C9683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91657A5" wp14:editId="192D4C88">
          <wp:simplePos x="0" y="0"/>
          <wp:positionH relativeFrom="column">
            <wp:posOffset>-1068040</wp:posOffset>
          </wp:positionH>
          <wp:positionV relativeFrom="paragraph">
            <wp:posOffset>174608</wp:posOffset>
          </wp:positionV>
          <wp:extent cx="7670550" cy="451315"/>
          <wp:effectExtent l="0" t="0" r="0" b="0"/>
          <wp:wrapNone/>
          <wp:docPr id="20668166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537F8" w14:textId="77777777" w:rsidR="007B720A" w:rsidRDefault="007B720A">
      <w:r>
        <w:separator/>
      </w:r>
    </w:p>
  </w:footnote>
  <w:footnote w:type="continuationSeparator" w:id="0">
    <w:p w14:paraId="3C704B03" w14:textId="77777777" w:rsidR="007B720A" w:rsidRDefault="007B72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F73C9"/>
    <w:multiLevelType w:val="multilevel"/>
    <w:tmpl w:val="8EC0B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4659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839"/>
    <w:rsid w:val="000A6814"/>
    <w:rsid w:val="003D1E2C"/>
    <w:rsid w:val="00590CDC"/>
    <w:rsid w:val="007B720A"/>
    <w:rsid w:val="00B545B2"/>
    <w:rsid w:val="00BA2FC9"/>
    <w:rsid w:val="00C968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22680"/>
  <w15:docId w15:val="{62FA04C7-CBEE-412A-8A32-604245E94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torn\OneDrive\Documents\Projectes\2025\250505_Pitch%20Andalusia\fotocasa.es-Hist&#243;rico%20alquiler%20y%20venta%20Andaluc&#237;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'V-Municipios'!$A$16:$A$247</c:f>
              <c:numCache>
                <c:formatCode>General</c:formatCode>
                <c:ptCount val="232"/>
                <c:pt idx="0">
                  <c:v>2006</c:v>
                </c:pt>
                <c:pt idx="12">
                  <c:v>2007</c:v>
                </c:pt>
                <c:pt idx="24">
                  <c:v>2008</c:v>
                </c:pt>
                <c:pt idx="36">
                  <c:v>2009</c:v>
                </c:pt>
                <c:pt idx="48">
                  <c:v>2010</c:v>
                </c:pt>
                <c:pt idx="60">
                  <c:v>2011</c:v>
                </c:pt>
                <c:pt idx="72">
                  <c:v>2012</c:v>
                </c:pt>
                <c:pt idx="84">
                  <c:v>2013</c:v>
                </c:pt>
                <c:pt idx="96">
                  <c:v>2014</c:v>
                </c:pt>
                <c:pt idx="108">
                  <c:v>2015</c:v>
                </c:pt>
                <c:pt idx="120">
                  <c:v>2016</c:v>
                </c:pt>
                <c:pt idx="132">
                  <c:v>2017</c:v>
                </c:pt>
                <c:pt idx="144">
                  <c:v>2018</c:v>
                </c:pt>
                <c:pt idx="156">
                  <c:v>2019</c:v>
                </c:pt>
                <c:pt idx="168">
                  <c:v>2020</c:v>
                </c:pt>
                <c:pt idx="180">
                  <c:v>2021</c:v>
                </c:pt>
                <c:pt idx="192">
                  <c:v>2022</c:v>
                </c:pt>
                <c:pt idx="204">
                  <c:v>2023</c:v>
                </c:pt>
                <c:pt idx="216">
                  <c:v>2024</c:v>
                </c:pt>
              </c:numCache>
            </c:numRef>
          </c:cat>
          <c:val>
            <c:numRef>
              <c:f>'V-Municipios'!$HB$16:$HB$247</c:f>
              <c:numCache>
                <c:formatCode>_-* #,##0.0_-;\-* #,##0.0_-;_-* "-"??_-;_-@_-</c:formatCode>
                <c:ptCount val="232"/>
                <c:pt idx="0">
                  <c:v>1.6474018398678902</c:v>
                </c:pt>
                <c:pt idx="1">
                  <c:v>3.7041477429852199</c:v>
                </c:pt>
                <c:pt idx="2">
                  <c:v>5.4110985489414398</c:v>
                </c:pt>
                <c:pt idx="3">
                  <c:v>2.1784162572589638</c:v>
                </c:pt>
                <c:pt idx="4">
                  <c:v>5.8874902493606385</c:v>
                </c:pt>
                <c:pt idx="5">
                  <c:v>6.0158945515380147</c:v>
                </c:pt>
                <c:pt idx="6">
                  <c:v>8.903482264440953</c:v>
                </c:pt>
                <c:pt idx="7">
                  <c:v>15.31437202692385</c:v>
                </c:pt>
                <c:pt idx="8">
                  <c:v>21.913821294899737</c:v>
                </c:pt>
                <c:pt idx="9">
                  <c:v>9.1332976760999607</c:v>
                </c:pt>
                <c:pt idx="10">
                  <c:v>18.287783070745832</c:v>
                </c:pt>
                <c:pt idx="11">
                  <c:v>16.313692899343991</c:v>
                </c:pt>
                <c:pt idx="12">
                  <c:v>17.829250537253483</c:v>
                </c:pt>
                <c:pt idx="13">
                  <c:v>22.079804092375465</c:v>
                </c:pt>
                <c:pt idx="14">
                  <c:v>19.456079291587724</c:v>
                </c:pt>
                <c:pt idx="15">
                  <c:v>10.335408300797067</c:v>
                </c:pt>
                <c:pt idx="16">
                  <c:v>5.306987119480433</c:v>
                </c:pt>
                <c:pt idx="17">
                  <c:v>4.1625706006183538</c:v>
                </c:pt>
                <c:pt idx="18">
                  <c:v>3.138742777184067</c:v>
                </c:pt>
                <c:pt idx="19">
                  <c:v>-2.9348154559137418</c:v>
                </c:pt>
                <c:pt idx="20">
                  <c:v>-5.8759621528440054</c:v>
                </c:pt>
                <c:pt idx="21">
                  <c:v>0.53223230284293876</c:v>
                </c:pt>
                <c:pt idx="22">
                  <c:v>-1.6082637918878206</c:v>
                </c:pt>
                <c:pt idx="23">
                  <c:v>-1.0700172209107461</c:v>
                </c:pt>
                <c:pt idx="24">
                  <c:v>-1.8819829394567833</c:v>
                </c:pt>
                <c:pt idx="25">
                  <c:v>-6.1930973912330378</c:v>
                </c:pt>
                <c:pt idx="26">
                  <c:v>-6.6900655254222503</c:v>
                </c:pt>
                <c:pt idx="27">
                  <c:v>-3.8293056722569219</c:v>
                </c:pt>
                <c:pt idx="28">
                  <c:v>-4.199727064791448</c:v>
                </c:pt>
                <c:pt idx="29">
                  <c:v>-4.0146616435587141</c:v>
                </c:pt>
                <c:pt idx="30">
                  <c:v>-8.0978058336969028</c:v>
                </c:pt>
                <c:pt idx="31">
                  <c:v>-9.3812643790483712</c:v>
                </c:pt>
                <c:pt idx="32">
                  <c:v>-9.4591382009423182</c:v>
                </c:pt>
                <c:pt idx="33">
                  <c:v>-9.5000839169560596</c:v>
                </c:pt>
                <c:pt idx="34">
                  <c:v>-10.309409952407734</c:v>
                </c:pt>
                <c:pt idx="35">
                  <c:v>-10.201036099352734</c:v>
                </c:pt>
                <c:pt idx="36">
                  <c:v>-8.5128726233368983</c:v>
                </c:pt>
                <c:pt idx="37">
                  <c:v>-5.861413282033423</c:v>
                </c:pt>
                <c:pt idx="38">
                  <c:v>-7.4754468180387672</c:v>
                </c:pt>
                <c:pt idx="39">
                  <c:v>-7.8892924439159184</c:v>
                </c:pt>
                <c:pt idx="40">
                  <c:v>-9.3464983534307766</c:v>
                </c:pt>
                <c:pt idx="41">
                  <c:v>-8.052165017362789</c:v>
                </c:pt>
                <c:pt idx="42">
                  <c:v>-5.9398850338658216</c:v>
                </c:pt>
                <c:pt idx="43">
                  <c:v>-6.1300217605271161</c:v>
                </c:pt>
                <c:pt idx="44">
                  <c:v>-7.2434023103770118</c:v>
                </c:pt>
                <c:pt idx="45">
                  <c:v>-8.2255304184618119</c:v>
                </c:pt>
                <c:pt idx="46">
                  <c:v>-6.6438084371315265</c:v>
                </c:pt>
                <c:pt idx="47">
                  <c:v>-6.0010666747082215</c:v>
                </c:pt>
                <c:pt idx="48">
                  <c:v>-5.7026512421324282</c:v>
                </c:pt>
                <c:pt idx="49">
                  <c:v>-5.7554996070382058</c:v>
                </c:pt>
                <c:pt idx="50">
                  <c:v>-4.4994028003904285</c:v>
                </c:pt>
                <c:pt idx="51">
                  <c:v>-3.0097035280606255</c:v>
                </c:pt>
                <c:pt idx="52">
                  <c:v>-2.4035784262980808</c:v>
                </c:pt>
                <c:pt idx="53">
                  <c:v>-3.9411806689056306</c:v>
                </c:pt>
                <c:pt idx="54">
                  <c:v>-2.9793338077683251</c:v>
                </c:pt>
                <c:pt idx="55">
                  <c:v>-1.9560749264862176</c:v>
                </c:pt>
                <c:pt idx="56">
                  <c:v>-0.58304236486506067</c:v>
                </c:pt>
                <c:pt idx="57">
                  <c:v>0.63585455238031052</c:v>
                </c:pt>
                <c:pt idx="58">
                  <c:v>1.1921537956275596</c:v>
                </c:pt>
                <c:pt idx="59">
                  <c:v>-0.91413576627475956</c:v>
                </c:pt>
                <c:pt idx="60">
                  <c:v>-1.910633217771851</c:v>
                </c:pt>
                <c:pt idx="61">
                  <c:v>-2.6164376727314198</c:v>
                </c:pt>
                <c:pt idx="62">
                  <c:v>-2.9832665477048548</c:v>
                </c:pt>
                <c:pt idx="63">
                  <c:v>-3.739004951733238</c:v>
                </c:pt>
                <c:pt idx="64">
                  <c:v>-4.2428083339230316</c:v>
                </c:pt>
                <c:pt idx="65">
                  <c:v>-4.2761762773420919</c:v>
                </c:pt>
                <c:pt idx="66">
                  <c:v>-5.5773037766501332</c:v>
                </c:pt>
                <c:pt idx="67">
                  <c:v>-5.6773827648338715</c:v>
                </c:pt>
                <c:pt idx="68">
                  <c:v>-6.218691461614112</c:v>
                </c:pt>
                <c:pt idx="69">
                  <c:v>-6.3484318160586195</c:v>
                </c:pt>
                <c:pt idx="70">
                  <c:v>-7.8255334398498739</c:v>
                </c:pt>
                <c:pt idx="71">
                  <c:v>-7.5096571274711259</c:v>
                </c:pt>
                <c:pt idx="72">
                  <c:v>-9.2370703989534402</c:v>
                </c:pt>
                <c:pt idx="73">
                  <c:v>-10.102900855267583</c:v>
                </c:pt>
                <c:pt idx="74">
                  <c:v>-9.6686956176928902</c:v>
                </c:pt>
                <c:pt idx="75">
                  <c:v>-10.598047023530254</c:v>
                </c:pt>
                <c:pt idx="76">
                  <c:v>-11.116721532741192</c:v>
                </c:pt>
                <c:pt idx="77">
                  <c:v>-10.87213936741519</c:v>
                </c:pt>
                <c:pt idx="78">
                  <c:v>-11.466127794259883</c:v>
                </c:pt>
                <c:pt idx="79">
                  <c:v>-11.586985829549935</c:v>
                </c:pt>
                <c:pt idx="80">
                  <c:v>-11.524476726301558</c:v>
                </c:pt>
                <c:pt idx="81">
                  <c:v>-12.837593916071111</c:v>
                </c:pt>
                <c:pt idx="82">
                  <c:v>-13.088740946328215</c:v>
                </c:pt>
                <c:pt idx="83">
                  <c:v>-12.050399433941827</c:v>
                </c:pt>
                <c:pt idx="84">
                  <c:v>-11.224742826514467</c:v>
                </c:pt>
                <c:pt idx="85">
                  <c:v>-11.315858124887768</c:v>
                </c:pt>
                <c:pt idx="86">
                  <c:v>-12.22190873226282</c:v>
                </c:pt>
                <c:pt idx="87">
                  <c:v>-11.620188992704495</c:v>
                </c:pt>
                <c:pt idx="88">
                  <c:v>-11.930023750101636</c:v>
                </c:pt>
                <c:pt idx="89">
                  <c:v>-11.543868922838207</c:v>
                </c:pt>
                <c:pt idx="90">
                  <c:v>-10.136719417749696</c:v>
                </c:pt>
                <c:pt idx="91">
                  <c:v>-9.4932122647743871</c:v>
                </c:pt>
                <c:pt idx="92">
                  <c:v>-9.3691154370120202</c:v>
                </c:pt>
                <c:pt idx="93">
                  <c:v>-8.3367278449642761</c:v>
                </c:pt>
                <c:pt idx="94">
                  <c:v>-7.4844360074608929</c:v>
                </c:pt>
                <c:pt idx="95">
                  <c:v>-8.7846832912945931</c:v>
                </c:pt>
                <c:pt idx="96">
                  <c:v>-8.6492740731633706</c:v>
                </c:pt>
                <c:pt idx="97">
                  <c:v>-8.4933391915635088</c:v>
                </c:pt>
                <c:pt idx="98">
                  <c:v>-6.4318174383315103</c:v>
                </c:pt>
                <c:pt idx="99">
                  <c:v>-6.637877588502028</c:v>
                </c:pt>
                <c:pt idx="100">
                  <c:v>-4.5399561431753943</c:v>
                </c:pt>
                <c:pt idx="101">
                  <c:v>-5.6991169455673845</c:v>
                </c:pt>
                <c:pt idx="102">
                  <c:v>-6.5240325285802703</c:v>
                </c:pt>
                <c:pt idx="103">
                  <c:v>-6.885517118033091</c:v>
                </c:pt>
                <c:pt idx="104">
                  <c:v>-7.2307372354116222</c:v>
                </c:pt>
                <c:pt idx="105">
                  <c:v>-6.3536308536005226</c:v>
                </c:pt>
                <c:pt idx="106">
                  <c:v>-4.8931497553710734</c:v>
                </c:pt>
                <c:pt idx="107">
                  <c:v>-3.5571088813307283</c:v>
                </c:pt>
                <c:pt idx="108">
                  <c:v>-3.3353344692281572</c:v>
                </c:pt>
                <c:pt idx="109">
                  <c:v>-1.9394601594805327</c:v>
                </c:pt>
                <c:pt idx="110">
                  <c:v>-3.4081807553815846</c:v>
                </c:pt>
                <c:pt idx="111">
                  <c:v>-3.8270434911912621</c:v>
                </c:pt>
                <c:pt idx="112">
                  <c:v>-3.4813989085416219</c:v>
                </c:pt>
                <c:pt idx="113">
                  <c:v>-2.7568129527869023</c:v>
                </c:pt>
                <c:pt idx="114">
                  <c:v>-1.975765923846684</c:v>
                </c:pt>
                <c:pt idx="115">
                  <c:v>-0.47387598529929909</c:v>
                </c:pt>
                <c:pt idx="116">
                  <c:v>-0.75574939095778282</c:v>
                </c:pt>
                <c:pt idx="117">
                  <c:v>-0.80744625049634644</c:v>
                </c:pt>
                <c:pt idx="118">
                  <c:v>-1.23901164222463</c:v>
                </c:pt>
                <c:pt idx="119">
                  <c:v>-0.74421382343071718</c:v>
                </c:pt>
                <c:pt idx="120">
                  <c:v>0.94172888651513631</c:v>
                </c:pt>
                <c:pt idx="121">
                  <c:v>2.2071761750508401E-2</c:v>
                </c:pt>
                <c:pt idx="122">
                  <c:v>0.29875659422264889</c:v>
                </c:pt>
                <c:pt idx="123">
                  <c:v>1.6041693690596048</c:v>
                </c:pt>
                <c:pt idx="124">
                  <c:v>0.61464483959547955</c:v>
                </c:pt>
                <c:pt idx="125">
                  <c:v>1.562384045704901</c:v>
                </c:pt>
                <c:pt idx="126">
                  <c:v>1.8874152095940566</c:v>
                </c:pt>
                <c:pt idx="127">
                  <c:v>-0.18894747988478233</c:v>
                </c:pt>
                <c:pt idx="128">
                  <c:v>0.58388176275121495</c:v>
                </c:pt>
                <c:pt idx="129">
                  <c:v>1.2933341349913974</c:v>
                </c:pt>
                <c:pt idx="130">
                  <c:v>1.1735758315475353</c:v>
                </c:pt>
                <c:pt idx="131">
                  <c:v>0.92559676931074364</c:v>
                </c:pt>
                <c:pt idx="132">
                  <c:v>0.30768060732933034</c:v>
                </c:pt>
                <c:pt idx="133">
                  <c:v>1.900592333977813</c:v>
                </c:pt>
                <c:pt idx="134">
                  <c:v>2.8225105620927948</c:v>
                </c:pt>
                <c:pt idx="135">
                  <c:v>3.6692665651268719</c:v>
                </c:pt>
                <c:pt idx="136">
                  <c:v>3.9958884175723464</c:v>
                </c:pt>
                <c:pt idx="137">
                  <c:v>4.4728004438796987</c:v>
                </c:pt>
                <c:pt idx="138">
                  <c:v>4.8579073932873085</c:v>
                </c:pt>
                <c:pt idx="139">
                  <c:v>6.1907016122760394</c:v>
                </c:pt>
                <c:pt idx="140">
                  <c:v>6.9229133802239495</c:v>
                </c:pt>
                <c:pt idx="141">
                  <c:v>6.0331976885023897</c:v>
                </c:pt>
                <c:pt idx="142">
                  <c:v>5.787202483868481</c:v>
                </c:pt>
                <c:pt idx="143">
                  <c:v>5.5294556732119027</c:v>
                </c:pt>
                <c:pt idx="144">
                  <c:v>4.8576719084965747</c:v>
                </c:pt>
                <c:pt idx="145">
                  <c:v>5.4805304184929238</c:v>
                </c:pt>
                <c:pt idx="146">
                  <c:v>5.7696817243161336</c:v>
                </c:pt>
                <c:pt idx="147">
                  <c:v>5.479207836204969</c:v>
                </c:pt>
                <c:pt idx="148">
                  <c:v>6.4487196066046026</c:v>
                </c:pt>
                <c:pt idx="149">
                  <c:v>5.7948067251538449</c:v>
                </c:pt>
                <c:pt idx="150">
                  <c:v>5.9049035494039614</c:v>
                </c:pt>
                <c:pt idx="151">
                  <c:v>7.0842861630326492</c:v>
                </c:pt>
                <c:pt idx="152">
                  <c:v>7.4239460794261136</c:v>
                </c:pt>
                <c:pt idx="153">
                  <c:v>8.1279344965961009</c:v>
                </c:pt>
                <c:pt idx="154">
                  <c:v>8.9623144011462976</c:v>
                </c:pt>
                <c:pt idx="155">
                  <c:v>8.9026146208436288</c:v>
                </c:pt>
                <c:pt idx="156">
                  <c:v>8.9181955581137284</c:v>
                </c:pt>
                <c:pt idx="157">
                  <c:v>7.6499222892210117</c:v>
                </c:pt>
                <c:pt idx="158">
                  <c:v>7.4347110052628507</c:v>
                </c:pt>
                <c:pt idx="159">
                  <c:v>7.9072128696070498</c:v>
                </c:pt>
                <c:pt idx="160">
                  <c:v>7.2930047097276018</c:v>
                </c:pt>
                <c:pt idx="161">
                  <c:v>7.1783626239263487</c:v>
                </c:pt>
                <c:pt idx="162">
                  <c:v>5.7463724774943659</c:v>
                </c:pt>
                <c:pt idx="163">
                  <c:v>4.0427671662154996</c:v>
                </c:pt>
                <c:pt idx="164">
                  <c:v>4.1465828389199322</c:v>
                </c:pt>
                <c:pt idx="165">
                  <c:v>3.7068206569533801</c:v>
                </c:pt>
                <c:pt idx="166">
                  <c:v>-1.9342341733474377</c:v>
                </c:pt>
                <c:pt idx="167">
                  <c:v>-2.3219257659691239</c:v>
                </c:pt>
                <c:pt idx="168">
                  <c:v>2.4893617681624347</c:v>
                </c:pt>
                <c:pt idx="169">
                  <c:v>-0.47389006328607541</c:v>
                </c:pt>
                <c:pt idx="170">
                  <c:v>2.4791963470014888</c:v>
                </c:pt>
                <c:pt idx="171">
                  <c:v>0.26292174757951425</c:v>
                </c:pt>
                <c:pt idx="172">
                  <c:v>-0.56576901467341179</c:v>
                </c:pt>
                <c:pt idx="173">
                  <c:v>-1.0321352982157528</c:v>
                </c:pt>
                <c:pt idx="174">
                  <c:v>6.3231633717286684E-2</c:v>
                </c:pt>
                <c:pt idx="175">
                  <c:v>-0.15362019973221841</c:v>
                </c:pt>
                <c:pt idx="176">
                  <c:v>-1.2498395217271585</c:v>
                </c:pt>
                <c:pt idx="177">
                  <c:v>-2.6142513532076972</c:v>
                </c:pt>
                <c:pt idx="178">
                  <c:v>2.962962962962945</c:v>
                </c:pt>
                <c:pt idx="179">
                  <c:v>2.7383749757475151</c:v>
                </c:pt>
                <c:pt idx="180">
                  <c:v>-2.8321848657528959</c:v>
                </c:pt>
                <c:pt idx="181">
                  <c:v>0.83691950260051939</c:v>
                </c:pt>
                <c:pt idx="182">
                  <c:v>-2.7975438430860144</c:v>
                </c:pt>
                <c:pt idx="183">
                  <c:v>-1.8731245553069265</c:v>
                </c:pt>
                <c:pt idx="184">
                  <c:v>-1.5039266609413682</c:v>
                </c:pt>
                <c:pt idx="185">
                  <c:v>-0.46457909550143839</c:v>
                </c:pt>
                <c:pt idx="186">
                  <c:v>-0.97106475490449373</c:v>
                </c:pt>
                <c:pt idx="187">
                  <c:v>-1.7982693347755485</c:v>
                </c:pt>
                <c:pt idx="188">
                  <c:v>-1.0749718621034576</c:v>
                </c:pt>
                <c:pt idx="189">
                  <c:v>1.3341543513957443</c:v>
                </c:pt>
                <c:pt idx="190">
                  <c:v>0.55352382343580864</c:v>
                </c:pt>
                <c:pt idx="191">
                  <c:v>1.3271852656206562</c:v>
                </c:pt>
                <c:pt idx="192">
                  <c:v>3.6690379508900195</c:v>
                </c:pt>
                <c:pt idx="193">
                  <c:v>3.6340786510970169</c:v>
                </c:pt>
                <c:pt idx="194">
                  <c:v>5.1875469458291024</c:v>
                </c:pt>
                <c:pt idx="195">
                  <c:v>6.7254795844914561</c:v>
                </c:pt>
                <c:pt idx="196">
                  <c:v>6.6254523680713495</c:v>
                </c:pt>
                <c:pt idx="197">
                  <c:v>6.0332211327381868</c:v>
                </c:pt>
                <c:pt idx="198">
                  <c:v>6.5557146889406948</c:v>
                </c:pt>
                <c:pt idx="199">
                  <c:v>8.303943062307372</c:v>
                </c:pt>
                <c:pt idx="200">
                  <c:v>7.8773130224546906</c:v>
                </c:pt>
                <c:pt idx="201">
                  <c:v>8.5960019320359571</c:v>
                </c:pt>
                <c:pt idx="202">
                  <c:v>8.9196957590976567</c:v>
                </c:pt>
                <c:pt idx="203">
                  <c:v>8.1124876397165036</c:v>
                </c:pt>
                <c:pt idx="204">
                  <c:v>7.8365433608478696</c:v>
                </c:pt>
                <c:pt idx="205">
                  <c:v>8.7837906118942932</c:v>
                </c:pt>
                <c:pt idx="206">
                  <c:v>7.6097975081770741</c:v>
                </c:pt>
                <c:pt idx="207">
                  <c:v>4.9413896150570347</c:v>
                </c:pt>
                <c:pt idx="208">
                  <c:v>5.4664755346032878</c:v>
                </c:pt>
                <c:pt idx="209">
                  <c:v>6.5643993355252395</c:v>
                </c:pt>
                <c:pt idx="210">
                  <c:v>7.7667569264578962</c:v>
                </c:pt>
                <c:pt idx="211">
                  <c:v>7.0893168849837762</c:v>
                </c:pt>
                <c:pt idx="212">
                  <c:v>7.1766176441866447</c:v>
                </c:pt>
                <c:pt idx="213">
                  <c:v>5.4989621892545859</c:v>
                </c:pt>
                <c:pt idx="214">
                  <c:v>6.8388160088408645</c:v>
                </c:pt>
                <c:pt idx="215">
                  <c:v>10.187282417671884</c:v>
                </c:pt>
                <c:pt idx="216">
                  <c:v>9.5194670194670206</c:v>
                </c:pt>
                <c:pt idx="217">
                  <c:v>8.3281466274025107</c:v>
                </c:pt>
                <c:pt idx="218">
                  <c:v>11.738609891690732</c:v>
                </c:pt>
                <c:pt idx="219">
                  <c:v>15.192486324698118</c:v>
                </c:pt>
                <c:pt idx="220">
                  <c:v>15.848349821109963</c:v>
                </c:pt>
                <c:pt idx="221">
                  <c:v>16.714928024275611</c:v>
                </c:pt>
                <c:pt idx="222">
                  <c:v>16.186973403311057</c:v>
                </c:pt>
                <c:pt idx="223">
                  <c:v>16.840168387986388</c:v>
                </c:pt>
                <c:pt idx="224">
                  <c:v>18.596641488460229</c:v>
                </c:pt>
                <c:pt idx="225">
                  <c:v>16.795260027562176</c:v>
                </c:pt>
                <c:pt idx="226">
                  <c:v>15.244481499480589</c:v>
                </c:pt>
                <c:pt idx="227">
                  <c:v>10.5522309574408</c:v>
                </c:pt>
                <c:pt idx="228">
                  <c:v>12.600792969407259</c:v>
                </c:pt>
                <c:pt idx="229">
                  <c:v>15.14938428292114</c:v>
                </c:pt>
                <c:pt idx="230">
                  <c:v>13.309522820715136</c:v>
                </c:pt>
                <c:pt idx="231">
                  <c:v>15.375373663161485</c:v>
                </c:pt>
              </c:numCache>
            </c:numRef>
          </c:val>
          <c:smooth val="0"/>
          <c:extLst>
            <c:ext xmlns:c16="http://schemas.microsoft.com/office/drawing/2014/chart" uri="{C3380CC4-5D6E-409C-BE32-E72D297353CC}">
              <c16:uniqueId val="{00000000-92B2-4796-9AFA-FA5BC970F6A7}"/>
            </c:ext>
          </c:extLst>
        </c:ser>
        <c:dLbls>
          <c:showLegendKey val="0"/>
          <c:showVal val="0"/>
          <c:showCatName val="0"/>
          <c:showSerName val="0"/>
          <c:showPercent val="0"/>
          <c:showBubbleSize val="0"/>
        </c:dLbls>
        <c:smooth val="0"/>
        <c:axId val="1254122655"/>
        <c:axId val="1254135135"/>
      </c:lineChart>
      <c:catAx>
        <c:axId val="125412265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254135135"/>
        <c:crosses val="autoZero"/>
        <c:auto val="1"/>
        <c:lblAlgn val="ctr"/>
        <c:lblOffset val="100"/>
        <c:noMultiLvlLbl val="0"/>
      </c:catAx>
      <c:valAx>
        <c:axId val="1254135135"/>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254122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SHFrsfNjJqdfYuDmYaAP5H6Lg==">CgMxLjAyCWguMnM4ZXlvMTgAciExcGxyVEVEazVJb3I1RkstaHJXS1BaU1FYOGFYbWJwbnk=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1128</Words>
  <Characters>6205</Characters>
  <Application>Microsoft Office Word</Application>
  <DocSecurity>0</DocSecurity>
  <Lines>51</Lines>
  <Paragraphs>14</Paragraphs>
  <ScaleCrop>false</ScaleCrop>
  <Company/>
  <LinksUpToDate>false</LinksUpToDate>
  <CharactersWithSpaces>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5</cp:revision>
  <dcterms:created xsi:type="dcterms:W3CDTF">2024-02-06T13:46:00Z</dcterms:created>
  <dcterms:modified xsi:type="dcterms:W3CDTF">2025-07-02T08:55:00Z</dcterms:modified>
</cp:coreProperties>
</file>