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0C081" w14:textId="77777777" w:rsidR="00A56AFC" w:rsidRDefault="00000000">
      <w:r>
        <w:rPr>
          <w:noProof/>
        </w:rPr>
        <w:drawing>
          <wp:anchor distT="0" distB="0" distL="114300" distR="114300" simplePos="0" relativeHeight="251658240" behindDoc="0" locked="0" layoutInCell="1" hidden="0" allowOverlap="1" wp14:anchorId="7023AFBD" wp14:editId="2419E903">
            <wp:simplePos x="0" y="0"/>
            <wp:positionH relativeFrom="column">
              <wp:posOffset>-1080114</wp:posOffset>
            </wp:positionH>
            <wp:positionV relativeFrom="paragraph">
              <wp:posOffset>-654663</wp:posOffset>
            </wp:positionV>
            <wp:extent cx="7581265" cy="1019175"/>
            <wp:effectExtent l="0" t="0" r="0" b="0"/>
            <wp:wrapNone/>
            <wp:docPr id="20668166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F861256" w14:textId="77777777" w:rsidR="00A56AFC" w:rsidRDefault="00A56AFC">
      <w:pPr>
        <w:jc w:val="right"/>
        <w:rPr>
          <w:rFonts w:ascii="National" w:eastAsia="National" w:hAnsi="National" w:cs="National"/>
          <w:color w:val="303AB2"/>
          <w:sz w:val="36"/>
          <w:szCs w:val="36"/>
        </w:rPr>
      </w:pPr>
    </w:p>
    <w:p w14:paraId="257A13AF" w14:textId="77777777" w:rsidR="00A56AFC" w:rsidRDefault="00A56AFC">
      <w:pPr>
        <w:jc w:val="center"/>
        <w:rPr>
          <w:rFonts w:ascii="National" w:eastAsia="National" w:hAnsi="National" w:cs="National"/>
          <w:b/>
          <w:color w:val="1DBDC5"/>
          <w:sz w:val="34"/>
          <w:szCs w:val="34"/>
        </w:rPr>
      </w:pPr>
    </w:p>
    <w:p w14:paraId="5751DB04" w14:textId="77777777" w:rsidR="00A56AFC"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EXPERIENCIA EN ALQUILER EN 2025</w:t>
      </w:r>
    </w:p>
    <w:p w14:paraId="7A4C1C5D" w14:textId="77777777" w:rsidR="00A56AFC" w:rsidRDefault="00000000">
      <w:pPr>
        <w:jc w:val="center"/>
        <w:rPr>
          <w:rFonts w:ascii="National" w:eastAsia="National" w:hAnsi="National" w:cs="National"/>
          <w:b/>
          <w:color w:val="303AB2"/>
          <w:sz w:val="52"/>
          <w:szCs w:val="52"/>
        </w:rPr>
      </w:pPr>
      <w:r>
        <w:rPr>
          <w:rFonts w:ascii="National" w:eastAsia="National" w:hAnsi="National" w:cs="National"/>
          <w:b/>
          <w:color w:val="303AB2"/>
          <w:sz w:val="52"/>
          <w:szCs w:val="52"/>
        </w:rPr>
        <w:t>Descienden los inquilinos que negocian el precio: solo un 23% de ellos negocia antes de cerrar el contrato</w:t>
      </w:r>
    </w:p>
    <w:p w14:paraId="54E91BE9" w14:textId="77777777" w:rsidR="00A56AFC" w:rsidRDefault="00A56AFC">
      <w:pPr>
        <w:rPr>
          <w:rFonts w:ascii="Open Sans" w:eastAsia="Open Sans" w:hAnsi="Open Sans" w:cs="Open Sans"/>
          <w:color w:val="303AB2"/>
        </w:rPr>
      </w:pPr>
    </w:p>
    <w:p w14:paraId="0DE0AADD" w14:textId="77777777" w:rsidR="00A56AFC"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Cada año se reduce el número de inquilinos que negocian el precio y mientras en 2021 el 34% negociaron, en 2024 cae 11 puntos hasta el 23%</w:t>
      </w:r>
    </w:p>
    <w:p w14:paraId="7F07A55E" w14:textId="77777777" w:rsidR="00A56AFC"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El 54% de los que negociaron consiguieron una reducción en el precio y es tres puntos porcentuales menos que hace un año</w:t>
      </w:r>
    </w:p>
    <w:p w14:paraId="635FF31E" w14:textId="77777777" w:rsidR="00A56AFC"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33% de los que negociaron vieron incrementar el precio final de la renta mensual </w:t>
      </w:r>
    </w:p>
    <w:p w14:paraId="72FEBC5B" w14:textId="77777777" w:rsidR="00A56AFC"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El 65% logró rebajar el precio menos de un 10% y un 24% lo rebajó entre un 10% y un 15%</w:t>
      </w:r>
    </w:p>
    <w:p w14:paraId="318CF5EE" w14:textId="77777777" w:rsidR="00A56AFC" w:rsidRDefault="00A56AFC">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07C38381" w14:textId="77777777" w:rsidR="00A56AFC"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24 de julio de 2025</w:t>
      </w:r>
    </w:p>
    <w:p w14:paraId="7298AFBF" w14:textId="77777777" w:rsidR="00A56AFC" w:rsidRDefault="00A56AFC">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669B21F4" w14:textId="5012BC5A" w:rsidR="00A56AFC"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Aproximadamente </w:t>
      </w:r>
      <w:r>
        <w:rPr>
          <w:rFonts w:ascii="Open Sans" w:eastAsia="Open Sans" w:hAnsi="Open Sans" w:cs="Open Sans"/>
          <w:b/>
          <w:sz w:val="22"/>
          <w:szCs w:val="22"/>
        </w:rPr>
        <w:t>uno de cada cuatro inquilinos (23%) que ha alquilado una vivienda para vivir en ella en el último año ha negociado el precio</w:t>
      </w:r>
      <w:r>
        <w:rPr>
          <w:rFonts w:ascii="Open Sans" w:eastAsia="Open Sans" w:hAnsi="Open Sans" w:cs="Open Sans"/>
          <w:sz w:val="22"/>
          <w:szCs w:val="22"/>
        </w:rPr>
        <w:t xml:space="preserve">. Se trata de un porcentaje muy similar al del año anterior, cuando fue del 24%, pero que ahonda en la línea descendente de esta cuestión en comparación con 2022 y 2023, cuando fue del 29%. El retroceso es aún más acusado respecto a 2021, cuando fueron el 34% los que negociaron el coste de la vivienda, once puntos más que ahora, apenas cuatro años después. Esta es una de las principales conclusiones del informe </w:t>
      </w:r>
      <w:r w:rsidR="00223C8E">
        <w:rPr>
          <w:rFonts w:ascii="Open Sans" w:eastAsia="Open Sans" w:hAnsi="Open Sans" w:cs="Open Sans"/>
          <w:sz w:val="22"/>
          <w:szCs w:val="22"/>
        </w:rPr>
        <w:t>“</w:t>
      </w:r>
      <w:hyperlink r:id="rId9" w:history="1">
        <w:r w:rsidR="00223C8E" w:rsidRPr="005A4788">
          <w:rPr>
            <w:rStyle w:val="Hipervnculo"/>
            <w:rFonts w:ascii="Open Sans" w:eastAsia="Open Sans" w:hAnsi="Open Sans" w:cs="Open Sans"/>
            <w:b/>
            <w:i/>
            <w:sz w:val="22"/>
            <w:szCs w:val="22"/>
          </w:rPr>
          <w:t>Experien</w:t>
        </w:r>
        <w:r w:rsidR="00223C8E" w:rsidRPr="005A4788">
          <w:rPr>
            <w:rStyle w:val="Hipervnculo"/>
            <w:rFonts w:ascii="Open Sans" w:eastAsia="Open Sans" w:hAnsi="Open Sans" w:cs="Open Sans"/>
            <w:b/>
            <w:i/>
            <w:sz w:val="22"/>
            <w:szCs w:val="22"/>
          </w:rPr>
          <w:t>c</w:t>
        </w:r>
        <w:r w:rsidR="00223C8E" w:rsidRPr="005A4788">
          <w:rPr>
            <w:rStyle w:val="Hipervnculo"/>
            <w:rFonts w:ascii="Open Sans" w:eastAsia="Open Sans" w:hAnsi="Open Sans" w:cs="Open Sans"/>
            <w:b/>
            <w:i/>
            <w:sz w:val="22"/>
            <w:szCs w:val="22"/>
          </w:rPr>
          <w:t>ia en alquiler en 2025</w:t>
        </w:r>
      </w:hyperlink>
      <w:r w:rsidR="00223C8E">
        <w:rPr>
          <w:rFonts w:ascii="Open Sans" w:eastAsia="Open Sans" w:hAnsi="Open Sans" w:cs="Open Sans"/>
          <w:sz w:val="22"/>
          <w:szCs w:val="22"/>
        </w:rPr>
        <w:t>”</w:t>
      </w:r>
      <w:r>
        <w:rPr>
          <w:rFonts w:ascii="Open Sans" w:eastAsia="Open Sans" w:hAnsi="Open Sans" w:cs="Open Sans"/>
          <w:sz w:val="22"/>
          <w:szCs w:val="22"/>
        </w:rPr>
        <w:t>, que traza una exhaustiva radiografía del mercado de la vivienda en arrendamiento.</w:t>
      </w:r>
    </w:p>
    <w:p w14:paraId="6872794F" w14:textId="77777777" w:rsidR="00A56AFC" w:rsidRDefault="00A56AFC">
      <w:pPr>
        <w:pBdr>
          <w:top w:val="nil"/>
          <w:left w:val="nil"/>
          <w:bottom w:val="nil"/>
          <w:right w:val="nil"/>
          <w:between w:val="nil"/>
        </w:pBdr>
        <w:spacing w:line="276" w:lineRule="auto"/>
        <w:jc w:val="both"/>
        <w:rPr>
          <w:rFonts w:ascii="Open Sans" w:eastAsia="Open Sans" w:hAnsi="Open Sans" w:cs="Open Sans"/>
          <w:sz w:val="22"/>
          <w:szCs w:val="22"/>
        </w:rPr>
      </w:pPr>
    </w:p>
    <w:p w14:paraId="0AA4CC94" w14:textId="77777777" w:rsidR="00A56AFC"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En cuanto al fruto de estas negociaciones, </w:t>
      </w:r>
      <w:r>
        <w:rPr>
          <w:rFonts w:ascii="Open Sans" w:eastAsia="Open Sans" w:hAnsi="Open Sans" w:cs="Open Sans"/>
          <w:b/>
          <w:sz w:val="22"/>
          <w:szCs w:val="22"/>
        </w:rPr>
        <w:t>el 54% logró una reducción, un porcentaje algo inferior al del año anterior cuando fueron el 57% los que lo consiguieron</w:t>
      </w:r>
      <w:r>
        <w:rPr>
          <w:rFonts w:ascii="Open Sans" w:eastAsia="Open Sans" w:hAnsi="Open Sans" w:cs="Open Sans"/>
          <w:sz w:val="22"/>
          <w:szCs w:val="22"/>
        </w:rPr>
        <w:t>. De nuevo, hay una tendencia descendente. No en vano, si nos remontamos a 2022 comprobamos que entonces la cifra de inquilinos que negoció el precio y conquistó una bajada de precio alcanzaba el 69%. En 2023 ya bajó hasta el 66%.</w:t>
      </w:r>
    </w:p>
    <w:p w14:paraId="6F490D6C" w14:textId="77777777" w:rsidR="00A56AFC" w:rsidRDefault="00A56AFC">
      <w:pPr>
        <w:pBdr>
          <w:top w:val="nil"/>
          <w:left w:val="nil"/>
          <w:bottom w:val="nil"/>
          <w:right w:val="nil"/>
          <w:between w:val="nil"/>
        </w:pBdr>
        <w:spacing w:line="276" w:lineRule="auto"/>
        <w:jc w:val="both"/>
        <w:rPr>
          <w:rFonts w:ascii="Open Sans" w:eastAsia="Open Sans" w:hAnsi="Open Sans" w:cs="Open Sans"/>
          <w:sz w:val="22"/>
          <w:szCs w:val="22"/>
        </w:rPr>
      </w:pPr>
    </w:p>
    <w:p w14:paraId="6094E942" w14:textId="77777777" w:rsidR="00A56AFC" w:rsidRDefault="00A56AFC">
      <w:pPr>
        <w:pBdr>
          <w:top w:val="nil"/>
          <w:left w:val="nil"/>
          <w:bottom w:val="nil"/>
          <w:right w:val="nil"/>
          <w:between w:val="nil"/>
        </w:pBdr>
        <w:spacing w:line="276" w:lineRule="auto"/>
        <w:jc w:val="both"/>
        <w:rPr>
          <w:rFonts w:ascii="Open Sans" w:eastAsia="Open Sans" w:hAnsi="Open Sans" w:cs="Open Sans"/>
          <w:sz w:val="22"/>
          <w:szCs w:val="22"/>
        </w:rPr>
      </w:pPr>
    </w:p>
    <w:p w14:paraId="4BC58116" w14:textId="77777777" w:rsidR="00A56AFC"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 xml:space="preserve">Por el contrario, </w:t>
      </w:r>
      <w:r>
        <w:rPr>
          <w:rFonts w:ascii="Open Sans" w:eastAsia="Open Sans" w:hAnsi="Open Sans" w:cs="Open Sans"/>
          <w:b/>
          <w:sz w:val="22"/>
          <w:szCs w:val="22"/>
        </w:rPr>
        <w:t>se detecta un aumento relevante del porcentaje de inquilinos que, tras negociar el precio, lo han visto incrementado respecto al precio inicial.</w:t>
      </w:r>
      <w:r>
        <w:rPr>
          <w:rFonts w:ascii="Open Sans" w:eastAsia="Open Sans" w:hAnsi="Open Sans" w:cs="Open Sans"/>
          <w:sz w:val="22"/>
          <w:szCs w:val="22"/>
        </w:rPr>
        <w:t xml:space="preserve"> Es algo que en el último año le ha pasado al 33% de los inquilinos. En 2024 esto le sucedió únicamente al 28%, mientras que en 2023 era algo que declaraban el 23% y en 2022 el 17%. </w:t>
      </w:r>
    </w:p>
    <w:p w14:paraId="4A149B9F" w14:textId="77777777" w:rsidR="00223C8E" w:rsidRDefault="00223C8E">
      <w:pPr>
        <w:pBdr>
          <w:top w:val="nil"/>
          <w:left w:val="nil"/>
          <w:bottom w:val="nil"/>
          <w:right w:val="nil"/>
          <w:between w:val="nil"/>
        </w:pBdr>
        <w:spacing w:line="276" w:lineRule="auto"/>
        <w:jc w:val="both"/>
        <w:rPr>
          <w:rFonts w:ascii="Open Sans" w:eastAsia="Open Sans" w:hAnsi="Open Sans" w:cs="Open Sans"/>
          <w:sz w:val="22"/>
          <w:szCs w:val="22"/>
        </w:rPr>
      </w:pPr>
    </w:p>
    <w:p w14:paraId="72F60959" w14:textId="77777777" w:rsidR="00A56AFC" w:rsidRDefault="00A56AFC">
      <w:pPr>
        <w:pBdr>
          <w:top w:val="nil"/>
          <w:left w:val="nil"/>
          <w:bottom w:val="nil"/>
          <w:right w:val="nil"/>
          <w:between w:val="nil"/>
        </w:pBdr>
        <w:spacing w:line="276" w:lineRule="auto"/>
        <w:jc w:val="both"/>
        <w:rPr>
          <w:rFonts w:ascii="Open Sans" w:eastAsia="Open Sans" w:hAnsi="Open Sans" w:cs="Open Sans"/>
          <w:sz w:val="22"/>
          <w:szCs w:val="22"/>
        </w:rPr>
      </w:pPr>
    </w:p>
    <w:p w14:paraId="63D18BCC" w14:textId="77777777" w:rsidR="00A56AFC" w:rsidRDefault="00000000">
      <w:pPr>
        <w:pBdr>
          <w:top w:val="nil"/>
          <w:left w:val="nil"/>
          <w:bottom w:val="nil"/>
          <w:right w:val="nil"/>
          <w:between w:val="nil"/>
        </w:pBdr>
        <w:spacing w:line="276" w:lineRule="auto"/>
        <w:jc w:val="both"/>
        <w:rPr>
          <w:rFonts w:ascii="Open Sans" w:eastAsia="Open Sans" w:hAnsi="Open Sans" w:cs="Open Sans"/>
          <w:b/>
          <w:color w:val="EE0000"/>
          <w:sz w:val="22"/>
          <w:szCs w:val="22"/>
        </w:rPr>
      </w:pPr>
      <w:r>
        <w:rPr>
          <w:noProof/>
        </w:rPr>
        <w:drawing>
          <wp:inline distT="0" distB="0" distL="0" distR="0" wp14:anchorId="110CDB9A" wp14:editId="5A5F23E9">
            <wp:extent cx="5745480" cy="2644140"/>
            <wp:effectExtent l="0" t="0" r="7620" b="3810"/>
            <wp:docPr id="2066816630" name="image7.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Diagrama&#10;&#10;El contenido generado por IA puede ser incorrecto."/>
                    <pic:cNvPicPr preferRelativeResize="0"/>
                  </pic:nvPicPr>
                  <pic:blipFill>
                    <a:blip r:embed="rId10"/>
                    <a:srcRect/>
                    <a:stretch>
                      <a:fillRect/>
                    </a:stretch>
                  </pic:blipFill>
                  <pic:spPr>
                    <a:xfrm>
                      <a:off x="0" y="0"/>
                      <a:ext cx="5745480" cy="2644140"/>
                    </a:xfrm>
                    <a:prstGeom prst="rect">
                      <a:avLst/>
                    </a:prstGeom>
                    <a:ln/>
                  </pic:spPr>
                </pic:pic>
              </a:graphicData>
            </a:graphic>
          </wp:inline>
        </w:drawing>
      </w:r>
    </w:p>
    <w:p w14:paraId="78ED03AC" w14:textId="77777777" w:rsidR="00A56AFC" w:rsidRDefault="00A56AFC">
      <w:pPr>
        <w:pBdr>
          <w:top w:val="nil"/>
          <w:left w:val="nil"/>
          <w:bottom w:val="nil"/>
          <w:right w:val="nil"/>
          <w:between w:val="nil"/>
        </w:pBdr>
        <w:spacing w:line="276" w:lineRule="auto"/>
        <w:jc w:val="both"/>
        <w:rPr>
          <w:rFonts w:ascii="Open Sans" w:eastAsia="Open Sans" w:hAnsi="Open Sans" w:cs="Open Sans"/>
          <w:b/>
          <w:color w:val="EE0000"/>
          <w:sz w:val="22"/>
          <w:szCs w:val="22"/>
        </w:rPr>
      </w:pPr>
    </w:p>
    <w:p w14:paraId="0E91E831" w14:textId="77777777" w:rsidR="00223C8E" w:rsidRDefault="00223C8E">
      <w:pPr>
        <w:pBdr>
          <w:top w:val="nil"/>
          <w:left w:val="nil"/>
          <w:bottom w:val="nil"/>
          <w:right w:val="nil"/>
          <w:between w:val="nil"/>
        </w:pBdr>
        <w:spacing w:line="276" w:lineRule="auto"/>
        <w:jc w:val="both"/>
        <w:rPr>
          <w:rFonts w:ascii="Open Sans" w:eastAsia="Open Sans" w:hAnsi="Open Sans" w:cs="Open Sans"/>
          <w:b/>
          <w:color w:val="EE0000"/>
          <w:sz w:val="22"/>
          <w:szCs w:val="22"/>
        </w:rPr>
      </w:pPr>
    </w:p>
    <w:p w14:paraId="38A75143" w14:textId="77777777" w:rsidR="00223C8E" w:rsidRDefault="00223C8E">
      <w:pPr>
        <w:pBdr>
          <w:top w:val="nil"/>
          <w:left w:val="nil"/>
          <w:bottom w:val="nil"/>
          <w:right w:val="nil"/>
          <w:between w:val="nil"/>
        </w:pBdr>
        <w:spacing w:line="276" w:lineRule="auto"/>
        <w:jc w:val="both"/>
        <w:rPr>
          <w:rFonts w:ascii="Open Sans" w:eastAsia="Open Sans" w:hAnsi="Open Sans" w:cs="Open Sans"/>
          <w:sz w:val="22"/>
          <w:szCs w:val="22"/>
        </w:rPr>
      </w:pPr>
    </w:p>
    <w:p w14:paraId="37B2D346" w14:textId="5E88941F" w:rsidR="00A56AFC" w:rsidRPr="00223C8E" w:rsidRDefault="00000000">
      <w:pPr>
        <w:pBdr>
          <w:top w:val="nil"/>
          <w:left w:val="nil"/>
          <w:bottom w:val="nil"/>
          <w:right w:val="nil"/>
          <w:between w:val="nil"/>
        </w:pBdr>
        <w:spacing w:line="276" w:lineRule="auto"/>
        <w:jc w:val="both"/>
        <w:rPr>
          <w:rFonts w:ascii="Open Sans" w:eastAsia="Open Sans" w:hAnsi="Open Sans" w:cs="Open Sans"/>
          <w:b/>
          <w:bCs/>
          <w:sz w:val="22"/>
          <w:szCs w:val="22"/>
        </w:rPr>
      </w:pPr>
      <w:r>
        <w:rPr>
          <w:rFonts w:ascii="Open Sans" w:eastAsia="Open Sans" w:hAnsi="Open Sans" w:cs="Open Sans"/>
          <w:sz w:val="22"/>
          <w:szCs w:val="22"/>
        </w:rPr>
        <w:t xml:space="preserve">“Desde la drástica reducción de la oferta de viviendas disponibles en alquiler, el mercado ha entrado en una dinámica de fuerte desequilibrio, en la que la demanda supera con creces a la oferta. Esta escasez de oferta coloca a los propietarios en una posición dominante, que les permite fijar precios y establecer criterios a la hora de elegir al inquilino, priorizando aquellos perfiles que consideran más solventes, estables o afines a sus expectativas. En este contexto, los márgenes de negociación se han reducido drásticamente. Las oportunidades para conseguir una rebaja se reducen y cuando se logran, rara vez superan el 10%. Además, estas reducciones suelen ir acompañadas de concesiones por parte del inquilino, como aceptar que no se lleven a cabo determinadas mejoras o actualizaciones necesarias en la vivienda. El resultado es un mercado cada vez más tensionado, donde los inquilinos no solo compiten entre sí por un número limitado de viviendas, sino que también deben asumir condiciones menos favorables en calidad del inmueble”, </w:t>
      </w:r>
      <w:r w:rsidRPr="00223C8E">
        <w:rPr>
          <w:rFonts w:ascii="Open Sans" w:eastAsia="Open Sans" w:hAnsi="Open Sans" w:cs="Open Sans"/>
          <w:b/>
          <w:bCs/>
          <w:sz w:val="22"/>
          <w:szCs w:val="22"/>
        </w:rPr>
        <w:t>comenta María Matos, directora de Estudios y portavoz d</w:t>
      </w:r>
      <w:r w:rsidR="00223C8E">
        <w:rPr>
          <w:rFonts w:ascii="Open Sans" w:eastAsia="Open Sans" w:hAnsi="Open Sans" w:cs="Open Sans"/>
          <w:b/>
          <w:bCs/>
          <w:sz w:val="22"/>
          <w:szCs w:val="22"/>
        </w:rPr>
        <w:t xml:space="preserve">e </w:t>
      </w:r>
      <w:hyperlink r:id="rId11">
        <w:r w:rsidRPr="00223C8E">
          <w:rPr>
            <w:rFonts w:ascii="Open Sans" w:eastAsia="Open Sans" w:hAnsi="Open Sans" w:cs="Open Sans"/>
            <w:b/>
            <w:bCs/>
            <w:color w:val="1155CC"/>
            <w:sz w:val="22"/>
            <w:szCs w:val="22"/>
            <w:u w:val="single"/>
          </w:rPr>
          <w:t>Fotocasa</w:t>
        </w:r>
      </w:hyperlink>
      <w:r w:rsidRPr="00223C8E">
        <w:rPr>
          <w:rFonts w:ascii="Open Sans" w:eastAsia="Open Sans" w:hAnsi="Open Sans" w:cs="Open Sans"/>
          <w:b/>
          <w:bCs/>
          <w:sz w:val="22"/>
          <w:szCs w:val="22"/>
        </w:rPr>
        <w:t>.</w:t>
      </w:r>
    </w:p>
    <w:p w14:paraId="625FEC95" w14:textId="77777777" w:rsidR="00A56AFC" w:rsidRDefault="00A56AFC">
      <w:pPr>
        <w:pBdr>
          <w:top w:val="nil"/>
          <w:left w:val="nil"/>
          <w:bottom w:val="nil"/>
          <w:right w:val="nil"/>
          <w:between w:val="nil"/>
        </w:pBdr>
        <w:spacing w:line="276" w:lineRule="auto"/>
        <w:jc w:val="both"/>
        <w:rPr>
          <w:rFonts w:ascii="Open Sans" w:eastAsia="Open Sans" w:hAnsi="Open Sans" w:cs="Open Sans"/>
          <w:sz w:val="22"/>
          <w:szCs w:val="22"/>
        </w:rPr>
      </w:pPr>
    </w:p>
    <w:p w14:paraId="6553E517" w14:textId="77777777" w:rsidR="00223C8E" w:rsidRDefault="00223C8E">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71E08DA9" w14:textId="77777777" w:rsidR="00223C8E" w:rsidRDefault="00223C8E">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0D81930E" w14:textId="77777777" w:rsidR="00223C8E" w:rsidRDefault="00223C8E">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14BFF976" w14:textId="77777777" w:rsidR="00223C8E" w:rsidRDefault="00223C8E">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15040D43" w14:textId="0EF197A9" w:rsidR="00A56AFC"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El 65% de los inquilinos logró que le rebajaran el precio menos de un 10% </w:t>
      </w:r>
    </w:p>
    <w:p w14:paraId="577D83DA" w14:textId="77777777" w:rsidR="00A56AFC" w:rsidRDefault="00A56AFC">
      <w:pPr>
        <w:pBdr>
          <w:top w:val="nil"/>
          <w:left w:val="nil"/>
          <w:bottom w:val="nil"/>
          <w:right w:val="nil"/>
          <w:between w:val="nil"/>
        </w:pBdr>
        <w:spacing w:line="276" w:lineRule="auto"/>
        <w:jc w:val="both"/>
        <w:rPr>
          <w:rFonts w:ascii="Open Sans" w:eastAsia="Open Sans" w:hAnsi="Open Sans" w:cs="Open Sans"/>
          <w:sz w:val="22"/>
          <w:szCs w:val="22"/>
        </w:rPr>
      </w:pPr>
    </w:p>
    <w:p w14:paraId="05382B19" w14:textId="77777777" w:rsidR="00A56AFC"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Cuando el resultado de las conversaciones fue un precio inferior, </w:t>
      </w:r>
      <w:r>
        <w:rPr>
          <w:rFonts w:ascii="Open Sans" w:eastAsia="Open Sans" w:hAnsi="Open Sans" w:cs="Open Sans"/>
          <w:b/>
          <w:sz w:val="22"/>
          <w:szCs w:val="22"/>
        </w:rPr>
        <w:t>en la mayoría de los casos ese descenso no superó el 10%. Fueron, concretamente, el 65%</w:t>
      </w:r>
      <w:r>
        <w:rPr>
          <w:rFonts w:ascii="Open Sans" w:eastAsia="Open Sans" w:hAnsi="Open Sans" w:cs="Open Sans"/>
          <w:sz w:val="22"/>
          <w:szCs w:val="22"/>
        </w:rPr>
        <w:t xml:space="preserve"> (68% en 2024). A continuación, se sitúan los que lograron un descuento de entre el 10% y el 15%, que constituyeron el 24%, un punto porcentual más que doce meses antes.</w:t>
      </w:r>
    </w:p>
    <w:p w14:paraId="56DA1CF2" w14:textId="77777777" w:rsidR="00A56AFC" w:rsidRDefault="00A56AFC">
      <w:pPr>
        <w:pBdr>
          <w:top w:val="nil"/>
          <w:left w:val="nil"/>
          <w:bottom w:val="nil"/>
          <w:right w:val="nil"/>
          <w:between w:val="nil"/>
        </w:pBdr>
        <w:spacing w:line="276" w:lineRule="auto"/>
        <w:jc w:val="both"/>
        <w:rPr>
          <w:rFonts w:ascii="Open Sans" w:eastAsia="Open Sans" w:hAnsi="Open Sans" w:cs="Open Sans"/>
          <w:sz w:val="22"/>
          <w:szCs w:val="22"/>
        </w:rPr>
      </w:pPr>
    </w:p>
    <w:p w14:paraId="089558F8" w14:textId="77777777" w:rsidR="00A56AFC"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En cuanto al periodo durante el que se produjo la negociación culminada con éxito para los inquilinos</w:t>
      </w:r>
      <w:r>
        <w:rPr>
          <w:rFonts w:ascii="Open Sans" w:eastAsia="Open Sans" w:hAnsi="Open Sans" w:cs="Open Sans"/>
          <w:b/>
          <w:sz w:val="22"/>
          <w:szCs w:val="22"/>
        </w:rPr>
        <w:t>, el 61% dedicó a este proceso menos de un mes</w:t>
      </w:r>
      <w:r>
        <w:rPr>
          <w:rFonts w:ascii="Open Sans" w:eastAsia="Open Sans" w:hAnsi="Open Sans" w:cs="Open Sans"/>
          <w:sz w:val="22"/>
          <w:szCs w:val="22"/>
        </w:rPr>
        <w:t>, el 19% entre uno y tres meses y otro 21 % necesitó entre tres meses y más de un año.</w:t>
      </w:r>
    </w:p>
    <w:p w14:paraId="6482C888" w14:textId="77777777" w:rsidR="00A56AFC" w:rsidRDefault="00A56AFC">
      <w:pPr>
        <w:pBdr>
          <w:top w:val="nil"/>
          <w:left w:val="nil"/>
          <w:bottom w:val="nil"/>
          <w:right w:val="nil"/>
          <w:between w:val="nil"/>
        </w:pBdr>
        <w:spacing w:line="276" w:lineRule="auto"/>
        <w:jc w:val="both"/>
        <w:rPr>
          <w:rFonts w:ascii="Open Sans" w:eastAsia="Open Sans" w:hAnsi="Open Sans" w:cs="Open Sans"/>
          <w:sz w:val="22"/>
          <w:szCs w:val="22"/>
        </w:rPr>
      </w:pPr>
    </w:p>
    <w:p w14:paraId="0853EA38" w14:textId="77777777" w:rsidR="00A56AFC"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noProof/>
        </w:rPr>
        <w:drawing>
          <wp:inline distT="0" distB="0" distL="0" distR="0" wp14:anchorId="1035F354" wp14:editId="6B344A83">
            <wp:extent cx="5849620" cy="3200400"/>
            <wp:effectExtent l="0" t="0" r="0" b="0"/>
            <wp:docPr id="2066816629" name="image2.png" descr="Gráfico, Escala de tiem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Gráfico, Escala de tiempo&#10;&#10;El contenido generado por IA puede ser incorrecto."/>
                    <pic:cNvPicPr preferRelativeResize="0"/>
                  </pic:nvPicPr>
                  <pic:blipFill>
                    <a:blip r:embed="rId12"/>
                    <a:srcRect/>
                    <a:stretch>
                      <a:fillRect/>
                    </a:stretch>
                  </pic:blipFill>
                  <pic:spPr>
                    <a:xfrm>
                      <a:off x="0" y="0"/>
                      <a:ext cx="5850103" cy="3200664"/>
                    </a:xfrm>
                    <a:prstGeom prst="rect">
                      <a:avLst/>
                    </a:prstGeom>
                    <a:ln/>
                  </pic:spPr>
                </pic:pic>
              </a:graphicData>
            </a:graphic>
          </wp:inline>
        </w:drawing>
      </w:r>
    </w:p>
    <w:p w14:paraId="164D0D89" w14:textId="77777777" w:rsidR="00A56AFC" w:rsidRDefault="00A56AFC">
      <w:pPr>
        <w:pBdr>
          <w:top w:val="nil"/>
          <w:left w:val="nil"/>
          <w:bottom w:val="nil"/>
          <w:right w:val="nil"/>
          <w:between w:val="nil"/>
        </w:pBdr>
        <w:spacing w:line="276" w:lineRule="auto"/>
        <w:jc w:val="both"/>
        <w:rPr>
          <w:rFonts w:ascii="Open Sans" w:eastAsia="Open Sans" w:hAnsi="Open Sans" w:cs="Open Sans"/>
          <w:sz w:val="22"/>
          <w:szCs w:val="22"/>
        </w:rPr>
      </w:pPr>
    </w:p>
    <w:p w14:paraId="250CF42C" w14:textId="0E8568A3" w:rsidR="00A56AFC"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24% de los propietarios asegura haber negociado el precio del alquiler</w:t>
      </w:r>
    </w:p>
    <w:p w14:paraId="7D0006AF" w14:textId="77777777" w:rsidR="00A56AFC" w:rsidRDefault="00A56AFC">
      <w:pPr>
        <w:pBdr>
          <w:top w:val="nil"/>
          <w:left w:val="nil"/>
          <w:bottom w:val="nil"/>
          <w:right w:val="nil"/>
          <w:between w:val="nil"/>
        </w:pBdr>
        <w:spacing w:line="276" w:lineRule="auto"/>
        <w:jc w:val="both"/>
        <w:rPr>
          <w:rFonts w:ascii="Open Sans" w:eastAsia="Open Sans" w:hAnsi="Open Sans" w:cs="Open Sans"/>
          <w:sz w:val="22"/>
          <w:szCs w:val="22"/>
        </w:rPr>
      </w:pPr>
    </w:p>
    <w:p w14:paraId="050D6B74" w14:textId="77777777" w:rsidR="00A56AFC"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En el caso de los propietarios de vivienda en alquiler, </w:t>
      </w:r>
      <w:r>
        <w:rPr>
          <w:rFonts w:ascii="Open Sans" w:eastAsia="Open Sans" w:hAnsi="Open Sans" w:cs="Open Sans"/>
          <w:b/>
          <w:sz w:val="22"/>
          <w:szCs w:val="22"/>
        </w:rPr>
        <w:t xml:space="preserve">el 24% asegura que en el último año ha negociado el precio de la renta mensual. </w:t>
      </w:r>
      <w:r>
        <w:rPr>
          <w:rFonts w:ascii="Open Sans" w:eastAsia="Open Sans" w:hAnsi="Open Sans" w:cs="Open Sans"/>
          <w:sz w:val="22"/>
          <w:szCs w:val="22"/>
        </w:rPr>
        <w:t>Se trata de una proporción más alta que la del pasado año, cuando fue algo que hicieron solo el 21%.</w:t>
      </w:r>
    </w:p>
    <w:p w14:paraId="6EDFE8A0" w14:textId="77777777" w:rsidR="00A56AFC" w:rsidRDefault="00A56AFC">
      <w:pPr>
        <w:pBdr>
          <w:top w:val="nil"/>
          <w:left w:val="nil"/>
          <w:bottom w:val="nil"/>
          <w:right w:val="nil"/>
          <w:between w:val="nil"/>
        </w:pBdr>
        <w:spacing w:line="276" w:lineRule="auto"/>
        <w:jc w:val="both"/>
        <w:rPr>
          <w:rFonts w:ascii="Open Sans" w:eastAsia="Open Sans" w:hAnsi="Open Sans" w:cs="Open Sans"/>
          <w:sz w:val="22"/>
          <w:szCs w:val="22"/>
        </w:rPr>
      </w:pPr>
    </w:p>
    <w:p w14:paraId="1EEC37C4" w14:textId="77777777" w:rsidR="00A56AFC"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Desde el punto de vista de los arrendadores,</w:t>
      </w:r>
      <w:r>
        <w:rPr>
          <w:rFonts w:ascii="Open Sans" w:eastAsia="Open Sans" w:hAnsi="Open Sans" w:cs="Open Sans"/>
          <w:b/>
          <w:sz w:val="22"/>
          <w:szCs w:val="22"/>
        </w:rPr>
        <w:t xml:space="preserve"> el resultado de las negociaciones condujo en la mayoría de los casos a la bajada del precio</w:t>
      </w:r>
      <w:r>
        <w:rPr>
          <w:rFonts w:ascii="Open Sans" w:eastAsia="Open Sans" w:hAnsi="Open Sans" w:cs="Open Sans"/>
          <w:sz w:val="22"/>
          <w:szCs w:val="22"/>
        </w:rPr>
        <w:t>. Así fue en el 59% de los casos, si bien este porcentaje se reduce respecto al del informe anterior, cuando alcanzaba el 62%. Por su parte, hay un 36% de los propietarios que, tras la negociación, logró aumentar el precio de la renta mensual, un porcentaje tres puntos por encima del de 2024.</w:t>
      </w:r>
    </w:p>
    <w:p w14:paraId="67241492" w14:textId="77777777" w:rsidR="00A56AFC" w:rsidRDefault="00A56AFC">
      <w:pPr>
        <w:pBdr>
          <w:top w:val="nil"/>
          <w:left w:val="nil"/>
          <w:bottom w:val="nil"/>
          <w:right w:val="nil"/>
          <w:between w:val="nil"/>
        </w:pBdr>
        <w:spacing w:line="276" w:lineRule="auto"/>
        <w:jc w:val="both"/>
        <w:rPr>
          <w:rFonts w:ascii="Open Sans" w:eastAsia="Open Sans" w:hAnsi="Open Sans" w:cs="Open Sans"/>
          <w:sz w:val="22"/>
          <w:szCs w:val="22"/>
        </w:rPr>
      </w:pPr>
    </w:p>
    <w:p w14:paraId="6E3611FB" w14:textId="77777777" w:rsidR="00A56AFC"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noProof/>
        </w:rPr>
        <w:lastRenderedPageBreak/>
        <w:drawing>
          <wp:inline distT="0" distB="0" distL="0" distR="0" wp14:anchorId="0EC1E00C" wp14:editId="79960FD2">
            <wp:extent cx="5715000" cy="2613660"/>
            <wp:effectExtent l="0" t="0" r="0" b="0"/>
            <wp:docPr id="2066816632" name="image3.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Diagrama&#10;&#10;El contenido generado por IA puede ser incorrecto."/>
                    <pic:cNvPicPr preferRelativeResize="0"/>
                  </pic:nvPicPr>
                  <pic:blipFill>
                    <a:blip r:embed="rId13"/>
                    <a:srcRect/>
                    <a:stretch>
                      <a:fillRect/>
                    </a:stretch>
                  </pic:blipFill>
                  <pic:spPr>
                    <a:xfrm>
                      <a:off x="0" y="0"/>
                      <a:ext cx="5715000" cy="2613660"/>
                    </a:xfrm>
                    <a:prstGeom prst="rect">
                      <a:avLst/>
                    </a:prstGeom>
                    <a:ln/>
                  </pic:spPr>
                </pic:pic>
              </a:graphicData>
            </a:graphic>
          </wp:inline>
        </w:drawing>
      </w:r>
    </w:p>
    <w:p w14:paraId="2B5CCE6F" w14:textId="77777777" w:rsidR="00A56AFC" w:rsidRDefault="00A56AFC">
      <w:pPr>
        <w:pBdr>
          <w:top w:val="nil"/>
          <w:left w:val="nil"/>
          <w:bottom w:val="nil"/>
          <w:right w:val="nil"/>
          <w:between w:val="nil"/>
        </w:pBdr>
        <w:spacing w:line="276" w:lineRule="auto"/>
        <w:jc w:val="both"/>
        <w:rPr>
          <w:rFonts w:ascii="Open Sans" w:eastAsia="Open Sans" w:hAnsi="Open Sans" w:cs="Open Sans"/>
          <w:sz w:val="22"/>
          <w:szCs w:val="22"/>
        </w:rPr>
      </w:pPr>
    </w:p>
    <w:p w14:paraId="226842BB" w14:textId="77777777" w:rsidR="00A56AFC"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En el análisis de los propietarios que negociaron el precio a la baja vemos que se trata de un escenario que muchos de ellos ya conocen. De hecho, </w:t>
      </w:r>
      <w:r>
        <w:rPr>
          <w:rFonts w:ascii="Open Sans" w:eastAsia="Open Sans" w:hAnsi="Open Sans" w:cs="Open Sans"/>
          <w:b/>
          <w:sz w:val="22"/>
          <w:szCs w:val="22"/>
        </w:rPr>
        <w:t>un 49% ya había realizado estas variaciones en el precio más veces</w:t>
      </w:r>
      <w:r>
        <w:rPr>
          <w:rFonts w:ascii="Open Sans" w:eastAsia="Open Sans" w:hAnsi="Open Sans" w:cs="Open Sans"/>
          <w:sz w:val="22"/>
          <w:szCs w:val="22"/>
        </w:rPr>
        <w:t>, frente al 51% que afirma haberse estrenado en estas lides durante el último año.</w:t>
      </w:r>
    </w:p>
    <w:p w14:paraId="14D4C193" w14:textId="77777777" w:rsidR="00A56AFC" w:rsidRDefault="00A56AFC">
      <w:pPr>
        <w:pBdr>
          <w:top w:val="nil"/>
          <w:left w:val="nil"/>
          <w:bottom w:val="nil"/>
          <w:right w:val="nil"/>
          <w:between w:val="nil"/>
        </w:pBdr>
        <w:spacing w:line="276" w:lineRule="auto"/>
        <w:jc w:val="both"/>
        <w:rPr>
          <w:rFonts w:ascii="Open Sans" w:eastAsia="Open Sans" w:hAnsi="Open Sans" w:cs="Open Sans"/>
          <w:sz w:val="22"/>
          <w:szCs w:val="22"/>
        </w:rPr>
      </w:pPr>
    </w:p>
    <w:p w14:paraId="4112DC60" w14:textId="77777777" w:rsidR="00A56AFC" w:rsidRDefault="00000000">
      <w:pPr>
        <w:pBdr>
          <w:top w:val="nil"/>
          <w:left w:val="nil"/>
          <w:bottom w:val="nil"/>
          <w:right w:val="nil"/>
          <w:between w:val="nil"/>
        </w:pBdr>
        <w:spacing w:line="276" w:lineRule="auto"/>
        <w:jc w:val="both"/>
        <w:rPr>
          <w:rFonts w:ascii="Open Sans" w:eastAsia="Open Sans" w:hAnsi="Open Sans" w:cs="Open Sans"/>
          <w:b/>
          <w:sz w:val="22"/>
          <w:szCs w:val="22"/>
        </w:rPr>
      </w:pPr>
      <w:r>
        <w:rPr>
          <w:rFonts w:ascii="Open Sans" w:eastAsia="Open Sans" w:hAnsi="Open Sans" w:cs="Open Sans"/>
          <w:sz w:val="22"/>
          <w:szCs w:val="22"/>
        </w:rPr>
        <w:t xml:space="preserve">Cabe recordar que </w:t>
      </w:r>
      <w:r>
        <w:rPr>
          <w:rFonts w:ascii="Open Sans" w:eastAsia="Open Sans" w:hAnsi="Open Sans" w:cs="Open Sans"/>
          <w:b/>
          <w:sz w:val="22"/>
          <w:szCs w:val="22"/>
        </w:rPr>
        <w:t>las modificaciones del precio no suelen superar el 10% del coste del alquiler,</w:t>
      </w:r>
      <w:r>
        <w:rPr>
          <w:rFonts w:ascii="Open Sans" w:eastAsia="Open Sans" w:hAnsi="Open Sans" w:cs="Open Sans"/>
          <w:sz w:val="22"/>
          <w:szCs w:val="22"/>
        </w:rPr>
        <w:t xml:space="preserve"> de manera que este fue el rango de variación que asumieron el 70% de los arrendadores que redujeron el precio del alquiler de su vivienda. Otro </w:t>
      </w:r>
      <w:r>
        <w:rPr>
          <w:rFonts w:ascii="Open Sans" w:eastAsia="Open Sans" w:hAnsi="Open Sans" w:cs="Open Sans"/>
          <w:b/>
          <w:sz w:val="22"/>
          <w:szCs w:val="22"/>
        </w:rPr>
        <w:t>20% asegura que la modificación del precio osciló entre el 10% y el 15%.</w:t>
      </w:r>
    </w:p>
    <w:p w14:paraId="0B9D1CA7" w14:textId="77777777" w:rsidR="00A56AFC" w:rsidRDefault="00A56AFC">
      <w:pPr>
        <w:pBdr>
          <w:top w:val="nil"/>
          <w:left w:val="nil"/>
          <w:bottom w:val="nil"/>
          <w:right w:val="nil"/>
          <w:between w:val="nil"/>
        </w:pBdr>
        <w:spacing w:line="276" w:lineRule="auto"/>
        <w:jc w:val="both"/>
        <w:rPr>
          <w:rFonts w:ascii="Open Sans" w:eastAsia="Open Sans" w:hAnsi="Open Sans" w:cs="Open Sans"/>
          <w:sz w:val="22"/>
          <w:szCs w:val="22"/>
        </w:rPr>
      </w:pPr>
    </w:p>
    <w:p w14:paraId="1489072A" w14:textId="0CE9F0F7" w:rsidR="00A56AFC"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En cuanto al tiempo que llevó la negociación, en la mayor parte de los casos fue de menos   de un mes, periodo dentro del cual el 65% de los particulares propietarios de una vivienda de alquiler que descendieron el precio alcanzaron un acuerdo con la otra parte. A estos hay que sumar un 16% que tardó entre uno y tres meses y otro 19% que necesitó más tiempo.</w:t>
      </w:r>
    </w:p>
    <w:p w14:paraId="4770AAD2" w14:textId="77777777" w:rsidR="00223C8E" w:rsidRDefault="00223C8E">
      <w:pPr>
        <w:pBdr>
          <w:top w:val="nil"/>
          <w:left w:val="nil"/>
          <w:bottom w:val="nil"/>
          <w:right w:val="nil"/>
          <w:between w:val="nil"/>
        </w:pBdr>
        <w:spacing w:line="276" w:lineRule="auto"/>
        <w:jc w:val="both"/>
        <w:rPr>
          <w:rFonts w:ascii="Open Sans" w:eastAsia="Open Sans" w:hAnsi="Open Sans" w:cs="Open Sans"/>
          <w:sz w:val="22"/>
          <w:szCs w:val="22"/>
        </w:rPr>
      </w:pPr>
    </w:p>
    <w:p w14:paraId="67E48E87" w14:textId="77777777" w:rsidR="00A56AFC"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noProof/>
        </w:rPr>
        <w:drawing>
          <wp:inline distT="0" distB="0" distL="0" distR="0" wp14:anchorId="6D2665F5" wp14:editId="7369A012">
            <wp:extent cx="5722620" cy="2308860"/>
            <wp:effectExtent l="0" t="0" r="0" b="0"/>
            <wp:docPr id="2066816631" name="image4.png" descr="Gráfico, Gráfico circular&#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Gráfico, Gráfico circular&#10;&#10;El contenido generado por IA puede ser incorrecto."/>
                    <pic:cNvPicPr preferRelativeResize="0"/>
                  </pic:nvPicPr>
                  <pic:blipFill>
                    <a:blip r:embed="rId14"/>
                    <a:srcRect/>
                    <a:stretch>
                      <a:fillRect/>
                    </a:stretch>
                  </pic:blipFill>
                  <pic:spPr>
                    <a:xfrm>
                      <a:off x="0" y="0"/>
                      <a:ext cx="5723406" cy="2309177"/>
                    </a:xfrm>
                    <a:prstGeom prst="rect">
                      <a:avLst/>
                    </a:prstGeom>
                    <a:ln/>
                  </pic:spPr>
                </pic:pic>
              </a:graphicData>
            </a:graphic>
          </wp:inline>
        </w:drawing>
      </w:r>
    </w:p>
    <w:p w14:paraId="06E9855B" w14:textId="77777777" w:rsidR="00223C8E" w:rsidRDefault="00223C8E">
      <w:pPr>
        <w:pBdr>
          <w:top w:val="nil"/>
          <w:left w:val="nil"/>
          <w:bottom w:val="nil"/>
          <w:right w:val="nil"/>
          <w:between w:val="nil"/>
        </w:pBdr>
        <w:spacing w:line="276" w:lineRule="auto"/>
        <w:jc w:val="both"/>
        <w:rPr>
          <w:rFonts w:ascii="Open Sans" w:eastAsia="Open Sans" w:hAnsi="Open Sans" w:cs="Open Sans"/>
          <w:sz w:val="22"/>
          <w:szCs w:val="22"/>
        </w:rPr>
      </w:pPr>
    </w:p>
    <w:p w14:paraId="1246D941" w14:textId="47ADA7E9" w:rsidR="00A56AFC"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 xml:space="preserve">La medida de reducir el precio del alquiler viene marcada, en el 30% de los casos, por el mismo motivo: </w:t>
      </w:r>
      <w:r>
        <w:rPr>
          <w:rFonts w:ascii="Open Sans" w:eastAsia="Open Sans" w:hAnsi="Open Sans" w:cs="Open Sans"/>
          <w:b/>
          <w:sz w:val="22"/>
          <w:szCs w:val="22"/>
        </w:rPr>
        <w:t>que los inquilinos no podían pagar el alquiler porque su situación económica había empeorado</w:t>
      </w:r>
      <w:r>
        <w:rPr>
          <w:rFonts w:ascii="Open Sans" w:eastAsia="Open Sans" w:hAnsi="Open Sans" w:cs="Open Sans"/>
          <w:sz w:val="22"/>
          <w:szCs w:val="22"/>
        </w:rPr>
        <w:t>. Se trata, además, de un factor que experimenta un fuerte auge en doce meses, ya que en febrero de 2024 se situaba únicamente en el 21%.</w:t>
      </w:r>
    </w:p>
    <w:p w14:paraId="43093CCC" w14:textId="77777777" w:rsidR="00A56AFC" w:rsidRDefault="00A56AFC">
      <w:pPr>
        <w:pBdr>
          <w:top w:val="nil"/>
          <w:left w:val="nil"/>
          <w:bottom w:val="nil"/>
          <w:right w:val="nil"/>
          <w:between w:val="nil"/>
        </w:pBdr>
        <w:spacing w:line="276" w:lineRule="auto"/>
        <w:jc w:val="both"/>
        <w:rPr>
          <w:rFonts w:ascii="Open Sans" w:eastAsia="Open Sans" w:hAnsi="Open Sans" w:cs="Open Sans"/>
          <w:sz w:val="22"/>
          <w:szCs w:val="22"/>
        </w:rPr>
      </w:pPr>
    </w:p>
    <w:p w14:paraId="24E9457E" w14:textId="485623DD" w:rsidR="00A56AFC"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Otras causas que también tienen un peso relevante son que solo así se podía llegar a un acuerdo, razón que expone el 23% de los propietarios. También en este caso se aprecia un significativo incremento porcentual, desde el 19% del año anterior.</w:t>
      </w:r>
    </w:p>
    <w:p w14:paraId="241BB8E9" w14:textId="77777777" w:rsidR="00A56AFC" w:rsidRDefault="00A56AFC">
      <w:pPr>
        <w:pBdr>
          <w:top w:val="nil"/>
          <w:left w:val="nil"/>
          <w:bottom w:val="nil"/>
          <w:right w:val="nil"/>
          <w:between w:val="nil"/>
        </w:pBdr>
        <w:spacing w:line="276" w:lineRule="auto"/>
        <w:jc w:val="both"/>
        <w:rPr>
          <w:rFonts w:ascii="Open Sans" w:eastAsia="Open Sans" w:hAnsi="Open Sans" w:cs="Open Sans"/>
          <w:sz w:val="22"/>
          <w:szCs w:val="22"/>
        </w:rPr>
      </w:pPr>
    </w:p>
    <w:p w14:paraId="569176B8" w14:textId="77777777" w:rsidR="00A56AFC"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Por el contrario, </w:t>
      </w:r>
      <w:r>
        <w:rPr>
          <w:rFonts w:ascii="Open Sans" w:eastAsia="Open Sans" w:hAnsi="Open Sans" w:cs="Open Sans"/>
          <w:b/>
          <w:sz w:val="22"/>
          <w:szCs w:val="22"/>
        </w:rPr>
        <w:t>el motivo de que el precio no correspondía con la realidad del mercado se desploma del 12% al 6%.</w:t>
      </w:r>
      <w:r>
        <w:rPr>
          <w:rFonts w:ascii="Open Sans" w:eastAsia="Open Sans" w:hAnsi="Open Sans" w:cs="Open Sans"/>
          <w:sz w:val="22"/>
          <w:szCs w:val="22"/>
        </w:rPr>
        <w:t xml:space="preserve"> El tercer motivo más mencionado se asienta en </w:t>
      </w:r>
      <w:r>
        <w:rPr>
          <w:rFonts w:ascii="Open Sans" w:eastAsia="Open Sans" w:hAnsi="Open Sans" w:cs="Open Sans"/>
          <w:b/>
          <w:sz w:val="22"/>
          <w:szCs w:val="22"/>
        </w:rPr>
        <w:t>la urgencia de alguna de las partes implicadas en las conversaciones</w:t>
      </w:r>
      <w:r>
        <w:rPr>
          <w:rFonts w:ascii="Open Sans" w:eastAsia="Open Sans" w:hAnsi="Open Sans" w:cs="Open Sans"/>
          <w:sz w:val="22"/>
          <w:szCs w:val="22"/>
        </w:rPr>
        <w:t>, una razón que comparten el 14% de los propietarios consultados.</w:t>
      </w:r>
    </w:p>
    <w:p w14:paraId="258453E7" w14:textId="77777777" w:rsidR="00A56AFC" w:rsidRDefault="00A56AFC">
      <w:pPr>
        <w:pBdr>
          <w:top w:val="nil"/>
          <w:left w:val="nil"/>
          <w:bottom w:val="nil"/>
          <w:right w:val="nil"/>
          <w:between w:val="nil"/>
        </w:pBdr>
        <w:spacing w:line="276" w:lineRule="auto"/>
        <w:jc w:val="both"/>
        <w:rPr>
          <w:rFonts w:ascii="Open Sans" w:eastAsia="Open Sans" w:hAnsi="Open Sans" w:cs="Open Sans"/>
          <w:sz w:val="22"/>
          <w:szCs w:val="22"/>
        </w:rPr>
      </w:pPr>
    </w:p>
    <w:p w14:paraId="60937D56" w14:textId="77777777" w:rsidR="00A56AFC"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noProof/>
        </w:rPr>
        <w:drawing>
          <wp:inline distT="0" distB="0" distL="0" distR="0" wp14:anchorId="442429A7" wp14:editId="48C59D05">
            <wp:extent cx="5798820" cy="3535680"/>
            <wp:effectExtent l="0" t="0" r="0" b="7620"/>
            <wp:docPr id="2066816626" name="image5.png" descr="Escala de tiem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Escala de tiempo&#10;&#10;El contenido generado por IA puede ser incorrecto."/>
                    <pic:cNvPicPr preferRelativeResize="0"/>
                  </pic:nvPicPr>
                  <pic:blipFill>
                    <a:blip r:embed="rId15"/>
                    <a:srcRect/>
                    <a:stretch>
                      <a:fillRect/>
                    </a:stretch>
                  </pic:blipFill>
                  <pic:spPr>
                    <a:xfrm>
                      <a:off x="0" y="0"/>
                      <a:ext cx="5798820" cy="3535680"/>
                    </a:xfrm>
                    <a:prstGeom prst="rect">
                      <a:avLst/>
                    </a:prstGeom>
                    <a:ln/>
                  </pic:spPr>
                </pic:pic>
              </a:graphicData>
            </a:graphic>
          </wp:inline>
        </w:drawing>
      </w:r>
    </w:p>
    <w:p w14:paraId="153C43D5" w14:textId="77777777" w:rsidR="00A56AFC" w:rsidRDefault="00A56AFC">
      <w:pPr>
        <w:pBdr>
          <w:top w:val="nil"/>
          <w:left w:val="nil"/>
          <w:bottom w:val="nil"/>
          <w:right w:val="nil"/>
          <w:between w:val="nil"/>
        </w:pBdr>
        <w:spacing w:line="276" w:lineRule="auto"/>
        <w:jc w:val="both"/>
        <w:rPr>
          <w:rFonts w:ascii="Open Sans" w:eastAsia="Open Sans" w:hAnsi="Open Sans" w:cs="Open Sans"/>
          <w:sz w:val="22"/>
          <w:szCs w:val="22"/>
        </w:rPr>
      </w:pPr>
    </w:p>
    <w:p w14:paraId="4402F1F5" w14:textId="77777777" w:rsidR="00A56AFC" w:rsidRDefault="00A56AFC">
      <w:pPr>
        <w:pBdr>
          <w:top w:val="nil"/>
          <w:left w:val="nil"/>
          <w:bottom w:val="nil"/>
          <w:right w:val="nil"/>
          <w:between w:val="nil"/>
        </w:pBdr>
        <w:spacing w:line="276" w:lineRule="auto"/>
        <w:jc w:val="both"/>
        <w:rPr>
          <w:rFonts w:ascii="Open Sans" w:eastAsia="Open Sans" w:hAnsi="Open Sans" w:cs="Open Sans"/>
          <w:sz w:val="22"/>
          <w:szCs w:val="22"/>
        </w:rPr>
      </w:pPr>
    </w:p>
    <w:p w14:paraId="684C8EED" w14:textId="77777777" w:rsidR="00223C8E" w:rsidRDefault="00223C8E">
      <w:pPr>
        <w:pBdr>
          <w:top w:val="nil"/>
          <w:left w:val="nil"/>
          <w:bottom w:val="nil"/>
          <w:right w:val="nil"/>
          <w:between w:val="nil"/>
        </w:pBdr>
        <w:spacing w:line="276" w:lineRule="auto"/>
        <w:jc w:val="both"/>
        <w:rPr>
          <w:rFonts w:ascii="Open Sans" w:eastAsia="Open Sans" w:hAnsi="Open Sans" w:cs="Open Sans"/>
          <w:sz w:val="22"/>
          <w:szCs w:val="22"/>
        </w:rPr>
      </w:pPr>
    </w:p>
    <w:p w14:paraId="06B57684" w14:textId="77777777" w:rsidR="00223C8E" w:rsidRDefault="00223C8E">
      <w:pPr>
        <w:pBdr>
          <w:top w:val="nil"/>
          <w:left w:val="nil"/>
          <w:bottom w:val="nil"/>
          <w:right w:val="nil"/>
          <w:between w:val="nil"/>
        </w:pBdr>
        <w:spacing w:line="276" w:lineRule="auto"/>
        <w:jc w:val="both"/>
        <w:rPr>
          <w:rFonts w:ascii="Open Sans" w:eastAsia="Open Sans" w:hAnsi="Open Sans" w:cs="Open Sans"/>
          <w:sz w:val="22"/>
          <w:szCs w:val="22"/>
        </w:rPr>
      </w:pPr>
    </w:p>
    <w:p w14:paraId="0E61E709" w14:textId="77777777" w:rsidR="00223C8E" w:rsidRDefault="00223C8E">
      <w:pPr>
        <w:pBdr>
          <w:top w:val="nil"/>
          <w:left w:val="nil"/>
          <w:bottom w:val="nil"/>
          <w:right w:val="nil"/>
          <w:between w:val="nil"/>
        </w:pBdr>
        <w:spacing w:line="276" w:lineRule="auto"/>
        <w:jc w:val="both"/>
        <w:rPr>
          <w:rFonts w:ascii="Open Sans" w:eastAsia="Open Sans" w:hAnsi="Open Sans" w:cs="Open Sans"/>
          <w:sz w:val="22"/>
          <w:szCs w:val="22"/>
        </w:rPr>
      </w:pPr>
    </w:p>
    <w:p w14:paraId="6E6443DA" w14:textId="77777777" w:rsidR="00223C8E" w:rsidRDefault="00223C8E">
      <w:pPr>
        <w:pBdr>
          <w:top w:val="nil"/>
          <w:left w:val="nil"/>
          <w:bottom w:val="nil"/>
          <w:right w:val="nil"/>
          <w:between w:val="nil"/>
        </w:pBdr>
        <w:spacing w:line="276" w:lineRule="auto"/>
        <w:jc w:val="both"/>
        <w:rPr>
          <w:rFonts w:ascii="Open Sans" w:eastAsia="Open Sans" w:hAnsi="Open Sans" w:cs="Open Sans"/>
          <w:sz w:val="22"/>
          <w:szCs w:val="22"/>
        </w:rPr>
      </w:pPr>
    </w:p>
    <w:p w14:paraId="6FDAA518" w14:textId="77777777" w:rsidR="00223C8E" w:rsidRDefault="00223C8E">
      <w:pPr>
        <w:pBdr>
          <w:top w:val="nil"/>
          <w:left w:val="nil"/>
          <w:bottom w:val="nil"/>
          <w:right w:val="nil"/>
          <w:between w:val="nil"/>
        </w:pBdr>
        <w:spacing w:line="276" w:lineRule="auto"/>
        <w:jc w:val="both"/>
        <w:rPr>
          <w:rFonts w:ascii="Open Sans" w:eastAsia="Open Sans" w:hAnsi="Open Sans" w:cs="Open Sans"/>
          <w:sz w:val="22"/>
          <w:szCs w:val="22"/>
        </w:rPr>
      </w:pPr>
    </w:p>
    <w:p w14:paraId="3E91E7EF" w14:textId="77777777" w:rsidR="00223C8E" w:rsidRDefault="00223C8E">
      <w:pPr>
        <w:pBdr>
          <w:top w:val="nil"/>
          <w:left w:val="nil"/>
          <w:bottom w:val="nil"/>
          <w:right w:val="nil"/>
          <w:between w:val="nil"/>
        </w:pBdr>
        <w:spacing w:line="276" w:lineRule="auto"/>
        <w:jc w:val="both"/>
        <w:rPr>
          <w:rFonts w:ascii="Open Sans" w:eastAsia="Open Sans" w:hAnsi="Open Sans" w:cs="Open Sans"/>
          <w:sz w:val="22"/>
          <w:szCs w:val="22"/>
        </w:rPr>
      </w:pPr>
    </w:p>
    <w:p w14:paraId="675CFE97" w14:textId="77777777" w:rsidR="00223C8E" w:rsidRDefault="00223C8E">
      <w:pPr>
        <w:pBdr>
          <w:top w:val="nil"/>
          <w:left w:val="nil"/>
          <w:bottom w:val="nil"/>
          <w:right w:val="nil"/>
          <w:between w:val="nil"/>
        </w:pBdr>
        <w:spacing w:line="276" w:lineRule="auto"/>
        <w:jc w:val="both"/>
        <w:rPr>
          <w:rFonts w:ascii="Open Sans" w:eastAsia="Open Sans" w:hAnsi="Open Sans" w:cs="Open Sans"/>
          <w:sz w:val="22"/>
          <w:szCs w:val="22"/>
        </w:rPr>
      </w:pPr>
    </w:p>
    <w:p w14:paraId="0F8A5D7E" w14:textId="77777777" w:rsidR="00223C8E" w:rsidRDefault="00223C8E">
      <w:pPr>
        <w:pBdr>
          <w:top w:val="nil"/>
          <w:left w:val="nil"/>
          <w:bottom w:val="nil"/>
          <w:right w:val="nil"/>
          <w:between w:val="nil"/>
        </w:pBdr>
        <w:spacing w:line="276" w:lineRule="auto"/>
        <w:jc w:val="both"/>
        <w:rPr>
          <w:rFonts w:ascii="Open Sans" w:eastAsia="Open Sans" w:hAnsi="Open Sans" w:cs="Open Sans"/>
          <w:sz w:val="22"/>
          <w:szCs w:val="22"/>
        </w:rPr>
      </w:pPr>
    </w:p>
    <w:p w14:paraId="3AC1C282" w14:textId="1D6DE942" w:rsidR="00A56AFC" w:rsidRDefault="00223C8E">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w:t>
      </w:r>
      <w:r w:rsidR="00000000">
        <w:rPr>
          <w:rFonts w:ascii="Open Sans Light" w:eastAsia="Open Sans Light" w:hAnsi="Open Sans Light" w:cs="Open Sans Light"/>
          <w:b/>
          <w:color w:val="303AB2"/>
        </w:rPr>
        <w:t>obre Fotocasa</w:t>
      </w:r>
    </w:p>
    <w:p w14:paraId="364FD656" w14:textId="77777777" w:rsidR="00A56AFC"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2FDE644E" w14:textId="77777777" w:rsidR="00A56AFC"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7">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01BACD9F" w14:textId="77777777" w:rsidR="00A56AFC"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766EF299" w14:textId="77777777" w:rsidR="00A56AF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195DCD60" w14:textId="77777777" w:rsidR="00A56AFC"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3E9C94BF" w14:textId="77777777" w:rsidR="00A56AFC"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1803380F" w14:textId="77777777" w:rsidR="00A56AFC"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4E8A54AA" w14:textId="77777777" w:rsidR="00A56AFC" w:rsidRDefault="00000000">
      <w:pPr>
        <w:spacing w:before="143" w:after="200"/>
        <w:jc w:val="both"/>
      </w:pPr>
      <w:r>
        <w:rPr>
          <w:rFonts w:ascii="Open Sans" w:eastAsia="Open Sans" w:hAnsi="Open Sans" w:cs="Open Sans"/>
          <w:sz w:val="22"/>
          <w:szCs w:val="22"/>
        </w:rPr>
        <w:t xml:space="preserve">Más información en </w:t>
      </w:r>
      <w:hyperlink r:id="rId23">
        <w:r>
          <w:rPr>
            <w:rFonts w:ascii="Open Sans" w:eastAsia="Open Sans" w:hAnsi="Open Sans" w:cs="Open Sans"/>
            <w:color w:val="1155CC"/>
            <w:sz w:val="22"/>
            <w:szCs w:val="22"/>
            <w:u w:val="single"/>
          </w:rPr>
          <w:t>adevinta.es</w:t>
        </w:r>
      </w:hyperlink>
    </w:p>
    <w:p w14:paraId="214F1FBF" w14:textId="77777777" w:rsidR="00A56AFC" w:rsidRDefault="00A56AFC">
      <w:pPr>
        <w:spacing w:before="143" w:after="200"/>
        <w:jc w:val="both"/>
        <w:rPr>
          <w:rFonts w:ascii="Open Sans" w:eastAsia="Open Sans" w:hAnsi="Open Sans" w:cs="Open Sans"/>
        </w:rPr>
      </w:pPr>
    </w:p>
    <w:p w14:paraId="73819496" w14:textId="77777777" w:rsidR="00A56AFC"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4D2E3328" w14:textId="77777777" w:rsidR="00A56AFC"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06D5855" w14:textId="77777777" w:rsidR="00A56AFC" w:rsidRDefault="00000000">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7DE25D56" w14:textId="77777777" w:rsidR="00A56AFC"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A56AFC">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323C7" w14:textId="77777777" w:rsidR="00B46A6D" w:rsidRDefault="00B46A6D">
      <w:r>
        <w:separator/>
      </w:r>
    </w:p>
  </w:endnote>
  <w:endnote w:type="continuationSeparator" w:id="0">
    <w:p w14:paraId="6B7566E6" w14:textId="77777777" w:rsidR="00B46A6D" w:rsidRDefault="00B46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F6024D3-5E16-43AC-BC58-4AE77AD4AA9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CC013EF-CBDA-4C44-A052-572C389F4C4D}"/>
    <w:embedBold r:id="rId3" w:fontKey="{EA5468C7-A3C5-4E0E-BBC5-75156BD60DD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9553597-866F-42B1-A85B-509B15533EB4}"/>
  </w:font>
  <w:font w:name="Georgia">
    <w:panose1 w:val="02040502050405020303"/>
    <w:charset w:val="00"/>
    <w:family w:val="roman"/>
    <w:pitch w:val="variable"/>
    <w:sig w:usb0="00000287" w:usb1="00000000" w:usb2="00000000" w:usb3="00000000" w:csb0="0000009F" w:csb1="00000000"/>
    <w:embedRegular r:id="rId5" w:fontKey="{6AC1EF1F-F186-46DC-AB79-F7C9DB89F08D}"/>
    <w:embedItalic r:id="rId6" w:fontKey="{60DDBA3C-4A07-4676-9294-BD00B6BDC843}"/>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FC43612A-1AD2-49CF-BD3C-8342D4FECD4D}"/>
    <w:embedBold r:id="rId8" w:fontKey="{3DF9BA9E-24DD-4B67-8956-2D5B62DD52A9}"/>
    <w:embedBoldItalic r:id="rId9" w:fontKey="{446208B5-8592-424C-89F4-CA6ECE977800}"/>
  </w:font>
  <w:font w:name="Open Sans Light">
    <w:charset w:val="00"/>
    <w:family w:val="swiss"/>
    <w:pitch w:val="variable"/>
    <w:sig w:usb0="E00002EF" w:usb1="4000205B" w:usb2="00000028" w:usb3="00000000" w:csb0="0000019F" w:csb1="00000000"/>
    <w:embedRegular r:id="rId10" w:fontKey="{3D02CC13-08D6-41D1-8619-74241D6E61C5}"/>
    <w:embedBold r:id="rId11" w:fontKey="{C74EA581-B525-4223-943A-D4A489B84D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34BB2" w14:textId="77777777" w:rsidR="00A56AF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5EBD19F" wp14:editId="32D5A40B">
          <wp:simplePos x="0" y="0"/>
          <wp:positionH relativeFrom="column">
            <wp:posOffset>-1068038</wp:posOffset>
          </wp:positionH>
          <wp:positionV relativeFrom="paragraph">
            <wp:posOffset>174608</wp:posOffset>
          </wp:positionV>
          <wp:extent cx="7670550" cy="451315"/>
          <wp:effectExtent l="0" t="0" r="0" b="0"/>
          <wp:wrapNone/>
          <wp:docPr id="20668166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FBA07" w14:textId="77777777" w:rsidR="00B46A6D" w:rsidRDefault="00B46A6D">
      <w:r>
        <w:separator/>
      </w:r>
    </w:p>
  </w:footnote>
  <w:footnote w:type="continuationSeparator" w:id="0">
    <w:p w14:paraId="61DD979B" w14:textId="77777777" w:rsidR="00B46A6D" w:rsidRDefault="00B46A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BA14EE"/>
    <w:multiLevelType w:val="multilevel"/>
    <w:tmpl w:val="38D4A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3113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AFC"/>
    <w:rsid w:val="00223C8E"/>
    <w:rsid w:val="004264AE"/>
    <w:rsid w:val="00A56AFC"/>
    <w:rsid w:val="00B46A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CC004"/>
  <w15:docId w15:val="{022024F1-B619-4267-93D8-ABA75ABE8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4">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fotocasa.es/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prensa.fotocasa.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infojob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adevinta.es" TargetMode="External"/><Relationship Id="rId10" Type="http://schemas.openxmlformats.org/officeDocument/2006/relationships/image" Target="media/image2.png"/><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s36360.pcdn.co/wp-content/uploads/2025/07/Informe-Experiencia-alquiler-en-2025.pdf" TargetMode="External"/><Relationship Id="rId14" Type="http://schemas.openxmlformats.org/officeDocument/2006/relationships/image" Target="media/image5.png"/><Relationship Id="rId22" Type="http://schemas.openxmlformats.org/officeDocument/2006/relationships/hyperlink" Target="https://motos.coches.ne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XIwYnXg9ok3ILLXSVVnppvJ58A==">CgMxLjAyCWguMnM4ZXlvMTgAciExb3l5TE96U1pMQ091RWl3MW9nRkRUNUtET0ZmdHZicGI=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1328</Words>
  <Characters>7307</Characters>
  <Application>Microsoft Office Word</Application>
  <DocSecurity>0</DocSecurity>
  <Lines>60</Lines>
  <Paragraphs>17</Paragraphs>
  <ScaleCrop>false</ScaleCrop>
  <Company/>
  <LinksUpToDate>false</LinksUpToDate>
  <CharactersWithSpaces>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2</cp:revision>
  <dcterms:created xsi:type="dcterms:W3CDTF">2024-02-06T13:46:00Z</dcterms:created>
  <dcterms:modified xsi:type="dcterms:W3CDTF">2025-07-14T10:33:00Z</dcterms:modified>
</cp:coreProperties>
</file>