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BF8E1" w14:textId="77777777" w:rsidR="005246D4" w:rsidRDefault="00000000">
      <w:pPr>
        <w:spacing w:line="276" w:lineRule="auto"/>
        <w:ind w:right="-560"/>
        <w:jc w:val="center"/>
        <w:rPr>
          <w:rFonts w:ascii="National" w:eastAsia="National" w:hAnsi="National" w:cs="National"/>
          <w:b/>
          <w:color w:val="1DBDC5"/>
          <w:sz w:val="42"/>
          <w:szCs w:val="42"/>
        </w:rPr>
      </w:pPr>
      <w:r>
        <w:rPr>
          <w:rFonts w:ascii="National" w:eastAsia="National" w:hAnsi="National" w:cs="National"/>
          <w:b/>
          <w:color w:val="1DBDC5"/>
          <w:sz w:val="32"/>
          <w:szCs w:val="32"/>
        </w:rPr>
        <w:t xml:space="preserve">ÍNDICE PREDICTIVO DE PRECIOS </w:t>
      </w:r>
    </w:p>
    <w:p w14:paraId="31F778CD" w14:textId="77777777" w:rsidR="005246D4" w:rsidRDefault="00000000">
      <w:pPr>
        <w:ind w:right="-560"/>
        <w:jc w:val="center"/>
        <w:rPr>
          <w:rFonts w:ascii="National" w:eastAsia="National" w:hAnsi="National" w:cs="National"/>
          <w:b/>
          <w:color w:val="002060"/>
          <w:sz w:val="46"/>
          <w:szCs w:val="46"/>
        </w:rPr>
      </w:pPr>
      <w:r>
        <w:rPr>
          <w:rFonts w:ascii="National" w:eastAsia="National" w:hAnsi="National" w:cs="National"/>
          <w:b/>
          <w:color w:val="002060"/>
          <w:sz w:val="46"/>
          <w:szCs w:val="46"/>
        </w:rPr>
        <w:t>La IA prevé cómo evolucionará el precio de la vivienda de alquiler al final del verano: Logroño, Zamora y Girona registrarán las mayores subidas de precios</w:t>
      </w:r>
    </w:p>
    <w:p w14:paraId="7DE218A0" w14:textId="77777777" w:rsidR="005246D4" w:rsidRDefault="005246D4">
      <w:pPr>
        <w:spacing w:line="276" w:lineRule="auto"/>
        <w:ind w:right="-560"/>
        <w:jc w:val="both"/>
        <w:rPr>
          <w:rFonts w:ascii="Open Sans" w:eastAsia="Open Sans" w:hAnsi="Open Sans" w:cs="Open Sans"/>
          <w:color w:val="002060"/>
        </w:rPr>
      </w:pPr>
    </w:p>
    <w:p w14:paraId="65D7BDA4" w14:textId="77777777" w:rsidR="005246D4"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 xml:space="preserve">El </w:t>
      </w:r>
      <w:r>
        <w:rPr>
          <w:rFonts w:ascii="Open Sans" w:eastAsia="Open Sans" w:hAnsi="Open Sans" w:cs="Open Sans"/>
          <w:i/>
          <w:color w:val="002060"/>
        </w:rPr>
        <w:t xml:space="preserve">Índice predictivo de alquiler </w:t>
      </w:r>
      <w:proofErr w:type="spellStart"/>
      <w:r>
        <w:rPr>
          <w:rFonts w:ascii="Open Sans" w:eastAsia="Open Sans" w:hAnsi="Open Sans" w:cs="Open Sans"/>
          <w:i/>
          <w:color w:val="002060"/>
        </w:rPr>
        <w:t>DataVenues</w:t>
      </w:r>
      <w:proofErr w:type="spellEnd"/>
      <w:r>
        <w:rPr>
          <w:rFonts w:ascii="Open Sans" w:eastAsia="Open Sans" w:hAnsi="Open Sans" w:cs="Open Sans"/>
          <w:color w:val="002060"/>
        </w:rPr>
        <w:t xml:space="preserve"> de Fotocasa prevé subidas de precios en 26 ciudades a cierre del tercer trimestre</w:t>
      </w:r>
    </w:p>
    <w:p w14:paraId="20931ED0" w14:textId="77777777" w:rsidR="005246D4" w:rsidRDefault="00000000">
      <w:pPr>
        <w:numPr>
          <w:ilvl w:val="0"/>
          <w:numId w:val="1"/>
        </w:numPr>
        <w:spacing w:line="276" w:lineRule="auto"/>
        <w:ind w:right="-560"/>
        <w:jc w:val="both"/>
        <w:rPr>
          <w:rFonts w:ascii="Open Sans" w:eastAsia="Open Sans" w:hAnsi="Open Sans" w:cs="Open Sans"/>
          <w:color w:val="002060"/>
        </w:rPr>
      </w:pPr>
      <w:bookmarkStart w:id="0" w:name="_heading=h.8w2z68yg3vc8" w:colFirst="0" w:colLast="0"/>
      <w:bookmarkEnd w:id="0"/>
      <w:r>
        <w:rPr>
          <w:rFonts w:ascii="Open Sans" w:eastAsia="Open Sans" w:hAnsi="Open Sans" w:cs="Open Sans"/>
          <w:color w:val="002060"/>
        </w:rPr>
        <w:t>Logroño (+22,9%), Zamora (+19,9%) y Girona (+11,4%) registrarán las mayores subidas de rentas</w:t>
      </w:r>
    </w:p>
    <w:p w14:paraId="4711CA0F" w14:textId="77777777" w:rsidR="005246D4" w:rsidRDefault="00000000">
      <w:pPr>
        <w:numPr>
          <w:ilvl w:val="0"/>
          <w:numId w:val="1"/>
        </w:numPr>
        <w:spacing w:line="276" w:lineRule="auto"/>
        <w:ind w:right="-560"/>
        <w:jc w:val="both"/>
        <w:rPr>
          <w:rFonts w:ascii="Open Sans" w:eastAsia="Open Sans" w:hAnsi="Open Sans" w:cs="Open Sans"/>
          <w:color w:val="002060"/>
        </w:rPr>
      </w:pPr>
      <w:r>
        <w:rPr>
          <w:rFonts w:ascii="Open Sans" w:eastAsia="Open Sans" w:hAnsi="Open Sans" w:cs="Open Sans"/>
          <w:color w:val="002060"/>
        </w:rPr>
        <w:t>En el otro extremo, capitales de provincia como Málaga (-11,7%), Santander (-13,7%) y Cádiz (-15,4%) experimentarán los mayores descensos trimestrales de precios</w:t>
      </w:r>
    </w:p>
    <w:p w14:paraId="108179A5" w14:textId="77777777" w:rsidR="005246D4" w:rsidRDefault="005246D4">
      <w:pPr>
        <w:spacing w:line="276" w:lineRule="auto"/>
        <w:ind w:left="360" w:right="-560"/>
        <w:jc w:val="both"/>
        <w:rPr>
          <w:rFonts w:ascii="Open Sans" w:eastAsia="Open Sans" w:hAnsi="Open Sans" w:cs="Open Sans"/>
          <w:color w:val="002060"/>
        </w:rPr>
      </w:pPr>
    </w:p>
    <w:p w14:paraId="52245A66" w14:textId="77777777" w:rsidR="005246D4" w:rsidRDefault="00000000">
      <w:pPr>
        <w:spacing w:line="276" w:lineRule="auto"/>
        <w:ind w:right="-560"/>
        <w:rPr>
          <w:rFonts w:ascii="Open Sans" w:eastAsia="Open Sans" w:hAnsi="Open Sans" w:cs="Open Sans"/>
          <w:b/>
          <w:color w:val="002060"/>
          <w:sz w:val="22"/>
          <w:szCs w:val="22"/>
        </w:rPr>
      </w:pPr>
      <w:r>
        <w:rPr>
          <w:rFonts w:ascii="Open Sans" w:eastAsia="Open Sans" w:hAnsi="Open Sans" w:cs="Open Sans"/>
          <w:b/>
          <w:color w:val="002060"/>
          <w:sz w:val="22"/>
          <w:szCs w:val="22"/>
        </w:rPr>
        <w:t>Madrid, 21 de julio de 2025</w:t>
      </w:r>
    </w:p>
    <w:p w14:paraId="57ACE261" w14:textId="77777777" w:rsidR="005246D4" w:rsidRDefault="005246D4">
      <w:pPr>
        <w:spacing w:line="276" w:lineRule="auto"/>
        <w:ind w:right="-560"/>
        <w:jc w:val="both"/>
        <w:rPr>
          <w:rFonts w:ascii="Open Sans" w:eastAsia="Open Sans" w:hAnsi="Open Sans" w:cs="Open Sans"/>
          <w:sz w:val="22"/>
          <w:szCs w:val="22"/>
        </w:rPr>
      </w:pPr>
    </w:p>
    <w:p w14:paraId="1E758F96" w14:textId="77777777" w:rsidR="005246D4" w:rsidRDefault="00000000">
      <w:pPr>
        <w:spacing w:line="276" w:lineRule="auto"/>
        <w:ind w:right="-560"/>
        <w:jc w:val="both"/>
        <w:rPr>
          <w:rFonts w:ascii="Open Sans" w:eastAsia="Open Sans" w:hAnsi="Open Sans" w:cs="Open Sans"/>
          <w:color w:val="262626"/>
          <w:sz w:val="22"/>
          <w:szCs w:val="22"/>
        </w:rPr>
      </w:pPr>
      <w:bookmarkStart w:id="1" w:name="_heading=h.30j0zll" w:colFirst="0" w:colLast="0"/>
      <w:bookmarkEnd w:id="1"/>
      <w:r>
        <w:rPr>
          <w:rFonts w:ascii="Open Sans" w:eastAsia="Open Sans" w:hAnsi="Open Sans" w:cs="Open Sans"/>
          <w:color w:val="262626"/>
          <w:sz w:val="22"/>
          <w:szCs w:val="22"/>
        </w:rPr>
        <w:t xml:space="preserve">La Inteligencia Artificial prevé que las ciudades de Logroño (+22,9%), Zamora (+19,9%) y Girona (+11,4%) registren las mayores subidas de precios de alquiler de viviendas de toda España a nivel trimestral (es decir, comparando la evolución estimada entre 1 de julio y 30 de septiembre de 2025). </w:t>
      </w:r>
      <w:r>
        <w:rPr>
          <w:rFonts w:ascii="Open Sans" w:eastAsia="Open Sans" w:hAnsi="Open Sans" w:cs="Open Sans"/>
          <w:b/>
          <w:color w:val="262626"/>
          <w:sz w:val="22"/>
          <w:szCs w:val="22"/>
        </w:rPr>
        <w:t xml:space="preserve">Estas son las principales estimaciones del </w:t>
      </w:r>
      <w:r>
        <w:rPr>
          <w:rFonts w:ascii="Open Sans" w:eastAsia="Open Sans" w:hAnsi="Open Sans" w:cs="Open Sans"/>
          <w:b/>
          <w:i/>
          <w:color w:val="262626"/>
          <w:sz w:val="22"/>
          <w:szCs w:val="22"/>
        </w:rPr>
        <w:t xml:space="preserve">Índice predictivo de alquiler </w:t>
      </w:r>
      <w:hyperlink r:id="rId8">
        <w:proofErr w:type="spellStart"/>
        <w:r>
          <w:rPr>
            <w:rFonts w:ascii="Open Sans" w:eastAsia="Open Sans" w:hAnsi="Open Sans" w:cs="Open Sans"/>
            <w:b/>
            <w:i/>
            <w:color w:val="0000FF"/>
            <w:sz w:val="22"/>
            <w:szCs w:val="22"/>
            <w:u w:val="single"/>
          </w:rPr>
          <w:t>DataVenues</w:t>
        </w:r>
        <w:proofErr w:type="spellEnd"/>
      </w:hyperlink>
      <w:r>
        <w:rPr>
          <w:rFonts w:ascii="Open Sans" w:eastAsia="Open Sans" w:hAnsi="Open Sans" w:cs="Open Sans"/>
          <w:b/>
          <w:color w:val="262626"/>
          <w:sz w:val="22"/>
          <w:szCs w:val="22"/>
        </w:rPr>
        <w:t> de </w:t>
      </w:r>
      <w:hyperlink r:id="rId9">
        <w:r>
          <w:rPr>
            <w:rFonts w:ascii="Open Sans" w:eastAsia="Open Sans" w:hAnsi="Open Sans" w:cs="Open Sans"/>
            <w:b/>
            <w:color w:val="0000FF"/>
            <w:sz w:val="22"/>
            <w:szCs w:val="22"/>
            <w:u w:val="single"/>
          </w:rPr>
          <w:t>Fotocasa</w:t>
        </w:r>
      </w:hyperlink>
      <w:r>
        <w:rPr>
          <w:rFonts w:ascii="Open Sans" w:eastAsia="Open Sans" w:hAnsi="Open Sans" w:cs="Open Sans"/>
          <w:b/>
          <w:color w:val="262626"/>
          <w:sz w:val="22"/>
          <w:szCs w:val="22"/>
        </w:rPr>
        <w:t xml:space="preserve">, que permite adelantarse al comportamiento del mercado y prever la evolución de los precios de la vivienda de alquiler a nivel trimestral. </w:t>
      </w:r>
      <w:r>
        <w:rPr>
          <w:rFonts w:ascii="Open Sans" w:eastAsia="Open Sans" w:hAnsi="Open Sans" w:cs="Open Sans"/>
          <w:color w:val="262626"/>
          <w:sz w:val="22"/>
          <w:szCs w:val="22"/>
        </w:rPr>
        <w:t xml:space="preserve">Desde enero de 2025, </w:t>
      </w:r>
      <w:hyperlink r:id="rId10">
        <w:r>
          <w:rPr>
            <w:rFonts w:ascii="Open Sans" w:eastAsia="Open Sans" w:hAnsi="Open Sans" w:cs="Open Sans"/>
            <w:color w:val="0000FF"/>
            <w:sz w:val="22"/>
            <w:szCs w:val="22"/>
            <w:u w:val="single"/>
          </w:rPr>
          <w:t>Fotocasa</w:t>
        </w:r>
      </w:hyperlink>
      <w:r>
        <w:rPr>
          <w:rFonts w:ascii="Open Sans" w:eastAsia="Open Sans" w:hAnsi="Open Sans" w:cs="Open Sans"/>
          <w:color w:val="262626"/>
          <w:sz w:val="22"/>
          <w:szCs w:val="22"/>
        </w:rPr>
        <w:t xml:space="preserve"> publica trimestralmente las estimaciones de esta revolucionaria aplicación desplegada gracias al uso combinado de tecnologías como la Inteligencia Artificial y el Big Data, puestas al servicio del mercado de la vivienda.</w:t>
      </w:r>
    </w:p>
    <w:p w14:paraId="1F1239FF" w14:textId="77777777" w:rsidR="005246D4" w:rsidRDefault="005246D4">
      <w:pPr>
        <w:spacing w:line="276" w:lineRule="auto"/>
        <w:ind w:right="-560"/>
        <w:jc w:val="both"/>
        <w:rPr>
          <w:rFonts w:ascii="Open Sans" w:eastAsia="Open Sans" w:hAnsi="Open Sans" w:cs="Open Sans"/>
          <w:color w:val="262626"/>
          <w:sz w:val="22"/>
          <w:szCs w:val="22"/>
        </w:rPr>
      </w:pPr>
    </w:p>
    <w:p w14:paraId="1947B093" w14:textId="77777777" w:rsidR="005246D4" w:rsidRDefault="00000000">
      <w:pPr>
        <w:spacing w:line="276" w:lineRule="auto"/>
        <w:ind w:right="-560"/>
        <w:jc w:val="both"/>
        <w:rPr>
          <w:rFonts w:ascii="Open Sans" w:eastAsia="Open Sans" w:hAnsi="Open Sans" w:cs="Open Sans"/>
          <w:b/>
          <w:color w:val="262626"/>
          <w:sz w:val="22"/>
          <w:szCs w:val="22"/>
        </w:rPr>
      </w:pPr>
      <w:r>
        <w:rPr>
          <w:rFonts w:ascii="Open Sans" w:eastAsia="Open Sans" w:hAnsi="Open Sans" w:cs="Open Sans"/>
          <w:color w:val="262626"/>
          <w:sz w:val="22"/>
          <w:szCs w:val="22"/>
        </w:rPr>
        <w:t xml:space="preserve">“En general, la previsión de subidas en el alquiler responde a una combinación de factores estructurales donde se detecta una presión creciente de la demanda frente a una oferta insuficiente. En muchos casos, se trata de mercados tradicionalmente más estables, con menor capacidad de atracción poblacional que están despertando interés al presentar precios más asequibles. Por otro lado, los descensos de precio previstos pueden deberse a leves correcciones del mercado tras picos de demanda o subidas muy acusadas en meses anteriores”, </w:t>
      </w:r>
      <w:r>
        <w:rPr>
          <w:rFonts w:ascii="Open Sans" w:eastAsia="Open Sans" w:hAnsi="Open Sans" w:cs="Open Sans"/>
          <w:b/>
          <w:color w:val="262626"/>
          <w:sz w:val="22"/>
          <w:szCs w:val="22"/>
        </w:rPr>
        <w:t xml:space="preserve">comenta María Matos, directora de Estudios y portavoz de </w:t>
      </w:r>
      <w:hyperlink r:id="rId11">
        <w:r>
          <w:rPr>
            <w:rFonts w:ascii="Open Sans" w:eastAsia="Open Sans" w:hAnsi="Open Sans" w:cs="Open Sans"/>
            <w:b/>
            <w:color w:val="1155CC"/>
            <w:sz w:val="22"/>
            <w:szCs w:val="22"/>
            <w:u w:val="single"/>
          </w:rPr>
          <w:t>Fotocasa</w:t>
        </w:r>
      </w:hyperlink>
      <w:r>
        <w:rPr>
          <w:rFonts w:ascii="Open Sans" w:eastAsia="Open Sans" w:hAnsi="Open Sans" w:cs="Open Sans"/>
          <w:b/>
          <w:color w:val="262626"/>
          <w:sz w:val="22"/>
          <w:szCs w:val="22"/>
        </w:rPr>
        <w:t xml:space="preserve">. </w:t>
      </w:r>
    </w:p>
    <w:p w14:paraId="3542442B" w14:textId="77777777" w:rsidR="005246D4"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lastRenderedPageBreak/>
        <w:t>Subirán los precios en 26 ciudades al cierre del tercer trimestre</w:t>
      </w:r>
    </w:p>
    <w:p w14:paraId="4A3DFE90" w14:textId="77777777" w:rsidR="005246D4" w:rsidRDefault="005246D4">
      <w:pPr>
        <w:spacing w:line="276" w:lineRule="auto"/>
        <w:ind w:right="-560"/>
        <w:jc w:val="both"/>
        <w:rPr>
          <w:rFonts w:ascii="Open Sans" w:eastAsia="Open Sans" w:hAnsi="Open Sans" w:cs="Open Sans"/>
          <w:color w:val="262626"/>
          <w:sz w:val="22"/>
          <w:szCs w:val="22"/>
        </w:rPr>
      </w:pPr>
    </w:p>
    <w:p w14:paraId="475BA517" w14:textId="77777777" w:rsidR="005246D4" w:rsidRDefault="00000000">
      <w:pPr>
        <w:spacing w:line="276" w:lineRule="auto"/>
        <w:ind w:right="-560"/>
        <w:jc w:val="both"/>
        <w:rPr>
          <w:rFonts w:ascii="Open Sans" w:eastAsia="Open Sans" w:hAnsi="Open Sans" w:cs="Open Sans"/>
          <w:color w:val="262626"/>
          <w:sz w:val="22"/>
          <w:szCs w:val="22"/>
        </w:rPr>
      </w:pPr>
      <w:bookmarkStart w:id="2" w:name="_heading=h.rnpak8276ej" w:colFirst="0" w:colLast="0"/>
      <w:bookmarkEnd w:id="2"/>
      <w:r>
        <w:rPr>
          <w:rFonts w:ascii="Open Sans" w:eastAsia="Open Sans" w:hAnsi="Open Sans" w:cs="Open Sans"/>
          <w:color w:val="262626"/>
          <w:sz w:val="22"/>
          <w:szCs w:val="22"/>
        </w:rPr>
        <w:t xml:space="preserve">Según la previsión del algoritmo, </w:t>
      </w:r>
      <w:r>
        <w:rPr>
          <w:rFonts w:ascii="Open Sans" w:eastAsia="Open Sans" w:hAnsi="Open Sans" w:cs="Open Sans"/>
          <w:b/>
          <w:color w:val="262626"/>
          <w:sz w:val="22"/>
          <w:szCs w:val="22"/>
        </w:rPr>
        <w:t>el número de capitales con valores de alquiler alcistas se mantiene prácticamente igual (pasan de 27 a 26)</w:t>
      </w:r>
      <w:r>
        <w:rPr>
          <w:rFonts w:ascii="Open Sans" w:eastAsia="Open Sans" w:hAnsi="Open Sans" w:cs="Open Sans"/>
          <w:color w:val="262626"/>
          <w:sz w:val="22"/>
          <w:szCs w:val="22"/>
        </w:rPr>
        <w:t>. Tras las ciudades de Logroño, Zamora y Girona, otras capitales de provincia registrarán notables subidas en los precios de alquiler de viviendas en España a cierre del tercer trimestre. Así, el valor de un inmueble en Vitoria se incrementará un 8,6%, seguida de las ciudades de Badajoz (+7,9%), Cuenca (+5,7%), y Córdoba (+4,0%). Según el algoritmo, estas capitales completarán el Top 10 de ciudades con mayores alzas de precios a nivel nacional: Pamplona, Oviedo y Guadalajara, todas ellas con un incremento del 3,8%</w:t>
      </w:r>
    </w:p>
    <w:p w14:paraId="21D947D6" w14:textId="77777777" w:rsidR="005246D4" w:rsidRDefault="005246D4">
      <w:pPr>
        <w:spacing w:line="276" w:lineRule="auto"/>
        <w:ind w:right="-560"/>
        <w:jc w:val="both"/>
        <w:rPr>
          <w:rFonts w:ascii="Open Sans" w:eastAsia="Open Sans" w:hAnsi="Open Sans" w:cs="Open Sans"/>
          <w:color w:val="262626"/>
          <w:sz w:val="22"/>
          <w:szCs w:val="22"/>
        </w:rPr>
      </w:pPr>
    </w:p>
    <w:p w14:paraId="27A5A679" w14:textId="77777777" w:rsidR="005246D4" w:rsidRDefault="00000000">
      <w:pPr>
        <w:spacing w:line="276" w:lineRule="auto"/>
        <w:ind w:right="-560"/>
        <w:jc w:val="center"/>
        <w:rPr>
          <w:rFonts w:ascii="Open Sans" w:eastAsia="Open Sans" w:hAnsi="Open Sans" w:cs="Open Sans"/>
          <w:color w:val="262626"/>
          <w:sz w:val="22"/>
          <w:szCs w:val="22"/>
        </w:rPr>
      </w:pPr>
      <w:r>
        <w:rPr>
          <w:rFonts w:ascii="Open Sans" w:eastAsia="Open Sans" w:hAnsi="Open Sans" w:cs="Open Sans"/>
          <w:b/>
          <w:color w:val="002060"/>
        </w:rPr>
        <w:t>Ciudades que registrarán las mayores subidas de precios</w:t>
      </w:r>
    </w:p>
    <w:p w14:paraId="18F03F9C" w14:textId="77777777" w:rsidR="005246D4" w:rsidRDefault="005246D4">
      <w:pPr>
        <w:spacing w:line="276" w:lineRule="auto"/>
        <w:ind w:right="-560"/>
        <w:jc w:val="both"/>
        <w:rPr>
          <w:rFonts w:ascii="Open Sans" w:eastAsia="Open Sans" w:hAnsi="Open Sans" w:cs="Open Sans"/>
          <w:color w:val="262626"/>
          <w:sz w:val="22"/>
          <w:szCs w:val="22"/>
        </w:rPr>
      </w:pPr>
    </w:p>
    <w:p w14:paraId="53C4FA5E" w14:textId="77777777" w:rsidR="005246D4"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2299ECBD" wp14:editId="061BE009">
            <wp:extent cx="5848350" cy="3295925"/>
            <wp:effectExtent l="0" t="0" r="0" b="0"/>
            <wp:docPr id="1459324370" name="Gráfico 1459324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C5D8EA" w14:textId="77777777" w:rsidR="005246D4" w:rsidRDefault="005246D4">
      <w:pPr>
        <w:spacing w:line="276" w:lineRule="auto"/>
        <w:ind w:right="-560"/>
        <w:jc w:val="both"/>
        <w:rPr>
          <w:rFonts w:ascii="Open Sans" w:eastAsia="Open Sans" w:hAnsi="Open Sans" w:cs="Open Sans"/>
          <w:color w:val="262626"/>
          <w:sz w:val="22"/>
          <w:szCs w:val="22"/>
        </w:rPr>
      </w:pPr>
    </w:p>
    <w:p w14:paraId="2F1F7102" w14:textId="77777777" w:rsidR="005246D4"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En la zona más templada de incrementos de precio se encontrarán ciudades como </w:t>
      </w:r>
      <w:r>
        <w:rPr>
          <w:rFonts w:ascii="Open Sans" w:eastAsia="Open Sans" w:hAnsi="Open Sans" w:cs="Open Sans"/>
          <w:b/>
          <w:color w:val="262626"/>
          <w:sz w:val="22"/>
          <w:szCs w:val="22"/>
        </w:rPr>
        <w:t xml:space="preserve">Zaragoza (+3,7%), Huesca (+3,5%), Madrid (+3,5%), Albacete (+3,4%), Lleida (+3,4%), San Sebastián (+3,3%), y Valladolid (+3,2%). </w:t>
      </w:r>
      <w:r>
        <w:rPr>
          <w:rFonts w:ascii="Open Sans" w:eastAsia="Open Sans" w:hAnsi="Open Sans" w:cs="Open Sans"/>
          <w:color w:val="262626"/>
          <w:sz w:val="22"/>
          <w:szCs w:val="22"/>
        </w:rPr>
        <w:t>A continuación, el algoritmo predice que registrarán variaciones positivas inferiores al 3% capitales como Ciudad Real (+2,7%), Cáceres (+2,2%), Lugo (+2,2%), Tarragona (+1,9%), Burgos (+1,5%), Murcia (+1,2%), Vigo (+1,2%), Ourense (+1,1%), y Las Palmas de Gran Canaria (+0,7%).</w:t>
      </w:r>
    </w:p>
    <w:p w14:paraId="2D1BE87D" w14:textId="77777777" w:rsidR="00C04235" w:rsidRDefault="00C04235">
      <w:pPr>
        <w:spacing w:line="276" w:lineRule="auto"/>
        <w:ind w:right="-560"/>
        <w:jc w:val="both"/>
        <w:rPr>
          <w:rFonts w:ascii="Open Sans" w:eastAsia="Open Sans" w:hAnsi="Open Sans" w:cs="Open Sans"/>
          <w:color w:val="262626"/>
          <w:sz w:val="22"/>
          <w:szCs w:val="22"/>
        </w:rPr>
      </w:pPr>
    </w:p>
    <w:p w14:paraId="643F380F" w14:textId="77777777" w:rsidR="005246D4" w:rsidRDefault="005246D4">
      <w:pPr>
        <w:spacing w:line="276" w:lineRule="auto"/>
        <w:ind w:right="-560"/>
        <w:jc w:val="both"/>
        <w:rPr>
          <w:rFonts w:ascii="Open Sans" w:eastAsia="Open Sans" w:hAnsi="Open Sans" w:cs="Open Sans"/>
          <w:color w:val="262626"/>
          <w:sz w:val="22"/>
          <w:szCs w:val="22"/>
        </w:rPr>
      </w:pPr>
    </w:p>
    <w:p w14:paraId="68568B96" w14:textId="77777777" w:rsidR="005246D4" w:rsidRDefault="00000000">
      <w:pPr>
        <w:spacing w:line="276" w:lineRule="auto"/>
        <w:ind w:right="-560"/>
        <w:jc w:val="both"/>
        <w:rPr>
          <w:rFonts w:ascii="Open Sans" w:eastAsia="Open Sans" w:hAnsi="Open Sans" w:cs="Open Sans"/>
          <w:b/>
          <w:color w:val="002060"/>
        </w:rPr>
      </w:pPr>
      <w:r>
        <w:rPr>
          <w:rFonts w:ascii="Open Sans" w:eastAsia="Open Sans" w:hAnsi="Open Sans" w:cs="Open Sans"/>
          <w:b/>
          <w:color w:val="002060"/>
        </w:rPr>
        <w:lastRenderedPageBreak/>
        <w:t>Las ciudades donde la IA prevé que bajen los precios a finales de verano</w:t>
      </w:r>
    </w:p>
    <w:p w14:paraId="5B35E829" w14:textId="77777777" w:rsidR="005246D4" w:rsidRDefault="005246D4">
      <w:pPr>
        <w:spacing w:line="276" w:lineRule="auto"/>
        <w:ind w:right="-560"/>
        <w:jc w:val="both"/>
        <w:rPr>
          <w:rFonts w:ascii="Open Sans" w:eastAsia="Open Sans" w:hAnsi="Open Sans" w:cs="Open Sans"/>
          <w:b/>
          <w:color w:val="002060"/>
        </w:rPr>
      </w:pPr>
    </w:p>
    <w:p w14:paraId="3E185199" w14:textId="77777777" w:rsidR="005246D4" w:rsidRDefault="00000000">
      <w:pPr>
        <w:spacing w:line="276" w:lineRule="auto"/>
        <w:ind w:right="-560"/>
        <w:jc w:val="center"/>
        <w:rPr>
          <w:rFonts w:ascii="Open Sans" w:eastAsia="Open Sans" w:hAnsi="Open Sans" w:cs="Open Sans"/>
          <w:color w:val="262626"/>
          <w:sz w:val="22"/>
          <w:szCs w:val="22"/>
        </w:rPr>
      </w:pPr>
      <w:r>
        <w:rPr>
          <w:noProof/>
        </w:rPr>
        <w:drawing>
          <wp:inline distT="0" distB="0" distL="0" distR="0" wp14:anchorId="766E76C8" wp14:editId="06CFDBBC">
            <wp:extent cx="5684520" cy="2941608"/>
            <wp:effectExtent l="0" t="0" r="0" b="0"/>
            <wp:docPr id="1459324371" name="Gráfico 14593243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FF3937" w14:textId="77777777" w:rsidR="005246D4" w:rsidRDefault="005246D4">
      <w:pPr>
        <w:spacing w:line="276" w:lineRule="auto"/>
        <w:ind w:right="-560"/>
        <w:jc w:val="both"/>
        <w:rPr>
          <w:rFonts w:ascii="Open Sans" w:eastAsia="Open Sans" w:hAnsi="Open Sans" w:cs="Open Sans"/>
          <w:color w:val="262626"/>
          <w:sz w:val="22"/>
          <w:szCs w:val="22"/>
        </w:rPr>
      </w:pPr>
    </w:p>
    <w:p w14:paraId="6B42DCA1" w14:textId="77777777" w:rsidR="005246D4" w:rsidRDefault="00000000">
      <w:pPr>
        <w:spacing w:line="276" w:lineRule="auto"/>
        <w:ind w:right="-560"/>
        <w:jc w:val="both"/>
        <w:rPr>
          <w:rFonts w:ascii="Open Sans" w:eastAsia="Open Sans" w:hAnsi="Open Sans" w:cs="Open Sans"/>
          <w:color w:val="262626"/>
          <w:sz w:val="22"/>
          <w:szCs w:val="22"/>
        </w:rPr>
      </w:pPr>
      <w:bookmarkStart w:id="3" w:name="_heading=h.10cs9ayqydee" w:colFirst="0" w:colLast="0"/>
      <w:bookmarkEnd w:id="3"/>
      <w:r>
        <w:rPr>
          <w:rFonts w:ascii="Open Sans" w:eastAsia="Open Sans" w:hAnsi="Open Sans" w:cs="Open Sans"/>
          <w:color w:val="262626"/>
          <w:sz w:val="22"/>
          <w:szCs w:val="22"/>
        </w:rPr>
        <w:t xml:space="preserve">El </w:t>
      </w:r>
      <w:r>
        <w:rPr>
          <w:rFonts w:ascii="Open Sans" w:eastAsia="Open Sans" w:hAnsi="Open Sans" w:cs="Open Sans"/>
          <w:b/>
          <w:i/>
          <w:color w:val="262626"/>
          <w:sz w:val="22"/>
          <w:szCs w:val="22"/>
        </w:rPr>
        <w:t xml:space="preserve">Índice predictivo de alquiler </w:t>
      </w:r>
      <w:hyperlink r:id="rId14">
        <w:proofErr w:type="spellStart"/>
        <w:r>
          <w:rPr>
            <w:rFonts w:ascii="Open Sans" w:eastAsia="Open Sans" w:hAnsi="Open Sans" w:cs="Open Sans"/>
            <w:b/>
            <w:i/>
            <w:color w:val="0000FF"/>
            <w:sz w:val="22"/>
            <w:szCs w:val="22"/>
            <w:u w:val="single"/>
          </w:rPr>
          <w:t>DataVenues</w:t>
        </w:r>
        <w:proofErr w:type="spellEnd"/>
      </w:hyperlink>
      <w:r>
        <w:rPr>
          <w:rFonts w:ascii="Open Sans" w:eastAsia="Open Sans" w:hAnsi="Open Sans" w:cs="Open Sans"/>
          <w:b/>
          <w:color w:val="262626"/>
          <w:sz w:val="22"/>
          <w:szCs w:val="22"/>
        </w:rPr>
        <w:t> de </w:t>
      </w:r>
      <w:hyperlink r:id="rId15">
        <w:r>
          <w:rPr>
            <w:rFonts w:ascii="Open Sans" w:eastAsia="Open Sans" w:hAnsi="Open Sans" w:cs="Open Sans"/>
            <w:b/>
            <w:color w:val="0000FF"/>
            <w:sz w:val="22"/>
            <w:szCs w:val="22"/>
            <w:u w:val="single"/>
          </w:rPr>
          <w:t>Fotocasa</w:t>
        </w:r>
      </w:hyperlink>
      <w:r>
        <w:t xml:space="preserve"> </w:t>
      </w:r>
      <w:r>
        <w:rPr>
          <w:rFonts w:ascii="Open Sans" w:eastAsia="Open Sans" w:hAnsi="Open Sans" w:cs="Open Sans"/>
          <w:color w:val="262626"/>
          <w:sz w:val="22"/>
          <w:szCs w:val="22"/>
        </w:rPr>
        <w:t xml:space="preserve">también estima que los precios bajarán en 19 capitales de provincia al cierre del tercer trimestre de 2025 (frente a las 13 que experimentaron descensos en el periodo anterior). </w:t>
      </w:r>
      <w:r>
        <w:rPr>
          <w:rFonts w:ascii="Open Sans" w:eastAsia="Open Sans" w:hAnsi="Open Sans" w:cs="Open Sans"/>
          <w:b/>
          <w:color w:val="262626"/>
          <w:sz w:val="22"/>
          <w:szCs w:val="22"/>
        </w:rPr>
        <w:t>Las ciudades donde se prevé que se registren mayores descensos en los precios de la vivienda son Cádiz (-15,4%), Santander (-13,7%), Málaga (-11,7%), Alicante (-7,9%), Castellón de la Plana (-5,9%), Sevilla (-5,6%), Toledo (-5,5%), y Huelva (-5,1%).</w:t>
      </w:r>
      <w:r>
        <w:rPr>
          <w:rFonts w:ascii="Open Sans" w:eastAsia="Open Sans" w:hAnsi="Open Sans" w:cs="Open Sans"/>
          <w:color w:val="262626"/>
          <w:sz w:val="22"/>
          <w:szCs w:val="22"/>
        </w:rPr>
        <w:t xml:space="preserve"> También experimentarán descensos trimestrales algo más suaves (por debajo del 5%) otras ciudades como Palma de Mallorca (-4,8%), Salamanca (-4,2%), León (-3,4%), Teruel (-3,1%), Pontevedra (-2,2%), Bilbao (-2,2%), Soria (-2,1%), A Coruña (-1,6%), Granada (-1,5%), Jaén (-0,6%) y Segovia (-0,4%). En el caso de Ávila, Almería, Santa Cruz de Tenerife, Palencia, Valencia, y Barcelona, el algoritmo no ha detectado variaciones de precios durante el próximo trimestre.</w:t>
      </w:r>
    </w:p>
    <w:p w14:paraId="7F16EAAB" w14:textId="77777777" w:rsidR="005246D4" w:rsidRDefault="005246D4">
      <w:pPr>
        <w:spacing w:line="276" w:lineRule="auto"/>
        <w:ind w:right="-560"/>
        <w:jc w:val="both"/>
        <w:rPr>
          <w:rFonts w:ascii="Open Sans" w:eastAsia="Open Sans" w:hAnsi="Open Sans" w:cs="Open Sans"/>
          <w:color w:val="262626"/>
          <w:sz w:val="22"/>
          <w:szCs w:val="22"/>
        </w:rPr>
      </w:pPr>
    </w:p>
    <w:p w14:paraId="2D35AEC3" w14:textId="77777777" w:rsidR="005246D4" w:rsidRDefault="00000000">
      <w:pPr>
        <w:spacing w:line="276" w:lineRule="auto"/>
        <w:ind w:right="-560"/>
        <w:jc w:val="both"/>
        <w:rPr>
          <w:rFonts w:ascii="Open Sans" w:eastAsia="Open Sans" w:hAnsi="Open Sans" w:cs="Open Sans"/>
          <w:b/>
          <w:sz w:val="22"/>
          <w:szCs w:val="22"/>
        </w:rPr>
      </w:pPr>
      <w:bookmarkStart w:id="4" w:name="_heading=h.9gdom8gw4rzo" w:colFirst="0" w:colLast="0"/>
      <w:bookmarkEnd w:id="4"/>
      <w:r>
        <w:rPr>
          <w:rFonts w:ascii="Open Sans" w:eastAsia="Open Sans" w:hAnsi="Open Sans" w:cs="Open Sans"/>
          <w:color w:val="262626"/>
          <w:sz w:val="22"/>
          <w:szCs w:val="22"/>
        </w:rPr>
        <w:t xml:space="preserve">“Desde </w:t>
      </w:r>
      <w:hyperlink r:id="rId16">
        <w:r w:rsidRPr="00C04235">
          <w:rPr>
            <w:rFonts w:ascii="Open Sans" w:eastAsia="Open Sans" w:hAnsi="Open Sans" w:cs="Open Sans"/>
            <w:b/>
            <w:bCs/>
            <w:color w:val="1155CC"/>
            <w:sz w:val="22"/>
            <w:szCs w:val="22"/>
            <w:u w:val="single"/>
          </w:rPr>
          <w:t>Fotocasa</w:t>
        </w:r>
      </w:hyperlink>
      <w:r>
        <w:rPr>
          <w:rFonts w:ascii="Open Sans" w:eastAsia="Open Sans" w:hAnsi="Open Sans" w:cs="Open Sans"/>
          <w:color w:val="262626"/>
          <w:sz w:val="22"/>
          <w:szCs w:val="22"/>
        </w:rPr>
        <w:t xml:space="preserve"> hemos querido dar un paso más hacia la transparencia del mercado con el lanzamiento de nuestro Índice Predictivo de Precios que, gracias al uso de inteligencia artificial y al análisis masivo de datos de oferta y demanda, anticipa cómo evolucionarán los precios en las diferentes zonas. El objetivo es doble: por un lado, ayudar a los ciudadanos a tomar decisiones informadas en un momento clave; y por otro, ofrecer a los profesionales del sector una visión estratégica que les permita como expertos adelantarse a las dinámicas del mercado. En un contexto marcado por la incertidumbre y la escasez de oferta, contar con datos transparentes y previsiones objetivas se vuelve </w:t>
      </w:r>
      <w:r>
        <w:rPr>
          <w:rFonts w:ascii="Open Sans" w:eastAsia="Open Sans" w:hAnsi="Open Sans" w:cs="Open Sans"/>
          <w:color w:val="262626"/>
          <w:sz w:val="22"/>
          <w:szCs w:val="22"/>
        </w:rPr>
        <w:lastRenderedPageBreak/>
        <w:t>más necesario que nunca para mejorar el acceso a la vivienda</w:t>
      </w:r>
      <w:r>
        <w:rPr>
          <w:rFonts w:ascii="Open Sans" w:eastAsia="Open Sans" w:hAnsi="Open Sans" w:cs="Open Sans"/>
          <w:sz w:val="22"/>
          <w:szCs w:val="22"/>
        </w:rPr>
        <w:t xml:space="preserve">”, </w:t>
      </w:r>
      <w:r>
        <w:rPr>
          <w:rFonts w:ascii="Open Sans" w:eastAsia="Open Sans" w:hAnsi="Open Sans" w:cs="Open Sans"/>
          <w:b/>
          <w:sz w:val="22"/>
          <w:szCs w:val="22"/>
        </w:rPr>
        <w:t>explica María Matos, directora de Estudios de</w:t>
      </w:r>
      <w:hyperlink r:id="rId17">
        <w:r>
          <w:rPr>
            <w:rFonts w:ascii="Open Sans" w:eastAsia="Open Sans" w:hAnsi="Open Sans" w:cs="Open Sans"/>
            <w:b/>
            <w:color w:val="1155CC"/>
            <w:sz w:val="22"/>
            <w:szCs w:val="22"/>
            <w:u w:val="single"/>
          </w:rPr>
          <w:t xml:space="preserve"> Fotocasa</w:t>
        </w:r>
      </w:hyperlink>
      <w:r>
        <w:rPr>
          <w:rFonts w:ascii="Open Sans" w:eastAsia="Open Sans" w:hAnsi="Open Sans" w:cs="Open Sans"/>
          <w:b/>
          <w:sz w:val="22"/>
          <w:szCs w:val="22"/>
        </w:rPr>
        <w:t>.</w:t>
      </w:r>
    </w:p>
    <w:p w14:paraId="7F7E466D" w14:textId="77777777" w:rsidR="005246D4" w:rsidRDefault="005246D4">
      <w:pPr>
        <w:spacing w:line="276" w:lineRule="auto"/>
        <w:ind w:right="-560"/>
        <w:jc w:val="both"/>
        <w:rPr>
          <w:rFonts w:ascii="Open Sans" w:eastAsia="Open Sans" w:hAnsi="Open Sans" w:cs="Open Sans"/>
          <w:color w:val="262626"/>
          <w:sz w:val="22"/>
          <w:szCs w:val="22"/>
        </w:rPr>
      </w:pPr>
    </w:p>
    <w:p w14:paraId="2A60D0C4" w14:textId="77777777" w:rsidR="005246D4" w:rsidRDefault="005246D4">
      <w:pPr>
        <w:spacing w:line="276" w:lineRule="auto"/>
        <w:ind w:right="-560"/>
        <w:jc w:val="both"/>
        <w:rPr>
          <w:rFonts w:ascii="Open Sans" w:eastAsia="Open Sans" w:hAnsi="Open Sans" w:cs="Open Sans"/>
          <w:b/>
          <w:color w:val="262626"/>
          <w:sz w:val="22"/>
          <w:szCs w:val="22"/>
        </w:rPr>
      </w:pPr>
    </w:p>
    <w:p w14:paraId="5F35AAC5" w14:textId="77777777" w:rsidR="005246D4" w:rsidRDefault="00000000">
      <w:pPr>
        <w:spacing w:line="276" w:lineRule="auto"/>
        <w:ind w:right="-560"/>
        <w:rPr>
          <w:rFonts w:ascii="Open Sans" w:eastAsia="Open Sans" w:hAnsi="Open Sans" w:cs="Open Sans"/>
          <w:b/>
          <w:color w:val="002060"/>
        </w:rPr>
      </w:pPr>
      <w:r>
        <w:rPr>
          <w:rFonts w:ascii="Open Sans" w:eastAsia="Open Sans" w:hAnsi="Open Sans" w:cs="Open Sans"/>
          <w:b/>
          <w:color w:val="002060"/>
        </w:rPr>
        <w:t xml:space="preserve">                    Variación trimestral por capitales de provincia</w:t>
      </w:r>
    </w:p>
    <w:p w14:paraId="28E530EB" w14:textId="77777777" w:rsidR="005246D4" w:rsidRDefault="005246D4">
      <w:pPr>
        <w:spacing w:line="276" w:lineRule="auto"/>
        <w:ind w:right="-560"/>
        <w:jc w:val="both"/>
        <w:rPr>
          <w:rFonts w:ascii="Open Sans" w:eastAsia="Open Sans" w:hAnsi="Open Sans" w:cs="Open Sans"/>
          <w:b/>
          <w:color w:val="262626"/>
          <w:sz w:val="22"/>
          <w:szCs w:val="22"/>
        </w:rPr>
      </w:pPr>
    </w:p>
    <w:tbl>
      <w:tblPr>
        <w:tblStyle w:val="a6"/>
        <w:tblW w:w="594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397"/>
        <w:gridCol w:w="2552"/>
      </w:tblGrid>
      <w:tr w:rsidR="005246D4" w14:paraId="382CFC9B" w14:textId="77777777" w:rsidTr="005246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tcPr>
          <w:p w14:paraId="7B9269AE" w14:textId="77777777" w:rsidR="005246D4" w:rsidRDefault="00000000">
            <w:pPr>
              <w:spacing w:line="276" w:lineRule="auto"/>
              <w:ind w:right="-560"/>
              <w:rPr>
                <w:rFonts w:ascii="Open Sans" w:eastAsia="Open Sans" w:hAnsi="Open Sans" w:cs="Open Sans"/>
                <w:color w:val="303AB2"/>
              </w:rPr>
            </w:pPr>
            <w:r>
              <w:rPr>
                <w:rFonts w:ascii="Open Sans" w:eastAsia="Open Sans" w:hAnsi="Open Sans" w:cs="Open Sans"/>
              </w:rPr>
              <w:t>Capital de provincia</w:t>
            </w:r>
          </w:p>
        </w:tc>
        <w:tc>
          <w:tcPr>
            <w:tcW w:w="2552" w:type="dxa"/>
          </w:tcPr>
          <w:p w14:paraId="3AED2EE6" w14:textId="77777777" w:rsidR="005246D4" w:rsidRDefault="00000000">
            <w:pPr>
              <w:spacing w:line="276" w:lineRule="auto"/>
              <w:ind w:right="-560"/>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color w:val="303AB2"/>
              </w:rPr>
            </w:pPr>
            <w:r>
              <w:rPr>
                <w:rFonts w:ascii="Open Sans" w:eastAsia="Open Sans" w:hAnsi="Open Sans" w:cs="Open Sans"/>
              </w:rPr>
              <w:t>Variación tercer trimestre</w:t>
            </w:r>
          </w:p>
        </w:tc>
      </w:tr>
      <w:tr w:rsidR="005246D4" w14:paraId="16272B61"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0E391FD"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Logroño</w:t>
            </w:r>
          </w:p>
        </w:tc>
        <w:tc>
          <w:tcPr>
            <w:tcW w:w="2552" w:type="dxa"/>
            <w:vAlign w:val="bottom"/>
          </w:tcPr>
          <w:p w14:paraId="25645BEC"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22,9%</w:t>
            </w:r>
          </w:p>
        </w:tc>
      </w:tr>
      <w:tr w:rsidR="005246D4" w14:paraId="5607BB04"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7B7D604"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Zamora</w:t>
            </w:r>
          </w:p>
        </w:tc>
        <w:tc>
          <w:tcPr>
            <w:tcW w:w="2552" w:type="dxa"/>
            <w:vAlign w:val="bottom"/>
          </w:tcPr>
          <w:p w14:paraId="629A56FB"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19,9%</w:t>
            </w:r>
          </w:p>
        </w:tc>
      </w:tr>
      <w:tr w:rsidR="005246D4" w14:paraId="0D8B84F1"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19E6E82"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Girona</w:t>
            </w:r>
          </w:p>
        </w:tc>
        <w:tc>
          <w:tcPr>
            <w:tcW w:w="2552" w:type="dxa"/>
            <w:vAlign w:val="bottom"/>
          </w:tcPr>
          <w:p w14:paraId="360233D7"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11,4%</w:t>
            </w:r>
          </w:p>
        </w:tc>
      </w:tr>
      <w:tr w:rsidR="005246D4" w14:paraId="0857EB77"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C77DB9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Vitoria</w:t>
            </w:r>
          </w:p>
        </w:tc>
        <w:tc>
          <w:tcPr>
            <w:tcW w:w="2552" w:type="dxa"/>
            <w:vAlign w:val="bottom"/>
          </w:tcPr>
          <w:p w14:paraId="5D2FA849"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8,6%</w:t>
            </w:r>
          </w:p>
        </w:tc>
      </w:tr>
      <w:tr w:rsidR="005246D4" w14:paraId="1EED2B53"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FF0D9C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Badajoz</w:t>
            </w:r>
          </w:p>
        </w:tc>
        <w:tc>
          <w:tcPr>
            <w:tcW w:w="2552" w:type="dxa"/>
            <w:vAlign w:val="bottom"/>
          </w:tcPr>
          <w:p w14:paraId="45DF347B"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7,9%</w:t>
            </w:r>
          </w:p>
        </w:tc>
      </w:tr>
      <w:tr w:rsidR="005246D4" w14:paraId="0144C6FA"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BA3E46D"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Cuenca</w:t>
            </w:r>
          </w:p>
        </w:tc>
        <w:tc>
          <w:tcPr>
            <w:tcW w:w="2552" w:type="dxa"/>
            <w:vAlign w:val="bottom"/>
          </w:tcPr>
          <w:p w14:paraId="297ED1D6"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5,7%</w:t>
            </w:r>
          </w:p>
        </w:tc>
      </w:tr>
      <w:tr w:rsidR="005246D4" w14:paraId="1D7B4A54"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6921C31"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Córdoba</w:t>
            </w:r>
          </w:p>
        </w:tc>
        <w:tc>
          <w:tcPr>
            <w:tcW w:w="2552" w:type="dxa"/>
            <w:vAlign w:val="bottom"/>
          </w:tcPr>
          <w:p w14:paraId="6E50668E"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4,0%</w:t>
            </w:r>
          </w:p>
        </w:tc>
      </w:tr>
      <w:tr w:rsidR="005246D4" w14:paraId="560A9D4D"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DDF2BFE"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Pamplona</w:t>
            </w:r>
          </w:p>
        </w:tc>
        <w:tc>
          <w:tcPr>
            <w:tcW w:w="2552" w:type="dxa"/>
            <w:vAlign w:val="bottom"/>
          </w:tcPr>
          <w:p w14:paraId="15A780F3"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3,8%</w:t>
            </w:r>
          </w:p>
        </w:tc>
      </w:tr>
      <w:tr w:rsidR="005246D4" w14:paraId="4DEA373A"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041878F"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Oviedo</w:t>
            </w:r>
          </w:p>
        </w:tc>
        <w:tc>
          <w:tcPr>
            <w:tcW w:w="2552" w:type="dxa"/>
            <w:vAlign w:val="bottom"/>
          </w:tcPr>
          <w:p w14:paraId="1CFA6B11"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3,8%</w:t>
            </w:r>
          </w:p>
        </w:tc>
      </w:tr>
      <w:tr w:rsidR="005246D4" w14:paraId="151E0F5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D5593EC"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Guadalajara</w:t>
            </w:r>
          </w:p>
        </w:tc>
        <w:tc>
          <w:tcPr>
            <w:tcW w:w="2552" w:type="dxa"/>
            <w:vAlign w:val="bottom"/>
          </w:tcPr>
          <w:p w14:paraId="47189522"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3,8%</w:t>
            </w:r>
          </w:p>
        </w:tc>
      </w:tr>
      <w:tr w:rsidR="005246D4" w14:paraId="33F0E938"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D407712"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Zaragoza</w:t>
            </w:r>
          </w:p>
        </w:tc>
        <w:tc>
          <w:tcPr>
            <w:tcW w:w="2552" w:type="dxa"/>
            <w:vAlign w:val="bottom"/>
          </w:tcPr>
          <w:p w14:paraId="6D24B2EC"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3,7%</w:t>
            </w:r>
          </w:p>
        </w:tc>
      </w:tr>
      <w:tr w:rsidR="005246D4" w14:paraId="18F3DA0C"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C2FC8F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Huesca</w:t>
            </w:r>
          </w:p>
        </w:tc>
        <w:tc>
          <w:tcPr>
            <w:tcW w:w="2552" w:type="dxa"/>
            <w:vAlign w:val="bottom"/>
          </w:tcPr>
          <w:p w14:paraId="103D4103"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3,5%</w:t>
            </w:r>
          </w:p>
        </w:tc>
      </w:tr>
      <w:tr w:rsidR="005246D4" w14:paraId="1DAA5244"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E00BC8C"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Madrid</w:t>
            </w:r>
          </w:p>
        </w:tc>
        <w:tc>
          <w:tcPr>
            <w:tcW w:w="2552" w:type="dxa"/>
            <w:vAlign w:val="bottom"/>
          </w:tcPr>
          <w:p w14:paraId="5D4E3DEB"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3,5%</w:t>
            </w:r>
          </w:p>
        </w:tc>
      </w:tr>
      <w:tr w:rsidR="005246D4" w14:paraId="0D2D1FB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A22B1C7"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Albacete</w:t>
            </w:r>
          </w:p>
        </w:tc>
        <w:tc>
          <w:tcPr>
            <w:tcW w:w="2552" w:type="dxa"/>
            <w:vAlign w:val="bottom"/>
          </w:tcPr>
          <w:p w14:paraId="100AE62E"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3,4%</w:t>
            </w:r>
          </w:p>
        </w:tc>
      </w:tr>
      <w:tr w:rsidR="005246D4" w14:paraId="7BD18919"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7279C3C"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Lleida</w:t>
            </w:r>
          </w:p>
        </w:tc>
        <w:tc>
          <w:tcPr>
            <w:tcW w:w="2552" w:type="dxa"/>
            <w:vAlign w:val="bottom"/>
          </w:tcPr>
          <w:p w14:paraId="65A165F6"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3,4%</w:t>
            </w:r>
          </w:p>
        </w:tc>
      </w:tr>
      <w:tr w:rsidR="005246D4" w14:paraId="623D1585"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0857227"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San Sebastián</w:t>
            </w:r>
          </w:p>
        </w:tc>
        <w:tc>
          <w:tcPr>
            <w:tcW w:w="2552" w:type="dxa"/>
            <w:vAlign w:val="bottom"/>
          </w:tcPr>
          <w:p w14:paraId="0A791591"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3,3%</w:t>
            </w:r>
          </w:p>
        </w:tc>
      </w:tr>
      <w:tr w:rsidR="005246D4" w14:paraId="5EB0A098"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C6F71D8"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Valladolid</w:t>
            </w:r>
          </w:p>
        </w:tc>
        <w:tc>
          <w:tcPr>
            <w:tcW w:w="2552" w:type="dxa"/>
            <w:vAlign w:val="bottom"/>
          </w:tcPr>
          <w:p w14:paraId="3A6F6634"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3,2%</w:t>
            </w:r>
          </w:p>
        </w:tc>
      </w:tr>
      <w:tr w:rsidR="005246D4" w14:paraId="3140002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90DE0E7"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Ciudad Real</w:t>
            </w:r>
          </w:p>
        </w:tc>
        <w:tc>
          <w:tcPr>
            <w:tcW w:w="2552" w:type="dxa"/>
            <w:vAlign w:val="bottom"/>
          </w:tcPr>
          <w:p w14:paraId="6479D728"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2,7%</w:t>
            </w:r>
          </w:p>
        </w:tc>
      </w:tr>
      <w:tr w:rsidR="005246D4" w14:paraId="01D5C722"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F53DF11"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Cáceres</w:t>
            </w:r>
          </w:p>
        </w:tc>
        <w:tc>
          <w:tcPr>
            <w:tcW w:w="2552" w:type="dxa"/>
            <w:vAlign w:val="bottom"/>
          </w:tcPr>
          <w:p w14:paraId="4FA180C4"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2,2%</w:t>
            </w:r>
          </w:p>
        </w:tc>
      </w:tr>
      <w:tr w:rsidR="005246D4" w14:paraId="4C066DE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145145C"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Lugo</w:t>
            </w:r>
          </w:p>
        </w:tc>
        <w:tc>
          <w:tcPr>
            <w:tcW w:w="2552" w:type="dxa"/>
            <w:vAlign w:val="bottom"/>
          </w:tcPr>
          <w:p w14:paraId="522AB8F5"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2,2%</w:t>
            </w:r>
          </w:p>
        </w:tc>
      </w:tr>
      <w:tr w:rsidR="005246D4" w14:paraId="598C1378"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DB435E1"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Tarragona</w:t>
            </w:r>
          </w:p>
        </w:tc>
        <w:tc>
          <w:tcPr>
            <w:tcW w:w="2552" w:type="dxa"/>
            <w:vAlign w:val="bottom"/>
          </w:tcPr>
          <w:p w14:paraId="7583BA39"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1,9%</w:t>
            </w:r>
          </w:p>
        </w:tc>
      </w:tr>
      <w:tr w:rsidR="005246D4" w14:paraId="1B41C47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DD3B8AF"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Burgos</w:t>
            </w:r>
          </w:p>
        </w:tc>
        <w:tc>
          <w:tcPr>
            <w:tcW w:w="2552" w:type="dxa"/>
            <w:vAlign w:val="bottom"/>
          </w:tcPr>
          <w:p w14:paraId="6E610676"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1,5%</w:t>
            </w:r>
          </w:p>
        </w:tc>
      </w:tr>
      <w:tr w:rsidR="005246D4" w14:paraId="15824457"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51BF7B4"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Murcia</w:t>
            </w:r>
          </w:p>
        </w:tc>
        <w:tc>
          <w:tcPr>
            <w:tcW w:w="2552" w:type="dxa"/>
            <w:vAlign w:val="bottom"/>
          </w:tcPr>
          <w:p w14:paraId="5CFA9DBD"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1,2%</w:t>
            </w:r>
          </w:p>
        </w:tc>
      </w:tr>
      <w:tr w:rsidR="005246D4" w14:paraId="210A4F40"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1846791"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Vigo</w:t>
            </w:r>
          </w:p>
        </w:tc>
        <w:tc>
          <w:tcPr>
            <w:tcW w:w="2552" w:type="dxa"/>
            <w:vAlign w:val="bottom"/>
          </w:tcPr>
          <w:p w14:paraId="0F85F4BA"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1,2%</w:t>
            </w:r>
          </w:p>
        </w:tc>
      </w:tr>
      <w:tr w:rsidR="005246D4" w14:paraId="0E8EE055"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38F0F43"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Ourense</w:t>
            </w:r>
          </w:p>
        </w:tc>
        <w:tc>
          <w:tcPr>
            <w:tcW w:w="2552" w:type="dxa"/>
            <w:vAlign w:val="bottom"/>
          </w:tcPr>
          <w:p w14:paraId="42493BFB"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1,1%</w:t>
            </w:r>
          </w:p>
        </w:tc>
      </w:tr>
      <w:tr w:rsidR="005246D4" w14:paraId="26F69A4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A40CFAF"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Las Palmas de GC</w:t>
            </w:r>
          </w:p>
        </w:tc>
        <w:tc>
          <w:tcPr>
            <w:tcW w:w="2552" w:type="dxa"/>
            <w:vAlign w:val="bottom"/>
          </w:tcPr>
          <w:p w14:paraId="436C25E5"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0,7%</w:t>
            </w:r>
          </w:p>
        </w:tc>
      </w:tr>
      <w:tr w:rsidR="005246D4" w14:paraId="71A15317"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D8A938D"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lastRenderedPageBreak/>
              <w:t>Ávila</w:t>
            </w:r>
          </w:p>
        </w:tc>
        <w:tc>
          <w:tcPr>
            <w:tcW w:w="2552" w:type="dxa"/>
            <w:vAlign w:val="bottom"/>
          </w:tcPr>
          <w:p w14:paraId="284B73AC"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0,0%</w:t>
            </w:r>
          </w:p>
        </w:tc>
      </w:tr>
      <w:tr w:rsidR="005246D4" w14:paraId="39F9817A"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4FD8FBE"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Almería</w:t>
            </w:r>
          </w:p>
        </w:tc>
        <w:tc>
          <w:tcPr>
            <w:tcW w:w="2552" w:type="dxa"/>
            <w:vAlign w:val="bottom"/>
          </w:tcPr>
          <w:p w14:paraId="1E804591"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0,0%</w:t>
            </w:r>
          </w:p>
        </w:tc>
      </w:tr>
      <w:tr w:rsidR="005246D4" w14:paraId="6AC5E5A5"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3E8E8D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Santa Cruz de Tenerife</w:t>
            </w:r>
          </w:p>
        </w:tc>
        <w:tc>
          <w:tcPr>
            <w:tcW w:w="2552" w:type="dxa"/>
            <w:vAlign w:val="bottom"/>
          </w:tcPr>
          <w:p w14:paraId="0939001C"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0,0%</w:t>
            </w:r>
          </w:p>
        </w:tc>
      </w:tr>
      <w:tr w:rsidR="005246D4" w14:paraId="174C2796"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507E2FA"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Palencia</w:t>
            </w:r>
          </w:p>
        </w:tc>
        <w:tc>
          <w:tcPr>
            <w:tcW w:w="2552" w:type="dxa"/>
            <w:vAlign w:val="bottom"/>
          </w:tcPr>
          <w:p w14:paraId="5A9B6A5C"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0,0%</w:t>
            </w:r>
          </w:p>
        </w:tc>
      </w:tr>
      <w:tr w:rsidR="005246D4" w14:paraId="083D0433"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5F976900"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Valencia</w:t>
            </w:r>
          </w:p>
        </w:tc>
        <w:tc>
          <w:tcPr>
            <w:tcW w:w="2552" w:type="dxa"/>
            <w:vAlign w:val="bottom"/>
          </w:tcPr>
          <w:p w14:paraId="4EA41817"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0,0%</w:t>
            </w:r>
          </w:p>
        </w:tc>
      </w:tr>
      <w:tr w:rsidR="005246D4" w14:paraId="77DB6093"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7D6C3D6"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Barcelona</w:t>
            </w:r>
          </w:p>
        </w:tc>
        <w:tc>
          <w:tcPr>
            <w:tcW w:w="2552" w:type="dxa"/>
            <w:vAlign w:val="bottom"/>
          </w:tcPr>
          <w:p w14:paraId="7523C221"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rPr>
            </w:pPr>
            <w:r>
              <w:rPr>
                <w:rFonts w:ascii="Open Sans" w:eastAsia="Open Sans" w:hAnsi="Open Sans" w:cs="Open Sans"/>
                <w:color w:val="000000"/>
              </w:rPr>
              <w:t>0,0%</w:t>
            </w:r>
          </w:p>
        </w:tc>
      </w:tr>
      <w:tr w:rsidR="005246D4" w14:paraId="132DF101"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614D98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Segovia</w:t>
            </w:r>
          </w:p>
        </w:tc>
        <w:tc>
          <w:tcPr>
            <w:tcW w:w="2552" w:type="dxa"/>
            <w:vAlign w:val="bottom"/>
          </w:tcPr>
          <w:p w14:paraId="58E98F5E"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-0,4%</w:t>
            </w:r>
          </w:p>
        </w:tc>
      </w:tr>
      <w:tr w:rsidR="005246D4" w14:paraId="6AADE875"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4835D6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Jaén</w:t>
            </w:r>
          </w:p>
        </w:tc>
        <w:tc>
          <w:tcPr>
            <w:tcW w:w="2552" w:type="dxa"/>
            <w:vAlign w:val="bottom"/>
          </w:tcPr>
          <w:p w14:paraId="1EA2E813"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-0,6%</w:t>
            </w:r>
          </w:p>
        </w:tc>
      </w:tr>
      <w:tr w:rsidR="005246D4" w14:paraId="45551FD6"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CBBBC41"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Granada</w:t>
            </w:r>
          </w:p>
        </w:tc>
        <w:tc>
          <w:tcPr>
            <w:tcW w:w="2552" w:type="dxa"/>
            <w:vAlign w:val="bottom"/>
          </w:tcPr>
          <w:p w14:paraId="3931C4BC"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-1,5%</w:t>
            </w:r>
          </w:p>
        </w:tc>
      </w:tr>
      <w:tr w:rsidR="005246D4" w14:paraId="4F79BF43"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6DB32FC7"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A Coruña</w:t>
            </w:r>
          </w:p>
        </w:tc>
        <w:tc>
          <w:tcPr>
            <w:tcW w:w="2552" w:type="dxa"/>
            <w:vAlign w:val="bottom"/>
          </w:tcPr>
          <w:p w14:paraId="0E3CD9BC"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-1,6%</w:t>
            </w:r>
          </w:p>
        </w:tc>
      </w:tr>
      <w:tr w:rsidR="005246D4" w14:paraId="0DB64FDC"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CAB4F80"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Soria</w:t>
            </w:r>
          </w:p>
        </w:tc>
        <w:tc>
          <w:tcPr>
            <w:tcW w:w="2552" w:type="dxa"/>
            <w:vAlign w:val="bottom"/>
          </w:tcPr>
          <w:p w14:paraId="23159308"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-2,1%</w:t>
            </w:r>
          </w:p>
        </w:tc>
      </w:tr>
      <w:tr w:rsidR="005246D4" w14:paraId="53CDA534"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26225602"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Bilbao</w:t>
            </w:r>
          </w:p>
        </w:tc>
        <w:tc>
          <w:tcPr>
            <w:tcW w:w="2552" w:type="dxa"/>
            <w:vAlign w:val="bottom"/>
          </w:tcPr>
          <w:p w14:paraId="0E4A4F37"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-2,2%</w:t>
            </w:r>
          </w:p>
        </w:tc>
      </w:tr>
      <w:tr w:rsidR="005246D4" w14:paraId="4B16FBEA"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347ACE3"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Pontevedra</w:t>
            </w:r>
          </w:p>
        </w:tc>
        <w:tc>
          <w:tcPr>
            <w:tcW w:w="2552" w:type="dxa"/>
            <w:vAlign w:val="bottom"/>
          </w:tcPr>
          <w:p w14:paraId="3FC030A5"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-2,2%</w:t>
            </w:r>
          </w:p>
        </w:tc>
      </w:tr>
      <w:tr w:rsidR="005246D4" w14:paraId="6C1FA937"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BCB0EE8"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Teruel</w:t>
            </w:r>
          </w:p>
        </w:tc>
        <w:tc>
          <w:tcPr>
            <w:tcW w:w="2552" w:type="dxa"/>
            <w:vAlign w:val="bottom"/>
          </w:tcPr>
          <w:p w14:paraId="4807BE63"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-3,1%</w:t>
            </w:r>
          </w:p>
        </w:tc>
      </w:tr>
      <w:tr w:rsidR="005246D4" w14:paraId="0F8FD64E"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5AB873D"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León</w:t>
            </w:r>
          </w:p>
        </w:tc>
        <w:tc>
          <w:tcPr>
            <w:tcW w:w="2552" w:type="dxa"/>
            <w:vAlign w:val="bottom"/>
          </w:tcPr>
          <w:p w14:paraId="706FE422"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-3,4%</w:t>
            </w:r>
          </w:p>
        </w:tc>
      </w:tr>
      <w:tr w:rsidR="005246D4" w14:paraId="3ED991E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C1D1BD2"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Salamanca</w:t>
            </w:r>
          </w:p>
        </w:tc>
        <w:tc>
          <w:tcPr>
            <w:tcW w:w="2552" w:type="dxa"/>
            <w:vAlign w:val="bottom"/>
          </w:tcPr>
          <w:p w14:paraId="23C10495"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-4,2%</w:t>
            </w:r>
          </w:p>
        </w:tc>
      </w:tr>
      <w:tr w:rsidR="005246D4" w14:paraId="74941A0D"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BC05471"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Palma</w:t>
            </w:r>
          </w:p>
        </w:tc>
        <w:tc>
          <w:tcPr>
            <w:tcW w:w="2552" w:type="dxa"/>
            <w:vAlign w:val="bottom"/>
          </w:tcPr>
          <w:p w14:paraId="5C744BFD"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-4,8%</w:t>
            </w:r>
          </w:p>
        </w:tc>
      </w:tr>
      <w:tr w:rsidR="005246D4" w14:paraId="052F985C"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0B84933"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Huelva</w:t>
            </w:r>
          </w:p>
        </w:tc>
        <w:tc>
          <w:tcPr>
            <w:tcW w:w="2552" w:type="dxa"/>
            <w:vAlign w:val="bottom"/>
          </w:tcPr>
          <w:p w14:paraId="68DD19B1"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-5,1%</w:t>
            </w:r>
          </w:p>
        </w:tc>
      </w:tr>
      <w:tr w:rsidR="005246D4" w14:paraId="4E65E49A"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DF4BAF8"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Toledo</w:t>
            </w:r>
          </w:p>
        </w:tc>
        <w:tc>
          <w:tcPr>
            <w:tcW w:w="2552" w:type="dxa"/>
            <w:vAlign w:val="bottom"/>
          </w:tcPr>
          <w:p w14:paraId="00B582C1"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-5,5%</w:t>
            </w:r>
          </w:p>
        </w:tc>
      </w:tr>
      <w:tr w:rsidR="005246D4" w14:paraId="42274D92"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35FFD485"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Sevilla</w:t>
            </w:r>
          </w:p>
        </w:tc>
        <w:tc>
          <w:tcPr>
            <w:tcW w:w="2552" w:type="dxa"/>
            <w:vAlign w:val="bottom"/>
          </w:tcPr>
          <w:p w14:paraId="3288B8D3"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-5,6%</w:t>
            </w:r>
          </w:p>
        </w:tc>
      </w:tr>
      <w:tr w:rsidR="005246D4" w14:paraId="170E064E"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8D7A87C"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Castellón de la Plana</w:t>
            </w:r>
          </w:p>
        </w:tc>
        <w:tc>
          <w:tcPr>
            <w:tcW w:w="2552" w:type="dxa"/>
            <w:vAlign w:val="bottom"/>
          </w:tcPr>
          <w:p w14:paraId="0467A412"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-5,9%</w:t>
            </w:r>
          </w:p>
        </w:tc>
      </w:tr>
      <w:tr w:rsidR="005246D4" w14:paraId="12F59EEF"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1014A7EB"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Alicante</w:t>
            </w:r>
          </w:p>
        </w:tc>
        <w:tc>
          <w:tcPr>
            <w:tcW w:w="2552" w:type="dxa"/>
            <w:vAlign w:val="bottom"/>
          </w:tcPr>
          <w:p w14:paraId="037AA416"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-7,9%</w:t>
            </w:r>
          </w:p>
        </w:tc>
      </w:tr>
      <w:tr w:rsidR="005246D4" w14:paraId="34B2CC1E"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73DF007A"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Málaga</w:t>
            </w:r>
          </w:p>
        </w:tc>
        <w:tc>
          <w:tcPr>
            <w:tcW w:w="2552" w:type="dxa"/>
            <w:vAlign w:val="bottom"/>
          </w:tcPr>
          <w:p w14:paraId="4D22375D"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-11,7%</w:t>
            </w:r>
          </w:p>
        </w:tc>
      </w:tr>
      <w:tr w:rsidR="005246D4" w14:paraId="60F76700" w14:textId="77777777" w:rsidTr="005246D4">
        <w:trPr>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4A4D72DD"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Santander</w:t>
            </w:r>
          </w:p>
        </w:tc>
        <w:tc>
          <w:tcPr>
            <w:tcW w:w="2552" w:type="dxa"/>
            <w:vAlign w:val="bottom"/>
          </w:tcPr>
          <w:p w14:paraId="183C6B91" w14:textId="77777777" w:rsidR="005246D4" w:rsidRDefault="00000000">
            <w:pPr>
              <w:spacing w:line="276" w:lineRule="auto"/>
              <w:ind w:right="-560"/>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-13,7%</w:t>
            </w:r>
          </w:p>
        </w:tc>
      </w:tr>
      <w:tr w:rsidR="005246D4" w14:paraId="4C454B51" w14:textId="77777777" w:rsidTr="005246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97" w:type="dxa"/>
            <w:vAlign w:val="bottom"/>
          </w:tcPr>
          <w:p w14:paraId="0E37563A" w14:textId="77777777" w:rsidR="005246D4" w:rsidRDefault="00000000">
            <w:pPr>
              <w:spacing w:line="276" w:lineRule="auto"/>
              <w:ind w:right="-560"/>
              <w:jc w:val="both"/>
              <w:rPr>
                <w:rFonts w:ascii="Open Sans" w:eastAsia="Open Sans" w:hAnsi="Open Sans" w:cs="Open Sans"/>
                <w:color w:val="262626"/>
              </w:rPr>
            </w:pPr>
            <w:r>
              <w:rPr>
                <w:rFonts w:ascii="Open Sans" w:eastAsia="Open Sans" w:hAnsi="Open Sans" w:cs="Open Sans"/>
                <w:b w:val="0"/>
                <w:color w:val="000000"/>
              </w:rPr>
              <w:t>Cádiz</w:t>
            </w:r>
          </w:p>
        </w:tc>
        <w:tc>
          <w:tcPr>
            <w:tcW w:w="2552" w:type="dxa"/>
            <w:vAlign w:val="bottom"/>
          </w:tcPr>
          <w:p w14:paraId="7BF39FC5" w14:textId="77777777" w:rsidR="005246D4" w:rsidRDefault="00000000">
            <w:pPr>
              <w:spacing w:line="276" w:lineRule="auto"/>
              <w:ind w:right="-560"/>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EE0000"/>
              </w:rPr>
            </w:pPr>
            <w:r>
              <w:rPr>
                <w:rFonts w:ascii="Open Sans" w:eastAsia="Open Sans" w:hAnsi="Open Sans" w:cs="Open Sans"/>
                <w:color w:val="EE0000"/>
              </w:rPr>
              <w:t>-15,4%</w:t>
            </w:r>
          </w:p>
        </w:tc>
      </w:tr>
    </w:tbl>
    <w:p w14:paraId="19673AEB" w14:textId="77777777" w:rsidR="005246D4" w:rsidRDefault="005246D4">
      <w:pPr>
        <w:spacing w:line="276" w:lineRule="auto"/>
        <w:ind w:right="-560"/>
        <w:jc w:val="both"/>
        <w:rPr>
          <w:rFonts w:ascii="Open Sans" w:eastAsia="Open Sans" w:hAnsi="Open Sans" w:cs="Open Sans"/>
          <w:b/>
          <w:color w:val="262626"/>
          <w:sz w:val="22"/>
          <w:szCs w:val="22"/>
        </w:rPr>
      </w:pPr>
    </w:p>
    <w:p w14:paraId="284C10B4" w14:textId="77777777" w:rsidR="005246D4" w:rsidRDefault="005246D4">
      <w:pPr>
        <w:spacing w:line="276" w:lineRule="auto"/>
        <w:ind w:right="-560"/>
        <w:jc w:val="both"/>
        <w:rPr>
          <w:rFonts w:ascii="Open Sans" w:eastAsia="Open Sans" w:hAnsi="Open Sans" w:cs="Open Sans"/>
          <w:b/>
          <w:color w:val="262626"/>
          <w:sz w:val="22"/>
          <w:szCs w:val="22"/>
        </w:rPr>
      </w:pPr>
    </w:p>
    <w:p w14:paraId="0929A03C" w14:textId="77777777" w:rsidR="005246D4" w:rsidRDefault="00000000">
      <w:pPr>
        <w:spacing w:line="276" w:lineRule="auto"/>
        <w:ind w:right="-560"/>
        <w:jc w:val="both"/>
        <w:rPr>
          <w:rFonts w:ascii="Open Sans" w:eastAsia="Open Sans" w:hAnsi="Open Sans" w:cs="Open Sans"/>
          <w:color w:val="262626"/>
          <w:sz w:val="22"/>
          <w:szCs w:val="22"/>
        </w:rPr>
      </w:pPr>
      <w:r>
        <w:rPr>
          <w:rFonts w:ascii="Open Sans" w:eastAsia="Open Sans" w:hAnsi="Open Sans" w:cs="Open Sans"/>
          <w:color w:val="262626"/>
          <w:sz w:val="22"/>
          <w:szCs w:val="22"/>
        </w:rPr>
        <w:t xml:space="preserve">Por último, en esta previsión el modelo ha detectado también variaciones parciales en los precios de oferta que podrían estar vinculadas a fenómenos estacionales cíclicos, como sería el caso de los alquileres vacacionales, los arrendamientos en periodos estudiantiles, o cualquier otra casuística que pudiera generar oscilaciones recurrentes a nivel trimestral, algo que podría ocasionar una corrección de estos índices en los próximos trimestres. Este sería el caso de las estimaciones dadas para las ciudades de Zamora, Ciudad Real, Vitoria, Málaga, Santander, Cádiz y Logroño. Además, la herramienta ha señalado que, en </w:t>
      </w:r>
      <w:r>
        <w:rPr>
          <w:rFonts w:ascii="Open Sans" w:eastAsia="Open Sans" w:hAnsi="Open Sans" w:cs="Open Sans"/>
          <w:color w:val="262626"/>
          <w:sz w:val="22"/>
          <w:szCs w:val="22"/>
        </w:rPr>
        <w:lastRenderedPageBreak/>
        <w:t>el caso de Soria, se observa también una volatilidad muy pronunciada a causa del bajo stock de alquiler en la ciudad.</w:t>
      </w:r>
    </w:p>
    <w:p w14:paraId="1CF4E548" w14:textId="77777777" w:rsidR="005246D4" w:rsidRDefault="005246D4">
      <w:pPr>
        <w:spacing w:line="276" w:lineRule="auto"/>
        <w:ind w:right="-560"/>
        <w:jc w:val="both"/>
        <w:rPr>
          <w:rFonts w:ascii="Open Sans" w:eastAsia="Open Sans" w:hAnsi="Open Sans" w:cs="Open Sans"/>
          <w:b/>
          <w:color w:val="262626"/>
          <w:sz w:val="22"/>
          <w:szCs w:val="22"/>
        </w:rPr>
      </w:pPr>
    </w:p>
    <w:p w14:paraId="7A0CB991" w14:textId="77777777" w:rsidR="005246D4" w:rsidRDefault="005246D4">
      <w:pPr>
        <w:spacing w:line="276" w:lineRule="auto"/>
        <w:ind w:right="-433"/>
        <w:jc w:val="right"/>
        <w:rPr>
          <w:rFonts w:ascii="Open Sans" w:eastAsia="Open Sans" w:hAnsi="Open Sans" w:cs="Open Sans"/>
          <w:b/>
          <w:color w:val="303AB2"/>
        </w:rPr>
      </w:pPr>
    </w:p>
    <w:p w14:paraId="5537FBA4" w14:textId="77777777" w:rsidR="005246D4"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 xml:space="preserve">Sobre </w:t>
      </w:r>
      <w:proofErr w:type="spellStart"/>
      <w:r>
        <w:rPr>
          <w:rFonts w:ascii="Open Sans" w:eastAsia="Open Sans" w:hAnsi="Open Sans" w:cs="Open Sans"/>
          <w:b/>
          <w:color w:val="303AB2"/>
        </w:rPr>
        <w:t>DataVenues</w:t>
      </w:r>
      <w:proofErr w:type="spellEnd"/>
    </w:p>
    <w:p w14:paraId="5FBDA81B" w14:textId="77777777" w:rsidR="005246D4" w:rsidRDefault="00000000">
      <w:pPr>
        <w:shd w:val="clear" w:color="auto" w:fill="FFFFFF"/>
        <w:spacing w:before="280" w:after="280" w:line="276" w:lineRule="auto"/>
        <w:ind w:right="-433"/>
        <w:jc w:val="both"/>
        <w:rPr>
          <w:rFonts w:ascii="Open Sans" w:eastAsia="Open Sans" w:hAnsi="Open Sans" w:cs="Open Sans"/>
          <w:sz w:val="22"/>
          <w:szCs w:val="22"/>
        </w:rPr>
      </w:pPr>
      <w:hyperlink r:id="rId18">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es una herramienta multiplataforma desarrollada por Fotocasa que ha cambiado la manera de acceder a la información inmobiliaria para los profesionales del sector. </w:t>
      </w:r>
      <w:hyperlink r:id="rId19">
        <w:proofErr w:type="spellStart"/>
        <w:r>
          <w:rPr>
            <w:rFonts w:ascii="Open Sans" w:eastAsia="Open Sans" w:hAnsi="Open Sans" w:cs="Open Sans"/>
            <w:b/>
            <w:color w:val="0000FF"/>
            <w:sz w:val="22"/>
            <w:szCs w:val="22"/>
            <w:u w:val="single"/>
          </w:rPr>
          <w:t>DataVenues</w:t>
        </w:r>
        <w:proofErr w:type="spellEnd"/>
      </w:hyperlink>
      <w:r>
        <w:rPr>
          <w:rFonts w:ascii="Open Sans" w:eastAsia="Open Sans" w:hAnsi="Open Sans" w:cs="Open Sans"/>
          <w:sz w:val="22"/>
          <w:szCs w:val="22"/>
        </w:rPr>
        <w:t xml:space="preserve"> incluye datos actualizados de cada zona tanto de oferta como de demanda, y también la valoración de los inmuebles y la evolución del precio. La información está disponible tanto de obra nueva como de segunda mano, para viviendas, garajes, trasteros, locales y oficinas. La herramienta de </w:t>
      </w:r>
      <w:proofErr w:type="spellStart"/>
      <w:r>
        <w:rPr>
          <w:rFonts w:ascii="Open Sans" w:eastAsia="Open Sans" w:hAnsi="Open Sans" w:cs="Open Sans"/>
          <w:sz w:val="22"/>
          <w:szCs w:val="22"/>
        </w:rPr>
        <w:t>DataVenues</w:t>
      </w:r>
      <w:proofErr w:type="spellEnd"/>
      <w:r>
        <w:rPr>
          <w:rFonts w:ascii="Open Sans" w:eastAsia="Open Sans" w:hAnsi="Open Sans" w:cs="Open Sans"/>
          <w:sz w:val="22"/>
          <w:szCs w:val="22"/>
        </w:rPr>
        <w:t xml:space="preserve"> incluye datos propios del </w:t>
      </w:r>
      <w:proofErr w:type="spellStart"/>
      <w:r>
        <w:rPr>
          <w:rFonts w:ascii="Open Sans" w:eastAsia="Open Sans" w:hAnsi="Open Sans" w:cs="Open Sans"/>
          <w:sz w:val="22"/>
          <w:szCs w:val="22"/>
        </w:rPr>
        <w:t>portal</w:t>
      </w:r>
      <w:proofErr w:type="spellEnd"/>
      <w:r>
        <w:rPr>
          <w:rFonts w:ascii="Open Sans" w:eastAsia="Open Sans" w:hAnsi="Open Sans" w:cs="Open Sans"/>
          <w:sz w:val="22"/>
          <w:szCs w:val="22"/>
        </w:rPr>
        <w:t xml:space="preserve"> además de datos de catastro y Google </w:t>
      </w:r>
      <w:proofErr w:type="spellStart"/>
      <w:r>
        <w:rPr>
          <w:rFonts w:ascii="Open Sans" w:eastAsia="Open Sans" w:hAnsi="Open Sans" w:cs="Open Sans"/>
          <w:sz w:val="22"/>
          <w:szCs w:val="22"/>
        </w:rPr>
        <w:t>Maps</w:t>
      </w:r>
      <w:proofErr w:type="spellEnd"/>
      <w:r>
        <w:rPr>
          <w:rFonts w:ascii="Open Sans" w:eastAsia="Open Sans" w:hAnsi="Open Sans" w:cs="Open Sans"/>
          <w:sz w:val="22"/>
          <w:szCs w:val="22"/>
        </w:rPr>
        <w:t xml:space="preserve"> y permite realizar análisis de mercado de cada zona, con datos reales y actualizados de ofertas y demanda. Es una herramienta imprescindible para captar y valorar la cartera inmobiliaria y pone el Big Data al alcance de los profesionales inmobiliarios. </w:t>
      </w:r>
    </w:p>
    <w:p w14:paraId="09E6F25F" w14:textId="77777777" w:rsidR="005246D4" w:rsidRDefault="005246D4">
      <w:pPr>
        <w:spacing w:line="276" w:lineRule="auto"/>
        <w:jc w:val="right"/>
        <w:rPr>
          <w:rFonts w:ascii="Open Sans" w:eastAsia="Open Sans" w:hAnsi="Open Sans" w:cs="Open Sans"/>
          <w:b/>
          <w:color w:val="303AB2"/>
        </w:rPr>
      </w:pPr>
    </w:p>
    <w:p w14:paraId="7BECE2D3" w14:textId="77777777" w:rsidR="005246D4"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Sobre Fotocasa</w:t>
      </w:r>
    </w:p>
    <w:p w14:paraId="49C6C152" w14:textId="77777777" w:rsidR="005246D4" w:rsidRDefault="00000000">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20">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21">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5" w:name="_heading=h.2s8eyo1" w:colFirst="0" w:colLast="0"/>
    <w:bookmarkEnd w:id="5"/>
    <w:p w14:paraId="68F34C9D" w14:textId="77777777" w:rsidR="005246D4" w:rsidRDefault="00000000">
      <w:pPr>
        <w:shd w:val="clear" w:color="auto" w:fill="FFFFFF"/>
        <w:spacing w:before="280" w:after="280" w:line="276" w:lineRule="auto"/>
        <w:ind w:right="-433"/>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58CF1D77" w14:textId="77777777" w:rsidR="005246D4" w:rsidRDefault="00000000">
      <w:pPr>
        <w:shd w:val="clear" w:color="auto" w:fill="FFFFFF"/>
        <w:spacing w:before="280" w:after="280" w:line="276" w:lineRule="auto"/>
        <w:ind w:right="-433"/>
        <w:jc w:val="both"/>
        <w:rPr>
          <w:rFonts w:ascii="Open Sans" w:eastAsia="Open Sans" w:hAnsi="Open Sans" w:cs="Open Sans"/>
          <w:sz w:val="22"/>
          <w:szCs w:val="22"/>
        </w:rPr>
      </w:pPr>
      <w:hyperlink r:id="rId22">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CAA56CB" w14:textId="77777777" w:rsidR="005246D4" w:rsidRDefault="00000000">
      <w:pPr>
        <w:spacing w:line="276" w:lineRule="auto"/>
        <w:ind w:right="-433"/>
        <w:jc w:val="right"/>
        <w:rPr>
          <w:rFonts w:ascii="Open Sans" w:eastAsia="Open Sans" w:hAnsi="Open Sans" w:cs="Open Sans"/>
          <w:b/>
          <w:color w:val="303AB2"/>
        </w:rPr>
      </w:pPr>
      <w:r>
        <w:rPr>
          <w:rFonts w:ascii="Open Sans" w:eastAsia="Open Sans" w:hAnsi="Open Sans" w:cs="Open Sans"/>
          <w:b/>
          <w:color w:val="303AB2"/>
        </w:rPr>
        <w:t xml:space="preserve">Sobre </w:t>
      </w:r>
      <w:proofErr w:type="spellStart"/>
      <w:r>
        <w:rPr>
          <w:rFonts w:ascii="Open Sans" w:eastAsia="Open Sans" w:hAnsi="Open Sans" w:cs="Open Sans"/>
          <w:b/>
          <w:color w:val="303AB2"/>
        </w:rPr>
        <w:t>Adevinta</w:t>
      </w:r>
      <w:proofErr w:type="spellEnd"/>
    </w:p>
    <w:p w14:paraId="4DD06730" w14:textId="77777777" w:rsidR="005246D4" w:rsidRDefault="00000000">
      <w:pPr>
        <w:spacing w:before="143" w:after="200"/>
        <w:ind w:right="-433"/>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3">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5">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6">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7">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F13742E" w14:textId="77777777" w:rsidR="005246D4" w:rsidRDefault="00000000">
      <w:pPr>
        <w:spacing w:before="143" w:after="200"/>
        <w:ind w:right="-433"/>
        <w:jc w:val="both"/>
        <w:rPr>
          <w:rFonts w:ascii="Open Sans" w:eastAsia="Open Sans" w:hAnsi="Open Sans" w:cs="Open Sans"/>
          <w:sz w:val="22"/>
          <w:szCs w:val="22"/>
        </w:rPr>
      </w:pPr>
      <w:bookmarkStart w:id="6" w:name="_heading=h.vry51zu15183" w:colFirst="0" w:colLast="0"/>
      <w:bookmarkEnd w:id="6"/>
      <w:r>
        <w:rPr>
          <w:rFonts w:ascii="Open Sans" w:eastAsia="Open Sans" w:hAnsi="Open Sans" w:cs="Open Sans"/>
          <w:sz w:val="22"/>
          <w:szCs w:val="22"/>
        </w:rPr>
        <w:lastRenderedPageBreak/>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comprometida con fomentar un cambio positivo en el mundo a través de tecnología innovadora, otorgando una nueva oportunidad a quienes la están buscando y dando a las cosas una segunda vida.</w:t>
      </w:r>
    </w:p>
    <w:p w14:paraId="385CD716" w14:textId="77777777" w:rsidR="005246D4" w:rsidRDefault="00000000">
      <w:pPr>
        <w:spacing w:before="143" w:after="200"/>
        <w:ind w:right="-433"/>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5CB440AE" w14:textId="77777777" w:rsidR="005246D4" w:rsidRDefault="00000000">
      <w:pPr>
        <w:spacing w:before="143" w:after="200"/>
        <w:ind w:right="-433"/>
        <w:jc w:val="both"/>
        <w:rPr>
          <w:rFonts w:ascii="Open Sans" w:eastAsia="Open Sans" w:hAnsi="Open Sans" w:cs="Open Sans"/>
        </w:rPr>
      </w:pPr>
      <w:r>
        <w:rPr>
          <w:rFonts w:ascii="Open Sans" w:eastAsia="Open Sans" w:hAnsi="Open Sans" w:cs="Open Sans"/>
          <w:sz w:val="22"/>
          <w:szCs w:val="22"/>
        </w:rPr>
        <w:t xml:space="preserve">Más información en </w:t>
      </w:r>
      <w:hyperlink r:id="rId28">
        <w:r>
          <w:rPr>
            <w:rFonts w:ascii="Open Sans" w:eastAsia="Open Sans" w:hAnsi="Open Sans" w:cs="Open Sans"/>
            <w:color w:val="1155CC"/>
            <w:sz w:val="22"/>
            <w:szCs w:val="22"/>
            <w:u w:val="single"/>
          </w:rPr>
          <w:t>adevinta.es</w:t>
        </w:r>
      </w:hyperlink>
    </w:p>
    <w:p w14:paraId="0A223D50" w14:textId="77777777" w:rsidR="005246D4" w:rsidRDefault="005246D4">
      <w:pPr>
        <w:spacing w:line="276" w:lineRule="auto"/>
        <w:ind w:right="-433"/>
        <w:jc w:val="right"/>
        <w:rPr>
          <w:rFonts w:ascii="Open Sans" w:eastAsia="Open Sans" w:hAnsi="Open Sans" w:cs="Open Sans"/>
        </w:rPr>
      </w:pPr>
    </w:p>
    <w:p w14:paraId="5E96E154" w14:textId="77777777" w:rsidR="005246D4" w:rsidRDefault="00000000">
      <w:pPr>
        <w:spacing w:line="276" w:lineRule="auto"/>
        <w:ind w:right="-433"/>
        <w:rPr>
          <w:rFonts w:ascii="Open Sans" w:eastAsia="Open Sans" w:hAnsi="Open Sans" w:cs="Open Sans"/>
          <w:b/>
          <w:color w:val="303AB2"/>
          <w:sz w:val="22"/>
          <w:szCs w:val="22"/>
        </w:rPr>
      </w:pPr>
      <w:r>
        <w:rPr>
          <w:rFonts w:ascii="Open Sans" w:eastAsia="Open Sans" w:hAnsi="Open Sans" w:cs="Open Sans"/>
          <w:b/>
          <w:color w:val="303AB2"/>
          <w:sz w:val="22"/>
          <w:szCs w:val="22"/>
        </w:rPr>
        <w:t>Departamento Comunicación Fotocasa</w:t>
      </w:r>
    </w:p>
    <w:p w14:paraId="5D4F475A" w14:textId="77777777" w:rsidR="005246D4" w:rsidRDefault="00000000">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457140DB" w14:textId="77777777" w:rsidR="005246D4" w:rsidRDefault="00000000">
      <w:pPr>
        <w:shd w:val="clear" w:color="auto" w:fill="FFFFFF"/>
        <w:spacing w:line="276" w:lineRule="auto"/>
        <w:ind w:right="-433"/>
        <w:rPr>
          <w:rFonts w:ascii="Open Sans" w:eastAsia="Open Sans" w:hAnsi="Open Sans" w:cs="Open Sans"/>
          <w:color w:val="0000FF"/>
          <w:sz w:val="22"/>
          <w:szCs w:val="22"/>
          <w:u w:val="single"/>
        </w:rPr>
      </w:pPr>
      <w:hyperlink r:id="rId29">
        <w:r>
          <w:rPr>
            <w:rFonts w:ascii="Open Sans" w:eastAsia="Open Sans" w:hAnsi="Open Sans" w:cs="Open Sans"/>
            <w:color w:val="0000FF"/>
            <w:sz w:val="22"/>
            <w:szCs w:val="22"/>
            <w:u w:val="single"/>
          </w:rPr>
          <w:t>comunicacion@fotocasa.es</w:t>
        </w:r>
      </w:hyperlink>
    </w:p>
    <w:p w14:paraId="24D1E063" w14:textId="77777777" w:rsidR="005246D4" w:rsidRDefault="00000000">
      <w:pPr>
        <w:shd w:val="clear" w:color="auto" w:fill="FFFFFF"/>
        <w:spacing w:line="276" w:lineRule="auto"/>
        <w:ind w:right="-433"/>
        <w:rPr>
          <w:rFonts w:ascii="Open Sans" w:eastAsia="Open Sans" w:hAnsi="Open Sans" w:cs="Open Sans"/>
          <w:sz w:val="22"/>
          <w:szCs w:val="22"/>
        </w:rPr>
      </w:pPr>
      <w:r>
        <w:rPr>
          <w:rFonts w:ascii="Open Sans" w:eastAsia="Open Sans" w:hAnsi="Open Sans" w:cs="Open Sans"/>
          <w:color w:val="000000"/>
          <w:sz w:val="22"/>
          <w:szCs w:val="22"/>
        </w:rPr>
        <w:t>620 66 29 26</w:t>
      </w:r>
    </w:p>
    <w:sectPr w:rsidR="005246D4">
      <w:headerReference w:type="default" r:id="rId30"/>
      <w:footerReference w:type="default" r:id="rId31"/>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0249E" w14:textId="77777777" w:rsidR="007A0C00" w:rsidRDefault="007A0C00">
      <w:r>
        <w:separator/>
      </w:r>
    </w:p>
  </w:endnote>
  <w:endnote w:type="continuationSeparator" w:id="0">
    <w:p w14:paraId="5AE98508" w14:textId="77777777" w:rsidR="007A0C00" w:rsidRDefault="007A0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FB526B-671C-4CF5-9914-7FFC802D7C8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DF1F539-049F-4C3E-88D1-2FB9FC5695AD}"/>
    <w:embedBold r:id="rId3" w:fontKey="{675868BF-E51E-4F42-A5D9-693C2906588E}"/>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embedRegular r:id="rId4" w:fontKey="{4EEFF9EB-7625-4DEA-8D94-1C7EEBE3324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9CCD43C-FCEB-43B8-A375-56E30A4B56C1}"/>
    <w:embedItalic r:id="rId6" w:fontKey="{9047FA55-DEC8-4719-BD34-54A601F1EA9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74E865D-08E2-4780-852B-E0565408A633}"/>
    <w:embedBold r:id="rId8" w:fontKey="{421F4FEA-DAF5-4889-9EBB-C8123550B305}"/>
    <w:embedItalic r:id="rId9" w:fontKey="{D241ACD2-9B8A-4D5F-8029-3BA29434D4B8}"/>
    <w:embedBoldItalic r:id="rId10" w:fontKey="{64E70AE5-786C-4CC3-B104-A6078524A4AB}"/>
  </w:font>
  <w:font w:name="Calibri Light">
    <w:panose1 w:val="020F0302020204030204"/>
    <w:charset w:val="00"/>
    <w:family w:val="swiss"/>
    <w:pitch w:val="variable"/>
    <w:sig w:usb0="E4002EFF" w:usb1="C000247B" w:usb2="00000009" w:usb3="00000000" w:csb0="000001FF" w:csb1="00000000"/>
    <w:embedRegular r:id="rId11" w:fontKey="{FE6AF605-997D-40E4-9438-272D8A766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E882" w14:textId="77777777" w:rsidR="005246D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60288" behindDoc="0" locked="0" layoutInCell="1" hidden="0" allowOverlap="1" wp14:anchorId="311D6F05" wp14:editId="5138E144">
          <wp:simplePos x="0" y="0"/>
          <wp:positionH relativeFrom="column">
            <wp:posOffset>-1080134</wp:posOffset>
          </wp:positionH>
          <wp:positionV relativeFrom="paragraph">
            <wp:posOffset>294640</wp:posOffset>
          </wp:positionV>
          <wp:extent cx="7670550" cy="451315"/>
          <wp:effectExtent l="0" t="0" r="0" b="0"/>
          <wp:wrapSquare wrapText="bothSides" distT="0" distB="0" distL="0" distR="0"/>
          <wp:docPr id="14593243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3E2D6" w14:textId="77777777" w:rsidR="007A0C00" w:rsidRDefault="007A0C00">
      <w:r>
        <w:separator/>
      </w:r>
    </w:p>
  </w:footnote>
  <w:footnote w:type="continuationSeparator" w:id="0">
    <w:p w14:paraId="16DBEF64" w14:textId="77777777" w:rsidR="007A0C00" w:rsidRDefault="007A0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9C35" w14:textId="77777777" w:rsidR="005246D4"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DB92410" wp14:editId="42A97CB6">
          <wp:simplePos x="0" y="0"/>
          <wp:positionH relativeFrom="column">
            <wp:posOffset>-1234439</wp:posOffset>
          </wp:positionH>
          <wp:positionV relativeFrom="paragraph">
            <wp:posOffset>-239394</wp:posOffset>
          </wp:positionV>
          <wp:extent cx="2939415" cy="1019175"/>
          <wp:effectExtent l="0" t="0" r="0" b="0"/>
          <wp:wrapNone/>
          <wp:docPr id="1459324374" name="image2.png" descr="Patrón de fond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Patrón de fondo&#10;&#10;El contenido generado por IA puede ser incorrecto."/>
                  <pic:cNvPicPr preferRelativeResize="0"/>
                </pic:nvPicPr>
                <pic:blipFill>
                  <a:blip r:embed="rId1"/>
                  <a:srcRect l="-1337" r="62568"/>
                  <a:stretch>
                    <a:fillRect/>
                  </a:stretch>
                </pic:blipFill>
                <pic:spPr>
                  <a:xfrm>
                    <a:off x="0" y="0"/>
                    <a:ext cx="2939415" cy="101917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B22388A" wp14:editId="6AE011F2">
          <wp:simplePos x="0" y="0"/>
          <wp:positionH relativeFrom="column">
            <wp:posOffset>3903345</wp:posOffset>
          </wp:positionH>
          <wp:positionV relativeFrom="paragraph">
            <wp:posOffset>-33019</wp:posOffset>
          </wp:positionV>
          <wp:extent cx="2352040" cy="895350"/>
          <wp:effectExtent l="0" t="0" r="0" b="0"/>
          <wp:wrapSquare wrapText="bothSides" distT="0" distB="0" distL="114300" distR="114300"/>
          <wp:docPr id="1459324372" name="image1.pn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Un dibujo de una cara feliz&#10;&#10;El contenido generado por IA puede ser incorrecto."/>
                  <pic:cNvPicPr preferRelativeResize="0"/>
                </pic:nvPicPr>
                <pic:blipFill>
                  <a:blip r:embed="rId2"/>
                  <a:srcRect/>
                  <a:stretch>
                    <a:fillRect/>
                  </a:stretch>
                </pic:blipFill>
                <pic:spPr>
                  <a:xfrm>
                    <a:off x="0" y="0"/>
                    <a:ext cx="2352040" cy="895350"/>
                  </a:xfrm>
                  <a:prstGeom prst="rect">
                    <a:avLst/>
                  </a:prstGeom>
                  <a:ln/>
                </pic:spPr>
              </pic:pic>
            </a:graphicData>
          </a:graphic>
        </wp:anchor>
      </w:drawing>
    </w:r>
  </w:p>
  <w:p w14:paraId="40497692" w14:textId="77777777" w:rsidR="005246D4" w:rsidRDefault="005246D4">
    <w:pPr>
      <w:pBdr>
        <w:top w:val="nil"/>
        <w:left w:val="nil"/>
        <w:bottom w:val="nil"/>
        <w:right w:val="nil"/>
        <w:between w:val="nil"/>
      </w:pBdr>
      <w:tabs>
        <w:tab w:val="center" w:pos="4252"/>
        <w:tab w:val="right" w:pos="8504"/>
      </w:tabs>
      <w:rPr>
        <w:color w:val="000000"/>
      </w:rPr>
    </w:pPr>
  </w:p>
  <w:p w14:paraId="5D56864B" w14:textId="77777777" w:rsidR="005246D4" w:rsidRDefault="005246D4">
    <w:pPr>
      <w:pBdr>
        <w:top w:val="nil"/>
        <w:left w:val="nil"/>
        <w:bottom w:val="nil"/>
        <w:right w:val="nil"/>
        <w:between w:val="nil"/>
      </w:pBdr>
      <w:tabs>
        <w:tab w:val="center" w:pos="4252"/>
        <w:tab w:val="right" w:pos="8504"/>
      </w:tabs>
      <w:rPr>
        <w:color w:val="000000"/>
      </w:rPr>
    </w:pPr>
  </w:p>
  <w:p w14:paraId="5B6AE17B" w14:textId="77777777" w:rsidR="005246D4" w:rsidRDefault="005246D4">
    <w:pPr>
      <w:pBdr>
        <w:top w:val="nil"/>
        <w:left w:val="nil"/>
        <w:bottom w:val="nil"/>
        <w:right w:val="nil"/>
        <w:between w:val="nil"/>
      </w:pBdr>
      <w:tabs>
        <w:tab w:val="center" w:pos="4252"/>
        <w:tab w:val="right" w:pos="8504"/>
      </w:tabs>
      <w:rPr>
        <w:color w:val="000000"/>
      </w:rPr>
    </w:pPr>
  </w:p>
  <w:p w14:paraId="2E591DA7" w14:textId="77777777" w:rsidR="005246D4" w:rsidRDefault="005246D4">
    <w:pPr>
      <w:pBdr>
        <w:top w:val="nil"/>
        <w:left w:val="nil"/>
        <w:bottom w:val="nil"/>
        <w:right w:val="nil"/>
        <w:between w:val="nil"/>
      </w:pBdr>
      <w:tabs>
        <w:tab w:val="center" w:pos="4252"/>
        <w:tab w:val="right" w:pos="8504"/>
      </w:tabs>
      <w:rPr>
        <w:color w:val="000000"/>
      </w:rPr>
    </w:pPr>
  </w:p>
  <w:p w14:paraId="2BD34DB6" w14:textId="77777777" w:rsidR="005246D4" w:rsidRDefault="005246D4">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2770"/>
    <w:multiLevelType w:val="multilevel"/>
    <w:tmpl w:val="1D04A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5293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6D4"/>
    <w:rsid w:val="005246D4"/>
    <w:rsid w:val="007A0C00"/>
    <w:rsid w:val="00C04235"/>
    <w:rsid w:val="00D72F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78567"/>
  <w15:docId w15:val="{CA2ABDFD-E3CA-496E-8BAC-F382B450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unhideWhenUsed/>
    <w:rsid w:val="00964BED"/>
    <w:rPr>
      <w:sz w:val="20"/>
      <w:szCs w:val="20"/>
    </w:rPr>
  </w:style>
  <w:style w:type="character" w:customStyle="1" w:styleId="TextocomentarioCar">
    <w:name w:val="Texto comentario Car"/>
    <w:basedOn w:val="Fuentedeprrafopredeter"/>
    <w:link w:val="Textocomentario"/>
    <w:uiPriority w:val="99"/>
    <w:rsid w:val="00964BED"/>
    <w:rPr>
      <w:sz w:val="20"/>
      <w:szCs w:val="20"/>
    </w:rPr>
  </w:style>
  <w:style w:type="character" w:styleId="Mencinsinresolver">
    <w:name w:val="Unresolved Mention"/>
    <w:basedOn w:val="Fuentedeprrafopredeter"/>
    <w:uiPriority w:val="99"/>
    <w:semiHidden/>
    <w:unhideWhenUsed/>
    <w:rsid w:val="00E84EE3"/>
    <w:rPr>
      <w:color w:val="605E5C"/>
      <w:shd w:val="clear" w:color="auto" w:fill="E1DFDD"/>
    </w:rPr>
  </w:style>
  <w:style w:type="paragraph" w:customStyle="1" w:styleId="Cuerpo">
    <w:name w:val="Cuerpo"/>
    <w:rsid w:val="0014415E"/>
    <w:rPr>
      <w:rFonts w:ascii="Times New Roman" w:eastAsia="Arial Unicode MS" w:hAnsi="Times New Roman" w:cs="Arial Unicode MS"/>
      <w:color w:val="000000"/>
      <w:u w:color="000000"/>
      <w:lang w:val="en-US"/>
    </w:rPr>
  </w:style>
  <w:style w:type="character" w:customStyle="1" w:styleId="Ninguno">
    <w:name w:val="Ninguno"/>
    <w:rsid w:val="0014415E"/>
    <w:rPr>
      <w:lang w:val="es-ES_tradnl"/>
    </w:rPr>
  </w:style>
  <w:style w:type="table" w:styleId="Tablaconcuadrcula5oscura-nfasis1">
    <w:name w:val="Grid Table 5 Dark Accent 1"/>
    <w:basedOn w:val="Tablanormal"/>
    <w:uiPriority w:val="50"/>
    <w:rsid w:val="0014415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Texto">
    <w:name w:val="Texto"/>
    <w:basedOn w:val="Normal"/>
    <w:uiPriority w:val="99"/>
    <w:rsid w:val="0014415E"/>
    <w:rPr>
      <w:rFonts w:ascii="Gill Sans MT" w:eastAsia="Times New Roman" w:hAnsi="Gill Sans MT" w:cs="Arial"/>
      <w:sz w:val="22"/>
      <w:szCs w:val="22"/>
      <w:lang w:val="pt-BR"/>
    </w:rPr>
  </w:style>
  <w:style w:type="paragraph" w:customStyle="1" w:styleId="Listavistosa-nfasis11">
    <w:name w:val="Lista vistosa - Énfasis 11"/>
    <w:basedOn w:val="Normal"/>
    <w:qFormat/>
    <w:rsid w:val="0014415E"/>
    <w:pPr>
      <w:ind w:left="708"/>
    </w:pPr>
    <w:rPr>
      <w:rFonts w:ascii="Times New Roman" w:eastAsia="Times New Roman" w:hAnsi="Times New Roman" w:cs="Times New Roman"/>
    </w:rPr>
  </w:style>
  <w:style w:type="character" w:styleId="nfasis">
    <w:name w:val="Emphasis"/>
    <w:qFormat/>
    <w:rsid w:val="0014415E"/>
    <w:rPr>
      <w:i/>
      <w:iCs/>
    </w:rPr>
  </w:style>
  <w:style w:type="character" w:styleId="Hipervnculovisitado">
    <w:name w:val="FollowedHyperlink"/>
    <w:basedOn w:val="Fuentedeprrafopredeter"/>
    <w:uiPriority w:val="99"/>
    <w:semiHidden/>
    <w:unhideWhenUsed/>
    <w:rsid w:val="009807A2"/>
    <w:rPr>
      <w:color w:val="954F72" w:themeColor="followedHyperlink"/>
      <w:u w:val="single"/>
    </w:rPr>
  </w:style>
  <w:style w:type="table" w:customStyle="1" w:styleId="a">
    <w:basedOn w:val="TableNormal8"/>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Revisin">
    <w:name w:val="Revision"/>
    <w:hidden/>
    <w:uiPriority w:val="99"/>
    <w:semiHidden/>
    <w:rsid w:val="006A66C4"/>
  </w:style>
  <w:style w:type="paragraph" w:styleId="Asuntodelcomentario">
    <w:name w:val="annotation subject"/>
    <w:basedOn w:val="Textocomentario"/>
    <w:next w:val="Textocomentario"/>
    <w:link w:val="AsuntodelcomentarioCar"/>
    <w:uiPriority w:val="99"/>
    <w:semiHidden/>
    <w:unhideWhenUsed/>
    <w:rsid w:val="005018AE"/>
    <w:rPr>
      <w:b/>
      <w:bCs/>
    </w:rPr>
  </w:style>
  <w:style w:type="character" w:customStyle="1" w:styleId="AsuntodelcomentarioCar">
    <w:name w:val="Asunto del comentario Car"/>
    <w:basedOn w:val="TextocomentarioCar"/>
    <w:link w:val="Asuntodelcomentario"/>
    <w:uiPriority w:val="99"/>
    <w:semiHidden/>
    <w:rsid w:val="005018AE"/>
    <w:rPr>
      <w:b/>
      <w:bCs/>
      <w:sz w:val="20"/>
      <w:szCs w:val="20"/>
    </w:rPr>
  </w:style>
  <w:style w:type="table" w:customStyle="1" w:styleId="a0">
    <w:basedOn w:val="TableNormal7"/>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6"/>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laconcuadrcula">
    <w:name w:val="Table Grid"/>
    <w:basedOn w:val="Tablanormal"/>
    <w:uiPriority w:val="39"/>
    <w:rsid w:val="006E2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6E2E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1"/>
    <w:rPr>
      <w:color w:val="000000"/>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styleId="Tabladecuadrcula4">
    <w:name w:val="Grid Table 4"/>
    <w:basedOn w:val="Tablanormal"/>
    <w:uiPriority w:val="49"/>
    <w:rsid w:val="009F5C8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atavenues.com/" TargetMode="External"/><Relationship Id="rId26"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http://prensa.fotocasa.es"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fotocasa.es" TargetMode="External"/><Relationship Id="rId25" Type="http://schemas.openxmlformats.org/officeDocument/2006/relationships/hyperlink" Target="https://www.infojobs.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indice/" TargetMode="External"/><Relationship Id="rId29"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https://www.habitaclia.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otocasa.es/" TargetMode="External"/><Relationship Id="rId23" Type="http://schemas.openxmlformats.org/officeDocument/2006/relationships/hyperlink" Target="https://www.fotocasa.es/es/" TargetMode="External"/><Relationship Id="rId28"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hyperlink" Target="https://datavenues.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datavenues.com/" TargetMode="External"/><Relationship Id="rId22" Type="http://schemas.openxmlformats.org/officeDocument/2006/relationships/hyperlink" Target="https://www.fotocasa.es/es/quienes-somos/" TargetMode="External"/><Relationship Id="rId27" Type="http://schemas.openxmlformats.org/officeDocument/2006/relationships/hyperlink" Target="https://motos.coches.net/" TargetMode="External"/><Relationship Id="rId30" Type="http://schemas.openxmlformats.org/officeDocument/2006/relationships/header" Target="header1.xml"/><Relationship Id="rId8" Type="http://schemas.openxmlformats.org/officeDocument/2006/relationships/hyperlink" Target="https://datavenue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f733b000be7bd91/Documents/Projectes/2025/250703_Q3%20SmartPrice/results_city_2025_jun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5f733b000be7bd91/Documents/Projectes/2025/250703_Q3%20SmartPrice/results_city_2025_jun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a:gsLst>
                <a:gs pos="100000">
                  <a:schemeClr val="accent1">
                    <a:lumMod val="5000"/>
                    <a:lumOff val="95000"/>
                  </a:schemeClr>
                </a:gs>
                <a:gs pos="69000">
                  <a:srgbClr val="002060"/>
                </a:gs>
                <a:gs pos="100000">
                  <a:schemeClr val="accent1">
                    <a:lumMod val="45000"/>
                    <a:lumOff val="55000"/>
                  </a:schemeClr>
                </a:gs>
                <a:gs pos="100000">
                  <a:schemeClr val="accent1">
                    <a:lumMod val="30000"/>
                    <a:lumOff val="70000"/>
                  </a:schemeClr>
                </a:gs>
              </a:gsLst>
              <a:lin ang="5400000" scaled="1"/>
            </a:gradFill>
            <a:ln>
              <a:noFill/>
            </a:ln>
            <a:effectLst/>
          </c:spPr>
          <c:invertIfNegative val="0"/>
          <c:cat>
            <c:strRef>
              <c:f>forecast!$H$17244:$H$17438</c:f>
              <c:strCache>
                <c:ptCount val="26"/>
                <c:pt idx="0">
                  <c:v>Logroño</c:v>
                </c:pt>
                <c:pt idx="1">
                  <c:v>Zamora</c:v>
                </c:pt>
                <c:pt idx="2">
                  <c:v>Girona</c:v>
                </c:pt>
                <c:pt idx="3">
                  <c:v>Vitoria</c:v>
                </c:pt>
                <c:pt idx="4">
                  <c:v>Badajoz</c:v>
                </c:pt>
                <c:pt idx="5">
                  <c:v>Cuenca</c:v>
                </c:pt>
                <c:pt idx="6">
                  <c:v>Córdoba</c:v>
                </c:pt>
                <c:pt idx="7">
                  <c:v>Pamplona</c:v>
                </c:pt>
                <c:pt idx="8">
                  <c:v>Oviedo</c:v>
                </c:pt>
                <c:pt idx="9">
                  <c:v>Guadalajara</c:v>
                </c:pt>
                <c:pt idx="10">
                  <c:v>Zaragoza</c:v>
                </c:pt>
                <c:pt idx="11">
                  <c:v>Huesca</c:v>
                </c:pt>
                <c:pt idx="12">
                  <c:v>Madrid</c:v>
                </c:pt>
                <c:pt idx="13">
                  <c:v>Albacete</c:v>
                </c:pt>
                <c:pt idx="14">
                  <c:v>Lleida</c:v>
                </c:pt>
                <c:pt idx="15">
                  <c:v>San Sebastián</c:v>
                </c:pt>
                <c:pt idx="16">
                  <c:v>Valladolid</c:v>
                </c:pt>
                <c:pt idx="17">
                  <c:v>Ciudad Real</c:v>
                </c:pt>
                <c:pt idx="18">
                  <c:v>Cáceres</c:v>
                </c:pt>
                <c:pt idx="19">
                  <c:v>Lugo</c:v>
                </c:pt>
                <c:pt idx="20">
                  <c:v>Tarragona</c:v>
                </c:pt>
                <c:pt idx="21">
                  <c:v>Burgos</c:v>
                </c:pt>
                <c:pt idx="22">
                  <c:v>Murcia</c:v>
                </c:pt>
                <c:pt idx="23">
                  <c:v>Vigo</c:v>
                </c:pt>
                <c:pt idx="24">
                  <c:v>Ourense</c:v>
                </c:pt>
                <c:pt idx="25">
                  <c:v>Las Palmas de GC</c:v>
                </c:pt>
              </c:strCache>
            </c:strRef>
          </c:cat>
          <c:val>
            <c:numRef>
              <c:f>forecast!$O$17244:$O$17438</c:f>
              <c:numCache>
                <c:formatCode>0.0</c:formatCode>
                <c:ptCount val="26"/>
                <c:pt idx="0">
                  <c:v>22.93</c:v>
                </c:pt>
                <c:pt idx="1">
                  <c:v>19.93</c:v>
                </c:pt>
                <c:pt idx="2">
                  <c:v>11.38</c:v>
                </c:pt>
                <c:pt idx="3">
                  <c:v>8.58</c:v>
                </c:pt>
                <c:pt idx="4">
                  <c:v>7.85</c:v>
                </c:pt>
                <c:pt idx="5">
                  <c:v>5.74</c:v>
                </c:pt>
                <c:pt idx="6">
                  <c:v>4.0199999999999996</c:v>
                </c:pt>
                <c:pt idx="7">
                  <c:v>3.82</c:v>
                </c:pt>
                <c:pt idx="8">
                  <c:v>3.79</c:v>
                </c:pt>
                <c:pt idx="9">
                  <c:v>3.78</c:v>
                </c:pt>
                <c:pt idx="10">
                  <c:v>3.67</c:v>
                </c:pt>
                <c:pt idx="11">
                  <c:v>3.5</c:v>
                </c:pt>
                <c:pt idx="12">
                  <c:v>3.46</c:v>
                </c:pt>
                <c:pt idx="13">
                  <c:v>3.43</c:v>
                </c:pt>
                <c:pt idx="14">
                  <c:v>3.36</c:v>
                </c:pt>
                <c:pt idx="15">
                  <c:v>3.26</c:v>
                </c:pt>
                <c:pt idx="16">
                  <c:v>3.23</c:v>
                </c:pt>
                <c:pt idx="17">
                  <c:v>2.69</c:v>
                </c:pt>
                <c:pt idx="18">
                  <c:v>2.23</c:v>
                </c:pt>
                <c:pt idx="19">
                  <c:v>2.16</c:v>
                </c:pt>
                <c:pt idx="20">
                  <c:v>1.93</c:v>
                </c:pt>
                <c:pt idx="21">
                  <c:v>1.48</c:v>
                </c:pt>
                <c:pt idx="22">
                  <c:v>1.2</c:v>
                </c:pt>
                <c:pt idx="23">
                  <c:v>1.1599999999999999</c:v>
                </c:pt>
                <c:pt idx="24">
                  <c:v>1.07</c:v>
                </c:pt>
                <c:pt idx="25">
                  <c:v>0.67</c:v>
                </c:pt>
              </c:numCache>
            </c:numRef>
          </c:val>
          <c:extLst>
            <c:ext xmlns:c16="http://schemas.microsoft.com/office/drawing/2014/chart" uri="{C3380CC4-5D6E-409C-BE32-E72D297353CC}">
              <c16:uniqueId val="{00000000-0765-4B31-8C4A-BD0881954ED8}"/>
            </c:ext>
          </c:extLst>
        </c:ser>
        <c:dLbls>
          <c:showLegendKey val="0"/>
          <c:showVal val="0"/>
          <c:showCatName val="0"/>
          <c:showSerName val="0"/>
          <c:showPercent val="0"/>
          <c:showBubbleSize val="0"/>
        </c:dLbls>
        <c:gapWidth val="219"/>
        <c:overlap val="-27"/>
        <c:axId val="1810675248"/>
        <c:axId val="1810670448"/>
      </c:barChart>
      <c:catAx>
        <c:axId val="181067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Open Sans" panose="020B0606030504020204" pitchFamily="34" charset="0"/>
                <a:cs typeface="Open Sans" panose="020B0606030504020204" pitchFamily="34" charset="0"/>
              </a:defRPr>
            </a:pPr>
            <a:endParaRPr lang="es-ES"/>
          </a:p>
        </c:txPr>
        <c:crossAx val="1810670448"/>
        <c:crosses val="autoZero"/>
        <c:auto val="1"/>
        <c:lblAlgn val="ctr"/>
        <c:lblOffset val="100"/>
        <c:noMultiLvlLbl val="0"/>
      </c:catAx>
      <c:valAx>
        <c:axId val="18106704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067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gradFill>
              <a:gsLst>
                <a:gs pos="61000">
                  <a:srgbClr val="BA24AF"/>
                </a:gs>
                <a:gs pos="0">
                  <a:schemeClr val="bg1"/>
                </a:gs>
                <a:gs pos="0">
                  <a:schemeClr val="bg1"/>
                </a:gs>
              </a:gsLst>
              <a:lin ang="5400000" scaled="1"/>
            </a:gradFill>
            <a:ln>
              <a:noFill/>
            </a:ln>
            <a:effectLst/>
          </c:spPr>
          <c:invertIfNegative val="0"/>
          <c:cat>
            <c:strRef>
              <c:f>forecast!$H$17501:$H$17599</c:f>
              <c:strCache>
                <c:ptCount val="19"/>
                <c:pt idx="0">
                  <c:v>Segovia</c:v>
                </c:pt>
                <c:pt idx="1">
                  <c:v>Jaén</c:v>
                </c:pt>
                <c:pt idx="2">
                  <c:v>Granada</c:v>
                </c:pt>
                <c:pt idx="3">
                  <c:v>A Coruña</c:v>
                </c:pt>
                <c:pt idx="4">
                  <c:v>Soria</c:v>
                </c:pt>
                <c:pt idx="5">
                  <c:v>Bilbao</c:v>
                </c:pt>
                <c:pt idx="6">
                  <c:v>Pontevedra</c:v>
                </c:pt>
                <c:pt idx="7">
                  <c:v>Teruel</c:v>
                </c:pt>
                <c:pt idx="8">
                  <c:v>León</c:v>
                </c:pt>
                <c:pt idx="9">
                  <c:v>Salamanca</c:v>
                </c:pt>
                <c:pt idx="10">
                  <c:v>Palma</c:v>
                </c:pt>
                <c:pt idx="11">
                  <c:v>Huelva</c:v>
                </c:pt>
                <c:pt idx="12">
                  <c:v>Toledo</c:v>
                </c:pt>
                <c:pt idx="13">
                  <c:v>Sevilla</c:v>
                </c:pt>
                <c:pt idx="14">
                  <c:v>Castellón de la Plana</c:v>
                </c:pt>
                <c:pt idx="15">
                  <c:v>Alicante</c:v>
                </c:pt>
                <c:pt idx="16">
                  <c:v>Málaga</c:v>
                </c:pt>
                <c:pt idx="17">
                  <c:v>Santander</c:v>
                </c:pt>
                <c:pt idx="18">
                  <c:v>Cádiz</c:v>
                </c:pt>
              </c:strCache>
            </c:strRef>
          </c:cat>
          <c:val>
            <c:numRef>
              <c:f>forecast!$O$17501:$O$17599</c:f>
              <c:numCache>
                <c:formatCode>0.0</c:formatCode>
                <c:ptCount val="19"/>
                <c:pt idx="0">
                  <c:v>-0.4</c:v>
                </c:pt>
                <c:pt idx="1">
                  <c:v>-0.56999999999999995</c:v>
                </c:pt>
                <c:pt idx="2">
                  <c:v>-1.46</c:v>
                </c:pt>
                <c:pt idx="3">
                  <c:v>-1.64</c:v>
                </c:pt>
                <c:pt idx="4">
                  <c:v>-2.13</c:v>
                </c:pt>
                <c:pt idx="5">
                  <c:v>-2.17</c:v>
                </c:pt>
                <c:pt idx="6">
                  <c:v>-2.23</c:v>
                </c:pt>
                <c:pt idx="7">
                  <c:v>-3.05</c:v>
                </c:pt>
                <c:pt idx="8">
                  <c:v>-3.39</c:v>
                </c:pt>
                <c:pt idx="9">
                  <c:v>-4.17</c:v>
                </c:pt>
                <c:pt idx="10">
                  <c:v>-4.7699999999999996</c:v>
                </c:pt>
                <c:pt idx="11">
                  <c:v>-5.14</c:v>
                </c:pt>
                <c:pt idx="12">
                  <c:v>-5.48</c:v>
                </c:pt>
                <c:pt idx="13">
                  <c:v>-5.6</c:v>
                </c:pt>
                <c:pt idx="14">
                  <c:v>-5.86</c:v>
                </c:pt>
                <c:pt idx="15">
                  <c:v>-7.9</c:v>
                </c:pt>
                <c:pt idx="16">
                  <c:v>-11.71</c:v>
                </c:pt>
                <c:pt idx="17">
                  <c:v>-13.66</c:v>
                </c:pt>
                <c:pt idx="18">
                  <c:v>-15.44</c:v>
                </c:pt>
              </c:numCache>
            </c:numRef>
          </c:val>
          <c:extLst>
            <c:ext xmlns:c16="http://schemas.microsoft.com/office/drawing/2014/chart" uri="{C3380CC4-5D6E-409C-BE32-E72D297353CC}">
              <c16:uniqueId val="{00000000-E206-4C9D-BC5D-11549D44AEFA}"/>
            </c:ext>
          </c:extLst>
        </c:ser>
        <c:dLbls>
          <c:showLegendKey val="0"/>
          <c:showVal val="0"/>
          <c:showCatName val="0"/>
          <c:showSerName val="0"/>
          <c:showPercent val="0"/>
          <c:showBubbleSize val="0"/>
        </c:dLbls>
        <c:gapWidth val="219"/>
        <c:overlap val="-27"/>
        <c:axId val="1810675248"/>
        <c:axId val="1810670448"/>
      </c:barChart>
      <c:catAx>
        <c:axId val="18106752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Open Sans" panose="020B0606030504020204" pitchFamily="34" charset="0"/>
                <a:ea typeface="+mn-ea"/>
                <a:cs typeface="Open Sans" panose="020B0606030504020204" pitchFamily="34" charset="0"/>
              </a:defRPr>
            </a:pPr>
            <a:endParaRPr lang="es-ES"/>
          </a:p>
        </c:txPr>
        <c:crossAx val="1810670448"/>
        <c:crosses val="autoZero"/>
        <c:auto val="1"/>
        <c:lblAlgn val="ctr"/>
        <c:lblOffset val="100"/>
        <c:noMultiLvlLbl val="0"/>
      </c:catAx>
      <c:valAx>
        <c:axId val="1810670448"/>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8106752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I0Ejcab7kan2WWONffm+57ap1A==">CgMxLjAyDmguOHcyejY4eWczdmM4MgloLjMwajB6bGwyDWgucm5wYWs4Mjc2ZWoyDmguMTBjczlheXF5ZGVlMg5oLjlnZG9tOGd3NHJ6bzIJaC4yczhleW8xMg5oLnZyeTUxenUxNTE4MzgAciExYTVwODJteHBqMjlwcjduLUdGQXpubGN3NC15MVo2Yzg=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1582</Words>
  <Characters>8704</Characters>
  <Application>Microsoft Office Word</Application>
  <DocSecurity>0</DocSecurity>
  <Lines>72</Lines>
  <Paragraphs>20</Paragraphs>
  <ScaleCrop>false</ScaleCrop>
  <Company/>
  <LinksUpToDate>false</LinksUpToDate>
  <CharactersWithSpaces>10266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2025-07-03T08:42:00Z</dcterms:created>
  <dcterms:modified xsi:type="dcterms:W3CDTF">2025-07-10T07:56:00Z</dcterms:modified>
</cp:coreProperties>
</file>