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0B26" w14:textId="77777777" w:rsidR="0001434D" w:rsidRDefault="00000000">
      <w:r>
        <w:rPr>
          <w:noProof/>
        </w:rPr>
        <w:drawing>
          <wp:anchor distT="0" distB="0" distL="114300" distR="114300" simplePos="0" relativeHeight="251658240" behindDoc="0" locked="0" layoutInCell="1" hidden="0" allowOverlap="1" wp14:anchorId="468FA1FB" wp14:editId="0F460629">
            <wp:simplePos x="0" y="0"/>
            <wp:positionH relativeFrom="column">
              <wp:posOffset>-1080129</wp:posOffset>
            </wp:positionH>
            <wp:positionV relativeFrom="paragraph">
              <wp:posOffset>-654680</wp:posOffset>
            </wp:positionV>
            <wp:extent cx="7581265" cy="1019175"/>
            <wp:effectExtent l="0" t="0" r="0" b="0"/>
            <wp:wrapNone/>
            <wp:docPr id="2093790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4F89CA1" w14:textId="77777777" w:rsidR="0001434D" w:rsidRDefault="0001434D">
      <w:pPr>
        <w:jc w:val="right"/>
        <w:rPr>
          <w:rFonts w:ascii="National" w:eastAsia="National" w:hAnsi="National" w:cs="National"/>
          <w:color w:val="303AB2"/>
          <w:sz w:val="36"/>
          <w:szCs w:val="36"/>
        </w:rPr>
      </w:pPr>
    </w:p>
    <w:p w14:paraId="409D8EA6" w14:textId="77777777" w:rsidR="0001434D" w:rsidRDefault="0001434D">
      <w:pPr>
        <w:rPr>
          <w:rFonts w:ascii="National" w:eastAsia="National" w:hAnsi="National" w:cs="National"/>
          <w:color w:val="303AB2"/>
          <w:sz w:val="18"/>
          <w:szCs w:val="18"/>
        </w:rPr>
      </w:pPr>
    </w:p>
    <w:p w14:paraId="084F22C5" w14:textId="77777777" w:rsidR="00513853" w:rsidRDefault="00513853">
      <w:pPr>
        <w:spacing w:line="276" w:lineRule="auto"/>
        <w:jc w:val="center"/>
        <w:rPr>
          <w:rFonts w:ascii="National" w:eastAsia="National" w:hAnsi="National" w:cs="National"/>
          <w:b/>
          <w:color w:val="1DBDC5"/>
          <w:sz w:val="32"/>
          <w:szCs w:val="32"/>
        </w:rPr>
      </w:pPr>
    </w:p>
    <w:p w14:paraId="77765F0D" w14:textId="7268E0D8" w:rsidR="0001434D" w:rsidRPr="00513853" w:rsidRDefault="00000000">
      <w:pPr>
        <w:spacing w:line="276" w:lineRule="auto"/>
        <w:jc w:val="center"/>
        <w:rPr>
          <w:rFonts w:ascii="National" w:eastAsia="National" w:hAnsi="National" w:cs="National"/>
          <w:b/>
          <w:color w:val="1DBDC5"/>
          <w:sz w:val="32"/>
          <w:szCs w:val="32"/>
        </w:rPr>
      </w:pPr>
      <w:r w:rsidRPr="00513853">
        <w:rPr>
          <w:rFonts w:ascii="National" w:eastAsia="National" w:hAnsi="National" w:cs="National"/>
          <w:b/>
          <w:color w:val="1DBDC5"/>
          <w:sz w:val="32"/>
          <w:szCs w:val="32"/>
        </w:rPr>
        <w:t xml:space="preserve">PERFIL DEL HIPOTECADO ESPAÑOL </w:t>
      </w:r>
      <w:r w:rsidR="00513853">
        <w:rPr>
          <w:rFonts w:ascii="National" w:eastAsia="National" w:hAnsi="National" w:cs="National"/>
          <w:b/>
          <w:color w:val="1DBDC5"/>
          <w:sz w:val="32"/>
          <w:szCs w:val="32"/>
        </w:rPr>
        <w:t>EN 2025</w:t>
      </w:r>
    </w:p>
    <w:p w14:paraId="13297361" w14:textId="135F985D" w:rsidR="0001434D" w:rsidRPr="00513853" w:rsidRDefault="00000000">
      <w:pPr>
        <w:jc w:val="center"/>
        <w:rPr>
          <w:rFonts w:ascii="National" w:eastAsia="National" w:hAnsi="National" w:cs="National"/>
          <w:b/>
          <w:color w:val="303AB2"/>
          <w:sz w:val="50"/>
          <w:szCs w:val="50"/>
        </w:rPr>
      </w:pPr>
      <w:r w:rsidRPr="00513853">
        <w:rPr>
          <w:rFonts w:ascii="National" w:eastAsia="National" w:hAnsi="National" w:cs="National"/>
          <w:b/>
          <w:color w:val="303AB2"/>
          <w:sz w:val="50"/>
          <w:szCs w:val="50"/>
        </w:rPr>
        <w:t>El 20% de los compradores de vivienda que se hipotecan tienen que vender otr</w:t>
      </w:r>
      <w:r w:rsidR="00AA3A12">
        <w:rPr>
          <w:rFonts w:ascii="National" w:eastAsia="National" w:hAnsi="National" w:cs="National"/>
          <w:b/>
          <w:color w:val="303AB2"/>
          <w:sz w:val="50"/>
          <w:szCs w:val="50"/>
        </w:rPr>
        <w:t xml:space="preserve">o inmueble </w:t>
      </w:r>
      <w:r w:rsidRPr="00513853">
        <w:rPr>
          <w:rFonts w:ascii="National" w:eastAsia="National" w:hAnsi="National" w:cs="National"/>
          <w:b/>
          <w:color w:val="303AB2"/>
          <w:sz w:val="50"/>
          <w:szCs w:val="50"/>
        </w:rPr>
        <w:t>para financiar la operación</w:t>
      </w:r>
    </w:p>
    <w:p w14:paraId="383C1B3E" w14:textId="77777777" w:rsidR="0001434D" w:rsidRDefault="0001434D">
      <w:pPr>
        <w:spacing w:line="276" w:lineRule="auto"/>
        <w:ind w:right="4"/>
        <w:jc w:val="both"/>
        <w:rPr>
          <w:rFonts w:ascii="Open Sans" w:eastAsia="Open Sans" w:hAnsi="Open Sans" w:cs="Open Sans"/>
          <w:color w:val="303AB2"/>
        </w:rPr>
      </w:pPr>
    </w:p>
    <w:p w14:paraId="5670840C" w14:textId="77777777" w:rsidR="00513853" w:rsidRDefault="00513853" w:rsidP="00513853">
      <w:pPr>
        <w:pBdr>
          <w:top w:val="nil"/>
          <w:left w:val="nil"/>
          <w:bottom w:val="nil"/>
          <w:right w:val="nil"/>
          <w:between w:val="nil"/>
        </w:pBdr>
        <w:spacing w:line="276" w:lineRule="auto"/>
        <w:ind w:left="720" w:right="283"/>
        <w:jc w:val="both"/>
        <w:rPr>
          <w:rFonts w:ascii="Open Sans Light" w:eastAsia="Open Sans Light" w:hAnsi="Open Sans Light" w:cs="Open Sans Light"/>
          <w:b/>
          <w:color w:val="303AB2"/>
        </w:rPr>
      </w:pPr>
    </w:p>
    <w:p w14:paraId="74EDEC8B" w14:textId="65A3C2AE" w:rsidR="0001434D"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Hace justo un año era un 25% los compradores que tenían que vender una vivienda para comprarse otra </w:t>
      </w:r>
    </w:p>
    <w:p w14:paraId="66987439" w14:textId="77777777" w:rsidR="0001434D"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incrementa hasta el 57% el porcentaje de hipotecados que recurren a financiación externa para hacer frente a pagos iniciales como la entrada, los impuestos o la notaría</w:t>
      </w:r>
    </w:p>
    <w:p w14:paraId="01AFA5EC" w14:textId="77777777" w:rsidR="0001434D"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Más de la mitad de los hipotecados se informaron en una entidad bancaria antes de iniciar la búsqueda para poder calcular el presupuesto inicial </w:t>
      </w:r>
    </w:p>
    <w:p w14:paraId="4A7D01D6" w14:textId="77777777" w:rsidR="0001434D" w:rsidRDefault="0001434D">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p>
    <w:p w14:paraId="24A83FC9" w14:textId="77777777" w:rsidR="00513853" w:rsidRDefault="00513853">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p>
    <w:p w14:paraId="38BC43F0" w14:textId="73E7F4D3" w:rsidR="0001434D"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8 de julio de 2025</w:t>
      </w:r>
    </w:p>
    <w:p w14:paraId="29872CD3" w14:textId="77777777" w:rsidR="0001434D" w:rsidRDefault="0001434D">
      <w:pPr>
        <w:pBdr>
          <w:top w:val="nil"/>
          <w:left w:val="nil"/>
          <w:bottom w:val="nil"/>
          <w:right w:val="nil"/>
          <w:between w:val="nil"/>
        </w:pBdr>
        <w:spacing w:line="276" w:lineRule="auto"/>
        <w:ind w:left="-284"/>
        <w:jc w:val="both"/>
        <w:rPr>
          <w:rFonts w:ascii="Open Sans" w:eastAsia="Open Sans" w:hAnsi="Open Sans" w:cs="Open Sans"/>
        </w:rPr>
      </w:pPr>
    </w:p>
    <w:p w14:paraId="41CF5DF0" w14:textId="77777777" w:rsidR="0001434D" w:rsidRDefault="00000000">
      <w:pPr>
        <w:spacing w:line="276" w:lineRule="auto"/>
        <w:ind w:left="-284" w:right="4"/>
        <w:jc w:val="both"/>
        <w:rPr>
          <w:rFonts w:ascii="Open Sans" w:eastAsia="Open Sans" w:hAnsi="Open Sans" w:cs="Open Sans"/>
        </w:rPr>
      </w:pPr>
      <w:bookmarkStart w:id="0" w:name="_heading=h.gjdgxs" w:colFirst="0" w:colLast="0"/>
      <w:bookmarkEnd w:id="0"/>
      <w:r>
        <w:rPr>
          <w:rFonts w:ascii="Open Sans" w:eastAsia="Open Sans" w:hAnsi="Open Sans" w:cs="Open Sans"/>
        </w:rPr>
        <w:t xml:space="preserve">El porcentaje de compradores de vivienda que han recurrido a una hipoteca y que, además, necesitan vender otro inmueble para financiar la adquisición ha caído cinco puntos en los últimos doce meses y se sitúa actualmente en el 20%, mientras que en 2024 esta tasa era del 25%. Asimismo, el 53% de los compradores que recurren a una hipoteca se informaron en una entidad bancaria antes de iniciar la búsqueda de su nueva vivienda para poder calcular el presupuesto inicial del que disponían. Estas son algunas de las conclusiones del informe </w:t>
      </w:r>
      <w:r>
        <w:rPr>
          <w:rFonts w:ascii="Open Sans" w:eastAsia="Open Sans" w:hAnsi="Open Sans" w:cs="Open Sans"/>
          <w:b/>
        </w:rPr>
        <w:t>“</w:t>
      </w:r>
      <w:hyperlink r:id="rId9">
        <w:r w:rsidR="0001434D">
          <w:rPr>
            <w:rFonts w:ascii="Open Sans" w:eastAsia="Open Sans" w:hAnsi="Open Sans" w:cs="Open Sans"/>
            <w:b/>
            <w:i/>
            <w:color w:val="0000FF"/>
            <w:u w:val="single"/>
          </w:rPr>
          <w:t>Perfil del hipotecado español en 2025</w:t>
        </w:r>
      </w:hyperlink>
      <w:r>
        <w:rPr>
          <w:rFonts w:ascii="Open Sans" w:eastAsia="Open Sans" w:hAnsi="Open Sans" w:cs="Open Sans"/>
          <w:b/>
        </w:rPr>
        <w:t xml:space="preserve">”, elaborado por </w:t>
      </w:r>
      <w:hyperlink r:id="rId10">
        <w:r w:rsidR="0001434D">
          <w:rPr>
            <w:rFonts w:ascii="Open Sans" w:eastAsia="Open Sans" w:hAnsi="Open Sans" w:cs="Open Sans"/>
            <w:b/>
            <w:color w:val="0000FF"/>
            <w:u w:val="single"/>
          </w:rPr>
          <w:t>Fotocasa Research</w:t>
        </w:r>
      </w:hyperlink>
      <w:r>
        <w:rPr>
          <w:rFonts w:ascii="Open Sans" w:eastAsia="Open Sans" w:hAnsi="Open Sans" w:cs="Open Sans"/>
        </w:rPr>
        <w:t xml:space="preserve"> y que traza, un año más, una radiografía de cómo se hipotecan los españoles.</w:t>
      </w:r>
    </w:p>
    <w:p w14:paraId="4B539E5F" w14:textId="77777777" w:rsidR="0001434D" w:rsidRDefault="0001434D">
      <w:pPr>
        <w:spacing w:line="276" w:lineRule="auto"/>
        <w:ind w:left="-284" w:right="4"/>
        <w:jc w:val="both"/>
        <w:rPr>
          <w:rFonts w:ascii="Open Sans" w:eastAsia="Open Sans" w:hAnsi="Open Sans" w:cs="Open Sans"/>
        </w:rPr>
      </w:pPr>
    </w:p>
    <w:p w14:paraId="61EF88B6" w14:textId="77777777" w:rsidR="0001434D" w:rsidRDefault="00000000">
      <w:pPr>
        <w:spacing w:line="276" w:lineRule="auto"/>
        <w:ind w:left="-284"/>
        <w:jc w:val="both"/>
        <w:rPr>
          <w:b/>
          <w:sz w:val="28"/>
          <w:szCs w:val="28"/>
        </w:rPr>
      </w:pPr>
      <w:r>
        <w:rPr>
          <w:rFonts w:ascii="Open Sans" w:eastAsia="Open Sans" w:hAnsi="Open Sans" w:cs="Open Sans"/>
        </w:rPr>
        <w:t xml:space="preserve">“Cada vez son más los compradores que necesitan financiar los gastos iniciales asociados a la compra de la vivienda. De hecho, casi el 60 % de los hipotecados requiere apoyo económico adicional para afrontar conceptos como el pago de impuestos, notaría, tasación o la entrada inicial. La dificultad para ahorrar </w:t>
      </w:r>
      <w:r>
        <w:rPr>
          <w:rFonts w:ascii="Open Sans" w:eastAsia="Open Sans" w:hAnsi="Open Sans" w:cs="Open Sans"/>
        </w:rPr>
        <w:lastRenderedPageBreak/>
        <w:t xml:space="preserve">previamente, sumada a una elevada carga fiscal en el momento de la compra, se ha convertido en uno de los principales obstáculos para acceder a la propiedad. Esta situación refleja una realidad preocupante: la mayoría de los compradores no dispone del colchón económico necesario para hacer frente a estos gastos, lo que les obliga a endeudarse más allá de la hipoteca. De hecho, este porcentaje también permite intuir que muchos se quedan sin margen económico una vez adquirida la vivienda, lo que impide realizar reformas o mejoras en el inmueble justo después de la compra”, </w:t>
      </w:r>
      <w:r>
        <w:rPr>
          <w:rFonts w:ascii="Open Sans" w:eastAsia="Open Sans" w:hAnsi="Open Sans" w:cs="Open Sans"/>
          <w:b/>
        </w:rPr>
        <w:t xml:space="preserve">comenta María Matos, directora de Estudios y portavoz de </w:t>
      </w:r>
      <w:hyperlink r:id="rId11">
        <w:r w:rsidR="0001434D">
          <w:rPr>
            <w:rFonts w:ascii="Open Sans" w:eastAsia="Open Sans" w:hAnsi="Open Sans" w:cs="Open Sans"/>
            <w:b/>
            <w:color w:val="1155CC"/>
            <w:u w:val="single"/>
          </w:rPr>
          <w:t>Fotocasa</w:t>
        </w:r>
      </w:hyperlink>
      <w:r>
        <w:rPr>
          <w:rFonts w:ascii="Open Sans" w:eastAsia="Open Sans" w:hAnsi="Open Sans" w:cs="Open Sans"/>
          <w:b/>
        </w:rPr>
        <w:t xml:space="preserve">. </w:t>
      </w:r>
    </w:p>
    <w:p w14:paraId="3D5CA507" w14:textId="77777777" w:rsidR="0001434D" w:rsidRDefault="0001434D">
      <w:pPr>
        <w:pBdr>
          <w:top w:val="nil"/>
          <w:left w:val="nil"/>
          <w:bottom w:val="nil"/>
          <w:right w:val="nil"/>
          <w:between w:val="nil"/>
        </w:pBdr>
        <w:spacing w:line="276" w:lineRule="auto"/>
        <w:ind w:left="-284"/>
        <w:jc w:val="both"/>
        <w:rPr>
          <w:rFonts w:ascii="Open Sans Light" w:eastAsia="Open Sans Light" w:hAnsi="Open Sans Light" w:cs="Open Sans Light"/>
          <w:b/>
          <w:color w:val="303AB2"/>
        </w:rPr>
      </w:pPr>
    </w:p>
    <w:p w14:paraId="2633E180" w14:textId="77777777" w:rsidR="0001434D"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Más hipotecados recurren a financiación para cubrir los gastos iniciales</w:t>
      </w:r>
    </w:p>
    <w:p w14:paraId="2F5EAAD1" w14:textId="77777777" w:rsidR="0001434D" w:rsidRDefault="0001434D">
      <w:pPr>
        <w:spacing w:line="276" w:lineRule="auto"/>
        <w:ind w:left="-284" w:right="4"/>
        <w:jc w:val="both"/>
        <w:rPr>
          <w:rFonts w:ascii="Open Sans" w:eastAsia="Open Sans" w:hAnsi="Open Sans" w:cs="Open Sans"/>
          <w:sz w:val="22"/>
          <w:szCs w:val="22"/>
        </w:rPr>
      </w:pPr>
    </w:p>
    <w:p w14:paraId="5DCBDA0F" w14:textId="77777777" w:rsidR="0001434D" w:rsidRDefault="00000000">
      <w:pPr>
        <w:spacing w:line="276" w:lineRule="auto"/>
        <w:ind w:left="-284" w:right="4"/>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se ha incrementado en dos puntos porcentuales la cifra de hipotecados que deben recurrir a financiación para afrontar los gastos iniciales vinculados a un crédito inmobiliario</w:t>
      </w:r>
      <w:r>
        <w:rPr>
          <w:rFonts w:ascii="Open Sans" w:eastAsia="Open Sans" w:hAnsi="Open Sans" w:cs="Open Sans"/>
        </w:rPr>
        <w:t>, como son la entrada inicial, los impuestos o los honorarios notariales. Concretamente, un 57% de los hipotecados utilizó ayuda económica externa para cubrir estos gastos (mientras que en 2024 esta tasa fue del 55%). Entre estos, un 42% necesitó únicamente financiación bancaria, mientras que un 15% recurrió a un crédito y, además, pidió ayuda a familiares.</w:t>
      </w:r>
    </w:p>
    <w:p w14:paraId="70794BE3" w14:textId="77777777" w:rsidR="0001434D" w:rsidRDefault="0001434D">
      <w:pPr>
        <w:spacing w:line="276" w:lineRule="auto"/>
        <w:ind w:left="-284" w:right="4"/>
        <w:jc w:val="both"/>
        <w:rPr>
          <w:rFonts w:ascii="Open Sans" w:eastAsia="Open Sans" w:hAnsi="Open Sans" w:cs="Open Sans"/>
          <w:sz w:val="22"/>
          <w:szCs w:val="22"/>
        </w:rPr>
      </w:pPr>
    </w:p>
    <w:p w14:paraId="78612684" w14:textId="77777777" w:rsidR="0001434D" w:rsidRDefault="00000000">
      <w:pPr>
        <w:spacing w:line="276" w:lineRule="auto"/>
        <w:ind w:left="-284" w:right="4"/>
        <w:jc w:val="both"/>
        <w:rPr>
          <w:rFonts w:ascii="Open Sans" w:eastAsia="Open Sans" w:hAnsi="Open Sans" w:cs="Open Sans"/>
        </w:rPr>
      </w:pPr>
      <w:r>
        <w:rPr>
          <w:noProof/>
          <w:sz w:val="28"/>
          <w:szCs w:val="28"/>
        </w:rPr>
        <w:drawing>
          <wp:inline distT="0" distB="0" distL="0" distR="0" wp14:anchorId="0C66FC8F" wp14:editId="66557720">
            <wp:extent cx="5920740" cy="4038600"/>
            <wp:effectExtent l="0" t="0" r="3810" b="0"/>
            <wp:docPr id="2093790228" name="image2.png" descr="Imatge que conté text, captura de pantalla, cercle, diagrama&#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cercle, diagrama&#10;&#10;Pot ser que el contingut generat per IA no sigui correcte."/>
                    <pic:cNvPicPr preferRelativeResize="0"/>
                  </pic:nvPicPr>
                  <pic:blipFill>
                    <a:blip r:embed="rId12"/>
                    <a:srcRect/>
                    <a:stretch>
                      <a:fillRect/>
                    </a:stretch>
                  </pic:blipFill>
                  <pic:spPr>
                    <a:xfrm>
                      <a:off x="0" y="0"/>
                      <a:ext cx="5920740" cy="4038600"/>
                    </a:xfrm>
                    <a:prstGeom prst="rect">
                      <a:avLst/>
                    </a:prstGeom>
                    <a:ln/>
                  </pic:spPr>
                </pic:pic>
              </a:graphicData>
            </a:graphic>
          </wp:inline>
        </w:drawing>
      </w:r>
    </w:p>
    <w:p w14:paraId="420F9B40" w14:textId="77777777" w:rsidR="0001434D" w:rsidRDefault="0001434D">
      <w:pPr>
        <w:spacing w:line="276" w:lineRule="auto"/>
        <w:ind w:left="-284" w:right="4"/>
        <w:jc w:val="both"/>
        <w:rPr>
          <w:rFonts w:ascii="Open Sans" w:eastAsia="Open Sans" w:hAnsi="Open Sans" w:cs="Open Sans"/>
        </w:rPr>
      </w:pPr>
    </w:p>
    <w:p w14:paraId="507BFAB7" w14:textId="77777777" w:rsidR="0001434D" w:rsidRDefault="00000000">
      <w:pPr>
        <w:spacing w:line="276" w:lineRule="auto"/>
        <w:ind w:left="-284" w:right="4"/>
        <w:jc w:val="both"/>
        <w:rPr>
          <w:rFonts w:ascii="Open Sans" w:eastAsia="Open Sans" w:hAnsi="Open Sans" w:cs="Open Sans"/>
        </w:rPr>
      </w:pPr>
      <w:r>
        <w:rPr>
          <w:rFonts w:ascii="Open Sans" w:eastAsia="Open Sans" w:hAnsi="Open Sans" w:cs="Open Sans"/>
        </w:rPr>
        <w:lastRenderedPageBreak/>
        <w:t xml:space="preserve">En cambio, </w:t>
      </w:r>
      <w:r>
        <w:rPr>
          <w:rFonts w:ascii="Open Sans" w:eastAsia="Open Sans" w:hAnsi="Open Sans" w:cs="Open Sans"/>
          <w:b/>
        </w:rPr>
        <w:t>el 43% de los hipotecados no necesitó endeudarse para asumir los mencionados pagos iniciales vinculados a un crédito inmobiliario</w:t>
      </w:r>
      <w:r>
        <w:rPr>
          <w:rFonts w:ascii="Open Sans" w:eastAsia="Open Sans" w:hAnsi="Open Sans" w:cs="Open Sans"/>
        </w:rPr>
        <w:t>, una cifra que está dos puntos porcentuales por debajo de la registrada en el año anterior y que es seis puntos inferior a la obtenida en 2023. Este porcentaje se desglosa en un 10% que recibió ayuda familiar, un 29% que tenía suficientes ahorros para afrontar estos pagos y un 4% que los abonó con la venta de una vivienda.</w:t>
      </w:r>
    </w:p>
    <w:p w14:paraId="3F4E2236" w14:textId="77777777" w:rsidR="0001434D" w:rsidRDefault="0001434D">
      <w:pPr>
        <w:spacing w:line="276" w:lineRule="auto"/>
        <w:ind w:left="-284" w:right="4"/>
        <w:jc w:val="both"/>
        <w:rPr>
          <w:rFonts w:ascii="Open Sans" w:eastAsia="Open Sans" w:hAnsi="Open Sans" w:cs="Open Sans"/>
          <w:sz w:val="22"/>
          <w:szCs w:val="22"/>
        </w:rPr>
      </w:pPr>
    </w:p>
    <w:p w14:paraId="33834264" w14:textId="77777777" w:rsidR="0001434D" w:rsidRDefault="00000000">
      <w:pPr>
        <w:spacing w:line="276" w:lineRule="auto"/>
        <w:ind w:left="-28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D96C8D3" w14:textId="77777777" w:rsidR="0001434D" w:rsidRDefault="00000000">
      <w:pPr>
        <w:shd w:val="clear" w:color="auto" w:fill="FFFFFF"/>
        <w:spacing w:before="280" w:after="280" w:line="276" w:lineRule="auto"/>
        <w:ind w:left="-28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01434D">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CA31FF8" w14:textId="77777777" w:rsidR="0001434D" w:rsidRDefault="00000000">
      <w:pPr>
        <w:shd w:val="clear" w:color="auto" w:fill="FFFFFF"/>
        <w:spacing w:before="280" w:after="280" w:line="276" w:lineRule="auto"/>
        <w:ind w:left="-283"/>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01434D">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90E345B" w14:textId="77777777" w:rsidR="0001434D" w:rsidRDefault="00000000">
      <w:pPr>
        <w:shd w:val="clear" w:color="auto" w:fill="FFFFFF"/>
        <w:spacing w:before="280" w:after="280" w:line="276" w:lineRule="auto"/>
        <w:ind w:left="-283"/>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0FB3093" w14:textId="77777777" w:rsidR="0001434D" w:rsidRDefault="00000000">
      <w:pPr>
        <w:spacing w:line="276" w:lineRule="auto"/>
        <w:ind w:left="-28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F831CA4" w14:textId="77777777" w:rsidR="0001434D" w:rsidRDefault="00000000">
      <w:pPr>
        <w:spacing w:before="143" w:after="200"/>
        <w:ind w:left="-283"/>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01434D">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01434D">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01434D">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01434D">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01434D">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sidR="0001434D">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3EEA3FC" w14:textId="77777777" w:rsidR="0001434D" w:rsidRDefault="00000000">
      <w:pPr>
        <w:spacing w:before="143" w:after="200"/>
        <w:ind w:left="-283"/>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515C8C6" w14:textId="77777777" w:rsidR="0001434D" w:rsidRDefault="00000000">
      <w:pPr>
        <w:spacing w:before="143" w:after="200"/>
        <w:ind w:left="-283"/>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FC41FAE" w14:textId="77777777" w:rsidR="0001434D" w:rsidRDefault="00000000">
      <w:pPr>
        <w:spacing w:before="143" w:after="200"/>
        <w:ind w:left="-283"/>
        <w:jc w:val="both"/>
      </w:pPr>
      <w:r>
        <w:rPr>
          <w:rFonts w:ascii="Open Sans" w:eastAsia="Open Sans" w:hAnsi="Open Sans" w:cs="Open Sans"/>
          <w:sz w:val="22"/>
          <w:szCs w:val="22"/>
        </w:rPr>
        <w:t xml:space="preserve">Más información en </w:t>
      </w:r>
      <w:hyperlink r:id="rId21">
        <w:r w:rsidR="0001434D">
          <w:rPr>
            <w:rFonts w:ascii="Open Sans" w:eastAsia="Open Sans" w:hAnsi="Open Sans" w:cs="Open Sans"/>
            <w:color w:val="1155CC"/>
            <w:sz w:val="22"/>
            <w:szCs w:val="22"/>
            <w:u w:val="single"/>
          </w:rPr>
          <w:t>adevinta.es</w:t>
        </w:r>
      </w:hyperlink>
    </w:p>
    <w:p w14:paraId="2200488E" w14:textId="77777777" w:rsidR="0001434D" w:rsidRDefault="0001434D">
      <w:pPr>
        <w:spacing w:before="143" w:after="200"/>
        <w:ind w:left="-283"/>
        <w:jc w:val="both"/>
        <w:rPr>
          <w:rFonts w:ascii="Open Sans" w:eastAsia="Open Sans" w:hAnsi="Open Sans" w:cs="Open Sans"/>
        </w:rPr>
      </w:pPr>
    </w:p>
    <w:p w14:paraId="7FEC2A40" w14:textId="77777777" w:rsidR="0001434D" w:rsidRDefault="00000000">
      <w:pPr>
        <w:spacing w:line="276" w:lineRule="auto"/>
        <w:ind w:left="-28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21DE212" w14:textId="77777777" w:rsidR="0001434D" w:rsidRDefault="00000000">
      <w:pPr>
        <w:shd w:val="clear" w:color="auto" w:fill="FFFFFF"/>
        <w:spacing w:line="276" w:lineRule="auto"/>
        <w:ind w:left="-28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F769A16" w14:textId="77777777" w:rsidR="0001434D" w:rsidRDefault="0001434D">
      <w:pPr>
        <w:shd w:val="clear" w:color="auto" w:fill="FFFFFF"/>
        <w:spacing w:line="276" w:lineRule="auto"/>
        <w:ind w:left="-283"/>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34023E1F" w14:textId="77777777" w:rsidR="0001434D" w:rsidRDefault="00000000">
      <w:pPr>
        <w:shd w:val="clear" w:color="auto" w:fill="FFFFFF"/>
        <w:spacing w:line="276" w:lineRule="auto"/>
        <w:ind w:left="-28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515F61D" w14:textId="77777777" w:rsidR="0001434D" w:rsidRDefault="0001434D">
      <w:pPr>
        <w:spacing w:line="276" w:lineRule="auto"/>
        <w:ind w:left="-284"/>
        <w:jc w:val="right"/>
        <w:rPr>
          <w:rFonts w:ascii="Open Sans" w:eastAsia="Open Sans" w:hAnsi="Open Sans" w:cs="Open Sans"/>
          <w:color w:val="000000"/>
          <w:sz w:val="22"/>
          <w:szCs w:val="22"/>
        </w:rPr>
      </w:pPr>
    </w:p>
    <w:sectPr w:rsidR="0001434D">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A1C34" w14:textId="77777777" w:rsidR="008537C7" w:rsidRDefault="008537C7">
      <w:r>
        <w:separator/>
      </w:r>
    </w:p>
  </w:endnote>
  <w:endnote w:type="continuationSeparator" w:id="0">
    <w:p w14:paraId="63BF81A3" w14:textId="77777777" w:rsidR="008537C7" w:rsidRDefault="0085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7C78D4-BD2E-4EFE-9EBA-D1249A156F2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3AA8FC5-AB66-4BB6-B6FC-A31ACE0A2C01}"/>
    <w:embedBold r:id="rId3" w:fontKey="{3377340F-01D9-4F34-8ABE-CC1B2BFBAAA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8617A7C-8A06-43B5-B816-2BF7F76DEE8A}"/>
  </w:font>
  <w:font w:name="Georgia">
    <w:panose1 w:val="02040502050405020303"/>
    <w:charset w:val="00"/>
    <w:family w:val="roman"/>
    <w:pitch w:val="variable"/>
    <w:sig w:usb0="00000287" w:usb1="00000000" w:usb2="00000000" w:usb3="00000000" w:csb0="0000009F" w:csb1="00000000"/>
    <w:embedRegular r:id="rId5" w:fontKey="{4455D403-C9EE-4A84-9150-AD864794443E}"/>
    <w:embedItalic r:id="rId6" w:fontKey="{574040B9-31E9-4F17-AAFC-9EF8FF51AAA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6CB48E8-030D-4E2A-B04E-C1BAEEB0A17D}"/>
    <w:embedBold r:id="rId8" w:fontKey="{0691B9D7-CA21-46FB-A76B-556F9CB9DAB0}"/>
    <w:embedBoldItalic r:id="rId9" w:fontKey="{006F3EB5-85CF-4B79-A705-B2BD43B73947}"/>
  </w:font>
  <w:font w:name="Open Sans Light">
    <w:charset w:val="00"/>
    <w:family w:val="swiss"/>
    <w:pitch w:val="variable"/>
    <w:sig w:usb0="E00002EF" w:usb1="4000205B" w:usb2="00000028" w:usb3="00000000" w:csb0="0000019F" w:csb1="00000000"/>
    <w:embedRegular r:id="rId10" w:fontKey="{6128E9A8-AED6-4A79-978B-CF0AB130F8C1}"/>
    <w:embedBold r:id="rId11" w:fontKey="{FC19751C-920A-44D5-BF87-23F0C5D919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E7F85" w14:textId="77777777" w:rsidR="0001434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978590B" wp14:editId="08FCD4FD">
          <wp:simplePos x="0" y="0"/>
          <wp:positionH relativeFrom="column">
            <wp:posOffset>-1068054</wp:posOffset>
          </wp:positionH>
          <wp:positionV relativeFrom="paragraph">
            <wp:posOffset>174608</wp:posOffset>
          </wp:positionV>
          <wp:extent cx="7670550" cy="451315"/>
          <wp:effectExtent l="0" t="0" r="0" b="0"/>
          <wp:wrapNone/>
          <wp:docPr id="2093790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4DAD2" w14:textId="77777777" w:rsidR="008537C7" w:rsidRDefault="008537C7">
      <w:r>
        <w:separator/>
      </w:r>
    </w:p>
  </w:footnote>
  <w:footnote w:type="continuationSeparator" w:id="0">
    <w:p w14:paraId="38B2C828" w14:textId="77777777" w:rsidR="008537C7" w:rsidRDefault="00853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71617"/>
    <w:multiLevelType w:val="multilevel"/>
    <w:tmpl w:val="44422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0321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34D"/>
    <w:rsid w:val="0001434D"/>
    <w:rsid w:val="00433C08"/>
    <w:rsid w:val="00513853"/>
    <w:rsid w:val="008537C7"/>
    <w:rsid w:val="00AA3A12"/>
    <w:rsid w:val="00CC27FE"/>
    <w:rsid w:val="00DF5A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9B6D3"/>
  <w15:docId w15:val="{D121D850-CCCB-48C3-B622-02F6C803D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a">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216.pcdn.co/wp-content/uploads/2025/06/Informe-perfil-hipotecado-espanol-2025.pdf"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G4J8iiA6RK+4BueTUtJshCQw==">CgMxLjAyCGguZ2pkZ3hzMgloLjJzOGV5bzE4AHIhMV93QzM2dGFieThHbFpDY1hMdHhHLUQxVmEweFdyaXM0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868</Words>
  <Characters>4778</Characters>
  <Application>Microsoft Office Word</Application>
  <DocSecurity>0</DocSecurity>
  <Lines>39</Lines>
  <Paragraphs>11</Paragraphs>
  <ScaleCrop>false</ScaleCrop>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2025-07-02T09:38:00Z</dcterms:modified>
</cp:coreProperties>
</file>