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-1080129</wp:posOffset>
            </wp:positionH>
            <wp:positionV relativeFrom="paragraph">
              <wp:posOffset>-654680</wp:posOffset>
            </wp:positionV>
            <wp:extent cx="7581265" cy="1019175"/>
            <wp:effectExtent b="0" l="0" r="0" t="0"/>
            <wp:wrapNone/>
            <wp:docPr id="20937902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rPr>
          <w:rFonts w:ascii="National" w:cs="National" w:eastAsia="National" w:hAnsi="National"/>
          <w:color w:val="303ab2"/>
          <w:sz w:val="18"/>
          <w:szCs w:val="18"/>
        </w:rPr>
      </w:pPr>
      <w:r w:rsidDel="00000000" w:rsidR="00000000" w:rsidRPr="00000000">
        <w:rPr>
          <w:rtl w:val="0"/>
        </w:rPr>
      </w:r>
    </w:p>
    <w:p w:rsidR="00000000" w:rsidDel="00000000" w:rsidP="00000000" w:rsidRDefault="00000000" w:rsidRPr="00000000" w14:paraId="00000004">
      <w:pPr>
        <w:spacing w:line="276" w:lineRule="auto"/>
        <w:jc w:val="center"/>
        <w:rPr>
          <w:rFonts w:ascii="National" w:cs="National" w:eastAsia="National" w:hAnsi="National"/>
          <w:b w:val="1"/>
          <w:color w:val="1dbdc5"/>
          <w:sz w:val="30"/>
          <w:szCs w:val="30"/>
        </w:rPr>
      </w:pPr>
      <w:r w:rsidDel="00000000" w:rsidR="00000000" w:rsidRPr="00000000">
        <w:rPr>
          <w:rFonts w:ascii="National" w:cs="National" w:eastAsia="National" w:hAnsi="National"/>
          <w:b w:val="1"/>
          <w:color w:val="1dbdc5"/>
          <w:sz w:val="30"/>
          <w:szCs w:val="30"/>
          <w:rtl w:val="0"/>
        </w:rPr>
        <w:t xml:space="preserve">PERFIL DEL HIPOTECADO ESPAÑOL </w:t>
      </w:r>
    </w:p>
    <w:p w:rsidR="00000000" w:rsidDel="00000000" w:rsidP="00000000" w:rsidRDefault="00000000" w:rsidRPr="00000000" w14:paraId="00000005">
      <w:pPr>
        <w:jc w:val="center"/>
        <w:rPr>
          <w:rFonts w:ascii="National" w:cs="National" w:eastAsia="National" w:hAnsi="National"/>
          <w:b w:val="1"/>
          <w:color w:val="303ab2"/>
          <w:sz w:val="48"/>
          <w:szCs w:val="48"/>
        </w:rPr>
      </w:pPr>
      <w:r w:rsidDel="00000000" w:rsidR="00000000" w:rsidRPr="00000000">
        <w:rPr>
          <w:rFonts w:ascii="National" w:cs="National" w:eastAsia="National" w:hAnsi="National"/>
          <w:b w:val="1"/>
          <w:color w:val="303ab2"/>
          <w:sz w:val="48"/>
          <w:szCs w:val="48"/>
          <w:rtl w:val="0"/>
        </w:rPr>
        <w:t xml:space="preserve">El descenso de los tipos de interés relanza diez puntos las hipotecas a plazo fijo hasta representar el 66% del mercado</w:t>
      </w:r>
    </w:p>
    <w:p w:rsidR="00000000" w:rsidDel="00000000" w:rsidP="00000000" w:rsidRDefault="00000000" w:rsidRPr="00000000" w14:paraId="00000006">
      <w:pPr>
        <w:spacing w:line="276" w:lineRule="auto"/>
        <w:ind w:right="4"/>
        <w:jc w:val="both"/>
        <w:rPr>
          <w:rFonts w:ascii="Open Sans" w:cs="Open Sans" w:eastAsia="Open Sans" w:hAnsi="Open Sans"/>
          <w:color w:val="303ab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La gran mayoría (61%) de los que optan por una hipoteca a plazo fijo lo hacen por la estabilidad y seguridad de esta opción</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Se incrementa en cinco puntos el porcentaje de hipotecados que eligen un crédito por un importe superior al 75% del valor de su vivienda</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right="283" w:hanging="360"/>
        <w:jc w:val="both"/>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A nivel temporal, la opción predominante (40%) es elegir una hipoteca a retornar en un plazo de 25 a 30 años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left="720" w:firstLine="0"/>
        <w:jc w:val="both"/>
        <w:rPr>
          <w:rFonts w:ascii="Open Sans" w:cs="Open Sans" w:eastAsia="Open Sans" w:hAnsi="Open Sans"/>
          <w:color w:val="303ab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left="-284" w:firstLine="0"/>
        <w:jc w:val="both"/>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Madrid, 22 de julio de 2025</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284"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spacing w:line="276" w:lineRule="auto"/>
        <w:ind w:left="-284" w:right="4" w:firstLine="0"/>
        <w:jc w:val="both"/>
        <w:rPr>
          <w:rFonts w:ascii="Open Sans" w:cs="Open Sans" w:eastAsia="Open Sans" w:hAnsi="Open Sans"/>
          <w:sz w:val="22"/>
          <w:szCs w:val="22"/>
        </w:rPr>
      </w:pPr>
      <w:bookmarkStart w:colFirst="0" w:colLast="0" w:name="_heading=h.gjdgxs" w:id="0"/>
      <w:bookmarkEnd w:id="0"/>
      <w:r w:rsidDel="00000000" w:rsidR="00000000" w:rsidRPr="00000000">
        <w:rPr>
          <w:rFonts w:ascii="Open Sans" w:cs="Open Sans" w:eastAsia="Open Sans" w:hAnsi="Open Sans"/>
          <w:sz w:val="22"/>
          <w:szCs w:val="22"/>
          <w:rtl w:val="0"/>
        </w:rPr>
        <w:t xml:space="preserve">El descenso de los tipos de interés del euro iniciada a mediados de 2024 está condicionando fuertemente el mercado hipotecario español. Actualmente, el 66% de los hipotecados prefieren inicialmente un préstamo a tipo fijo, diez puntos porcentuales más que en 2024. Por el contrario, las hipotecas de tipo variable y mixto están perdiendo cuota de mercado. Los préstamos inmobiliarios variables caen entre las preferencias de los encuestados desde el 15% del año pasado al 12% este 2025, mientras que las mixtas lo hacen del 19% al 16%. El 6% restante desconoce el mercado y no tiene preferencias previas a la hora de contratar una hipoteca. Estas son algunas de las conclusiones del informe </w:t>
      </w:r>
      <w:r w:rsidDel="00000000" w:rsidR="00000000" w:rsidRPr="00000000">
        <w:rPr>
          <w:rFonts w:ascii="Open Sans" w:cs="Open Sans" w:eastAsia="Open Sans" w:hAnsi="Open Sans"/>
          <w:b w:val="1"/>
          <w:rtl w:val="0"/>
        </w:rPr>
        <w:t xml:space="preserve">“</w:t>
      </w:r>
      <w:hyperlink r:id="rId8">
        <w:r w:rsidDel="00000000" w:rsidR="00000000" w:rsidRPr="00000000">
          <w:rPr>
            <w:rFonts w:ascii="Open Sans" w:cs="Open Sans" w:eastAsia="Open Sans" w:hAnsi="Open Sans"/>
            <w:b w:val="1"/>
            <w:i w:val="1"/>
            <w:color w:val="0000ff"/>
            <w:u w:val="single"/>
            <w:rtl w:val="0"/>
          </w:rPr>
          <w:t xml:space="preserve">Perfil del hipotecado español en 2025</w:t>
        </w:r>
      </w:hyperlink>
      <w:r w:rsidDel="00000000" w:rsidR="00000000" w:rsidRPr="00000000">
        <w:rPr>
          <w:rFonts w:ascii="Open Sans" w:cs="Open Sans" w:eastAsia="Open Sans" w:hAnsi="Open Sans"/>
          <w:b w:val="1"/>
          <w:rtl w:val="0"/>
        </w:rPr>
        <w:t xml:space="preserve">”, elaborado por </w:t>
      </w:r>
      <w:hyperlink r:id="rId9">
        <w:r w:rsidDel="00000000" w:rsidR="00000000" w:rsidRPr="00000000">
          <w:rPr>
            <w:rFonts w:ascii="Open Sans" w:cs="Open Sans" w:eastAsia="Open Sans" w:hAnsi="Open Sans"/>
            <w:b w:val="1"/>
            <w:color w:val="0000ff"/>
            <w:u w:val="single"/>
            <w:rtl w:val="0"/>
          </w:rPr>
          <w:t xml:space="preserve">Fotocasa Research</w:t>
        </w:r>
      </w:hyperlink>
      <w:r w:rsidDel="00000000" w:rsidR="00000000" w:rsidRPr="00000000">
        <w:rPr>
          <w:rFonts w:ascii="Open Sans" w:cs="Open Sans" w:eastAsia="Open Sans" w:hAnsi="Open Sans"/>
          <w:sz w:val="22"/>
          <w:szCs w:val="22"/>
          <w:rtl w:val="0"/>
        </w:rPr>
        <w:t xml:space="preserve"> y que traza, un año más, una radiografía de cómo se hipotecan los españoles.</w:t>
      </w:r>
    </w:p>
    <w:p w:rsidR="00000000" w:rsidDel="00000000" w:rsidP="00000000" w:rsidRDefault="00000000" w:rsidRPr="00000000" w14:paraId="0000000E">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F">
      <w:pPr>
        <w:spacing w:line="276" w:lineRule="auto"/>
        <w:ind w:left="-284" w:firstLine="0"/>
        <w:jc w:val="both"/>
        <w:rPr>
          <w:b w:val="1"/>
        </w:rPr>
      </w:pPr>
      <w:r w:rsidDel="00000000" w:rsidR="00000000" w:rsidRPr="00000000">
        <w:rPr>
          <w:rFonts w:ascii="Open Sans" w:cs="Open Sans" w:eastAsia="Open Sans" w:hAnsi="Open Sans"/>
          <w:sz w:val="22"/>
          <w:szCs w:val="22"/>
          <w:rtl w:val="0"/>
        </w:rPr>
        <w:t xml:space="preserve">“En un contexto de tipos de interés más bajos y con un euríbor estabilizado en torno al 2%, las entidades financieras han vuelto a poner sobre la mesa los préstamos hipotecarios a tipo fijo, que recuperan protagonismo en la oferta bancaria. Tras las bruscas y aceleradas subidas de tipos impulsadas por el Banco Central Europeo entre 2022 y 2023, los hipotecados a tipo variable sufrieron incrementos significativos en sus cuotas mensuales, lo que generó tensiones económicas en numerosos hogares y un aumento de la morosidad potencial. Por este motivo, el tipo fijo vuelve a posicionarse como una opción atractiva para los compradores que buscan estabilidad y seguridad financiera a largo plazo”, </w:t>
      </w:r>
      <w:r w:rsidDel="00000000" w:rsidR="00000000" w:rsidRPr="00000000">
        <w:rPr>
          <w:rFonts w:ascii="Open Sans" w:cs="Open Sans" w:eastAsia="Open Sans" w:hAnsi="Open Sans"/>
          <w:b w:val="1"/>
          <w:sz w:val="22"/>
          <w:szCs w:val="22"/>
          <w:rtl w:val="0"/>
        </w:rPr>
        <w:t xml:space="preserve">comenta María Matos, directora de Estudios y portavoz de </w:t>
      </w:r>
      <w:hyperlink r:id="rId10">
        <w:r w:rsidDel="00000000" w:rsidR="00000000" w:rsidRPr="00000000">
          <w:rPr>
            <w:rFonts w:ascii="Open Sans" w:cs="Open Sans" w:eastAsia="Open Sans" w:hAnsi="Open Sans"/>
            <w:b w:val="1"/>
            <w:color w:val="1155cc"/>
            <w:sz w:val="22"/>
            <w:szCs w:val="22"/>
            <w:u w:val="single"/>
            <w:rtl w:val="0"/>
          </w:rPr>
          <w:t xml:space="preserve">Fotocasa</w:t>
        </w:r>
      </w:hyperlink>
      <w:r w:rsidDel="00000000" w:rsidR="00000000" w:rsidRPr="00000000">
        <w:rPr>
          <w:rFonts w:ascii="Open Sans" w:cs="Open Sans" w:eastAsia="Open Sans" w:hAnsi="Open Sans"/>
          <w:b w:val="1"/>
          <w:sz w:val="22"/>
          <w:szCs w:val="22"/>
          <w:rtl w:val="0"/>
        </w:rPr>
        <w:t xml:space="preserve">. </w:t>
      </w:r>
      <w:r w:rsidDel="00000000" w:rsidR="00000000" w:rsidRPr="00000000">
        <w:rPr>
          <w:rtl w:val="0"/>
        </w:rPr>
      </w:r>
    </w:p>
    <w:p w:rsidR="00000000" w:rsidDel="00000000" w:rsidP="00000000" w:rsidRDefault="00000000" w:rsidRPr="00000000" w14:paraId="00000010">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1">
      <w:pPr>
        <w:spacing w:line="276" w:lineRule="auto"/>
        <w:ind w:left="-284" w:right="4" w:firstLine="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Si se analizan las principales causas por las que los encuestados recurren a una hipoteca a tipo fijo, se observa que la gran mayoría (61%) lo hace por la estabilidad y seguridad que ofrece esta fórmula</w:t>
      </w:r>
      <w:r w:rsidDel="00000000" w:rsidR="00000000" w:rsidRPr="00000000">
        <w:rPr>
          <w:rFonts w:ascii="Open Sans" w:cs="Open Sans" w:eastAsia="Open Sans" w:hAnsi="Open Sans"/>
          <w:sz w:val="22"/>
          <w:szCs w:val="22"/>
          <w:rtl w:val="0"/>
        </w:rPr>
        <w:t xml:space="preserve">, mientras que un 24% considera que esta opción se adapta a sus necesidades, y un 16% por el temor a un alza de los intereses. En el extremo opuesto, entre quienes optan por una hipoteca a tipo variable, el 29% señala como principal razón que se adapta mejor a sus necesidades, y un 24% porque es la opción más económica. Por su parte, los que prefieren la hipoteca mixta defienden que es la que les ofrece las mejores condiciones (29%). Es importante precisar que el trabajo de campo del presente informe se realizó en febrero de 2025, con el euríbor a la baja, situado en el 2,4%, frente al 3,7% del mismo mes del año anterior.</w:t>
      </w:r>
    </w:p>
    <w:p w:rsidR="00000000" w:rsidDel="00000000" w:rsidP="00000000" w:rsidRDefault="00000000" w:rsidRPr="00000000" w14:paraId="00000012">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3">
      <w:pPr>
        <w:spacing w:line="276" w:lineRule="auto"/>
        <w:ind w:left="-284" w:right="4" w:firstLine="0"/>
        <w:jc w:val="center"/>
        <w:rPr>
          <w:rFonts w:ascii="Open Sans" w:cs="Open Sans" w:eastAsia="Open Sans" w:hAnsi="Open Sans"/>
          <w:sz w:val="22"/>
          <w:szCs w:val="22"/>
        </w:rPr>
      </w:pPr>
      <w:r w:rsidDel="00000000" w:rsidR="00000000" w:rsidRPr="00000000">
        <w:rPr/>
        <w:drawing>
          <wp:inline distB="0" distT="0" distL="0" distR="0">
            <wp:extent cx="5905500" cy="3977640"/>
            <wp:effectExtent b="0" l="0" r="0" t="0"/>
            <wp:docPr id="209379023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05500" cy="397764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ind w:left="-284" w:firstLine="0"/>
        <w:jc w:val="both"/>
        <w:rPr>
          <w:rFonts w:ascii="National" w:cs="National" w:eastAsia="National" w:hAnsi="National"/>
          <w:b w:val="1"/>
          <w:color w:val="303ab2"/>
          <w:sz w:val="32"/>
          <w:szCs w:val="32"/>
        </w:rPr>
      </w:pPr>
      <w:r w:rsidDel="00000000" w:rsidR="00000000" w:rsidRPr="00000000">
        <w:rPr>
          <w:rtl w:val="0"/>
        </w:rPr>
      </w:r>
    </w:p>
    <w:p w:rsidR="00000000" w:rsidDel="00000000" w:rsidP="00000000" w:rsidRDefault="00000000" w:rsidRPr="00000000" w14:paraId="00000015">
      <w:pPr>
        <w:spacing w:line="276" w:lineRule="auto"/>
        <w:ind w:left="-284" w:firstLine="0"/>
        <w:jc w:val="both"/>
        <w:rPr>
          <w:rFonts w:ascii="National" w:cs="National" w:eastAsia="National" w:hAnsi="National"/>
          <w:b w:val="1"/>
          <w:color w:val="303ab2"/>
          <w:sz w:val="32"/>
          <w:szCs w:val="32"/>
        </w:rPr>
      </w:pPr>
      <w:r w:rsidDel="00000000" w:rsidR="00000000" w:rsidRPr="00000000">
        <w:rPr>
          <w:rFonts w:ascii="National" w:cs="National" w:eastAsia="National" w:hAnsi="National"/>
          <w:b w:val="1"/>
          <w:color w:val="303ab2"/>
          <w:sz w:val="32"/>
          <w:szCs w:val="32"/>
          <w:rtl w:val="0"/>
        </w:rPr>
        <w:t xml:space="preserve">Suben cinco puntos quienes solicitan una hipoteca por más del 75% del valor de una vivienda</w:t>
      </w:r>
    </w:p>
    <w:p w:rsidR="00000000" w:rsidDel="00000000" w:rsidP="00000000" w:rsidRDefault="00000000" w:rsidRPr="00000000" w14:paraId="00000016">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7">
      <w:pPr>
        <w:spacing w:line="276" w:lineRule="auto"/>
        <w:ind w:left="-284" w:right="4"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otro lado, también se incrementa el porcentaje de hipotecados que solicita un préstamo por más del 75% del valor del inmueble. Concretamente, </w:t>
      </w:r>
      <w:r w:rsidDel="00000000" w:rsidR="00000000" w:rsidRPr="00000000">
        <w:rPr>
          <w:rFonts w:ascii="Open Sans" w:cs="Open Sans" w:eastAsia="Open Sans" w:hAnsi="Open Sans"/>
          <w:b w:val="1"/>
          <w:sz w:val="22"/>
          <w:szCs w:val="22"/>
          <w:rtl w:val="0"/>
        </w:rPr>
        <w:t xml:space="preserve">un 45% de los encuestados (seis puntos más que en 2024) pide una hipoteca entre el 76% y el 99% del precio de la vivienda</w:t>
      </w:r>
      <w:r w:rsidDel="00000000" w:rsidR="00000000" w:rsidRPr="00000000">
        <w:rPr>
          <w:rFonts w:ascii="Open Sans" w:cs="Open Sans" w:eastAsia="Open Sans" w:hAnsi="Open Sans"/>
          <w:sz w:val="22"/>
          <w:szCs w:val="22"/>
          <w:rtl w:val="0"/>
        </w:rPr>
        <w:t xml:space="preserve">, mientras que los demandan un préstamo por el 100% del valor caen al 4% (un punto menos que hace doce meses). La segunda opción más demandada es la financiación del 51% al 75% del precio de la vivienda, una alternativa que convence al 23% de los hipotecados, mientras quienes solicitan préstamos por debajo del 50% son menos: un 18% pide un crédito entre el 26% y el 50% del valor de la vivienda, y solo un 11% por debajo del 25%. El valor medio de una hipoteca se sitúa así en el 65% del precio total de un inmueble, un punto más que en 2024.</w:t>
      </w:r>
    </w:p>
    <w:p w:rsidR="00000000" w:rsidDel="00000000" w:rsidP="00000000" w:rsidRDefault="00000000" w:rsidRPr="00000000" w14:paraId="00000018">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9">
      <w:pPr>
        <w:spacing w:line="276" w:lineRule="auto"/>
        <w:ind w:left="-284" w:right="4" w:firstLine="0"/>
        <w:jc w:val="center"/>
        <w:rPr>
          <w:rFonts w:ascii="Open Sans" w:cs="Open Sans" w:eastAsia="Open Sans" w:hAnsi="Open Sans"/>
          <w:sz w:val="22"/>
          <w:szCs w:val="22"/>
        </w:rPr>
      </w:pPr>
      <w:r w:rsidDel="00000000" w:rsidR="00000000" w:rsidRPr="00000000">
        <w:rPr/>
        <w:drawing>
          <wp:inline distB="0" distT="0" distL="0" distR="0">
            <wp:extent cx="5760720" cy="2251710"/>
            <wp:effectExtent b="0" l="0" r="0" t="0"/>
            <wp:docPr descr="Imatge que conté text, captura de pantalla, nombre, Font&#10;&#10;Pot ser que el contingut generat per IA no sigui correcte." id="2093790231" name="image4.png"/>
            <a:graphic>
              <a:graphicData uri="http://schemas.openxmlformats.org/drawingml/2006/picture">
                <pic:pic>
                  <pic:nvPicPr>
                    <pic:cNvPr descr="Imatge que conté text, captura de pantalla, nombre, Font&#10;&#10;Pot ser que el contingut generat per IA no sigui correcte." id="0" name="image4.png"/>
                    <pic:cNvPicPr preferRelativeResize="0"/>
                  </pic:nvPicPr>
                  <pic:blipFill>
                    <a:blip r:embed="rId12"/>
                    <a:srcRect b="0" l="0" r="0" t="0"/>
                    <a:stretch>
                      <a:fillRect/>
                    </a:stretch>
                  </pic:blipFill>
                  <pic:spPr>
                    <a:xfrm>
                      <a:off x="0" y="0"/>
                      <a:ext cx="5760720" cy="22517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ind w:left="-284" w:right="141" w:firstLine="0"/>
        <w:jc w:val="both"/>
        <w:rPr>
          <w:rFonts w:ascii="Open Sans" w:cs="Open Sans" w:eastAsia="Open Sans" w:hAnsi="Open Sans"/>
          <w:sz w:val="22"/>
          <w:szCs w:val="22"/>
          <w:highlight w:val="lightGray"/>
        </w:rPr>
      </w:pPr>
      <w:r w:rsidDel="00000000" w:rsidR="00000000" w:rsidRPr="00000000">
        <w:rPr>
          <w:rtl w:val="0"/>
        </w:rPr>
      </w:r>
    </w:p>
    <w:p w:rsidR="00000000" w:rsidDel="00000000" w:rsidP="00000000" w:rsidRDefault="00000000" w:rsidRPr="00000000" w14:paraId="0000001B">
      <w:pPr>
        <w:spacing w:line="276" w:lineRule="auto"/>
        <w:ind w:left="-284" w:right="141" w:firstLine="0"/>
        <w:jc w:val="both"/>
        <w:rPr>
          <w:rFonts w:ascii="Open Sans" w:cs="Open Sans" w:eastAsia="Open Sans" w:hAnsi="Open Sans"/>
          <w:sz w:val="22"/>
          <w:szCs w:val="22"/>
          <w:highlight w:val="lightGray"/>
        </w:rPr>
      </w:pPr>
      <w:r w:rsidDel="00000000" w:rsidR="00000000" w:rsidRPr="00000000">
        <w:rPr>
          <w:rtl w:val="0"/>
        </w:rPr>
      </w:r>
    </w:p>
    <w:p w:rsidR="00000000" w:rsidDel="00000000" w:rsidP="00000000" w:rsidRDefault="00000000" w:rsidRPr="00000000" w14:paraId="0000001C">
      <w:pPr>
        <w:spacing w:line="276" w:lineRule="auto"/>
        <w:ind w:left="-284" w:right="4" w:firstLine="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Si se observa el plazo temporal en el que se prevé pagar la hipoteca, la opción predominante (40%) es entre 25 y 30 años, una preferencia que ha aumentado cinco puntos con relación a 2024</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 </w:t>
      </w:r>
      <w:r w:rsidDel="00000000" w:rsidR="00000000" w:rsidRPr="00000000">
        <w:rPr>
          <w:rFonts w:ascii="Open Sans" w:cs="Open Sans" w:eastAsia="Open Sans" w:hAnsi="Open Sans"/>
          <w:sz w:val="22"/>
          <w:szCs w:val="22"/>
          <w:rtl w:val="0"/>
        </w:rPr>
        <w:t xml:space="preserve">Por otro lado, se mantiene el dinamismo de los contratos firmados entre los 30 y 35 años, que continúan representando el 13%, tras el fuerte incremento de esta opción registrado en 2024. En esta línea, también destaca la subida en el tramo de las hipotecas a retornar en un plazo de más de 35 años, que pasan del 3% al 5%. Con todo, la segunda opción más preferida (17%) son los préstamos a retornar en un plazo entre 20 y 25 años.</w:t>
      </w:r>
    </w:p>
    <w:p w:rsidR="00000000" w:rsidDel="00000000" w:rsidP="00000000" w:rsidRDefault="00000000" w:rsidRPr="00000000" w14:paraId="0000001D">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E">
      <w:pPr>
        <w:spacing w:line="276" w:lineRule="auto"/>
        <w:ind w:left="-284" w:right="4" w:firstLine="0"/>
        <w:jc w:val="center"/>
        <w:rPr>
          <w:rFonts w:ascii="Open Sans" w:cs="Open Sans" w:eastAsia="Open Sans" w:hAnsi="Open Sans"/>
          <w:sz w:val="22"/>
          <w:szCs w:val="22"/>
        </w:rPr>
      </w:pPr>
      <w:r w:rsidDel="00000000" w:rsidR="00000000" w:rsidRPr="00000000">
        <w:rPr/>
        <w:drawing>
          <wp:inline distB="0" distT="0" distL="0" distR="0">
            <wp:extent cx="5760720" cy="2505710"/>
            <wp:effectExtent b="0" l="0" r="0" t="0"/>
            <wp:docPr descr="Imatge que conté text, captura de pantalla, Font, nombre&#10;&#10;Pot ser que el contingut generat per IA no sigui correcte." id="2093790233" name="image5.png"/>
            <a:graphic>
              <a:graphicData uri="http://schemas.openxmlformats.org/drawingml/2006/picture">
                <pic:pic>
                  <pic:nvPicPr>
                    <pic:cNvPr descr="Imatge que conté text, captura de pantalla, Font, nombre&#10;&#10;Pot ser que el contingut generat per IA no sigui correcte." id="0" name="image5.png"/>
                    <pic:cNvPicPr preferRelativeResize="0"/>
                  </pic:nvPicPr>
                  <pic:blipFill>
                    <a:blip r:embed="rId13"/>
                    <a:srcRect b="0" l="0" r="0" t="0"/>
                    <a:stretch>
                      <a:fillRect/>
                    </a:stretch>
                  </pic:blipFill>
                  <pic:spPr>
                    <a:xfrm>
                      <a:off x="0" y="0"/>
                      <a:ext cx="5760720" cy="250571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ind w:left="-284" w:right="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0">
      <w:pPr>
        <w:spacing w:line="276" w:lineRule="auto"/>
        <w:ind w:right="-426"/>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1">
      <w:pPr>
        <w:spacing w:line="276" w:lineRule="auto"/>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22">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4">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sobre la evolución del precio medio de la vivienda en España, tanto en venta como en alquiler. </w:t>
      </w:r>
    </w:p>
    <w:p w:rsidR="00000000" w:rsidDel="00000000" w:rsidP="00000000" w:rsidRDefault="00000000" w:rsidRPr="00000000" w14:paraId="00000023">
      <w:pPr>
        <w:shd w:fill="ffffff" w:val="clear"/>
        <w:spacing w:after="280" w:before="28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Toda nuestra información la puedes encontrar en nuestra </w:t>
      </w:r>
      <w:hyperlink r:id="rId15">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24">
      <w:pPr>
        <w:shd w:fill="ffffff" w:val="clear"/>
        <w:spacing w:after="280" w:before="280" w:line="276" w:lineRule="auto"/>
        <w:jc w:val="both"/>
        <w:rPr>
          <w:rFonts w:ascii="Open Sans" w:cs="Open Sans" w:eastAsia="Open Sans" w:hAnsi="Open Sans"/>
          <w:sz w:val="22"/>
          <w:szCs w:val="22"/>
        </w:rPr>
      </w:pPr>
      <w:bookmarkStart w:colFirst="0" w:colLast="0" w:name="_heading=h.2s8eyo1" w:id="1"/>
      <w:bookmarkEnd w:id="1"/>
      <w:hyperlink r:id="rId16">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25">
      <w:pPr>
        <w:spacing w:line="276" w:lineRule="auto"/>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w:t>
      </w:r>
    </w:p>
    <w:p w:rsidR="00000000" w:rsidDel="00000000" w:rsidP="00000000" w:rsidRDefault="00000000" w:rsidRPr="00000000" w14:paraId="00000026">
      <w:pPr>
        <w:spacing w:after="200" w:before="143" w:lineRule="auto"/>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es un grupo de empresas líder en marketplaces digitales y una de las principales empresas del sector tecnológico del país, con más de 18 millones de usuarios únicos al mes en sus plataformas de los sectores inmobiliario (</w:t>
      </w:r>
      <w:hyperlink r:id="rId17">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18">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19">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0">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1">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2">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27">
      <w:pPr>
        <w:spacing w:after="200" w:before="143"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28">
      <w:pPr>
        <w:spacing w:after="200" w:before="143"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Adevinta tiene presencia mundial en 10 países. El conjunto de sus plataformas locales recibe un promedio de 2.500 millones de visitas cada mes. </w:t>
      </w:r>
    </w:p>
    <w:p w:rsidR="00000000" w:rsidDel="00000000" w:rsidP="00000000" w:rsidRDefault="00000000" w:rsidRPr="00000000" w14:paraId="00000029">
      <w:pPr>
        <w:spacing w:after="200" w:before="143" w:lineRule="auto"/>
        <w:jc w:val="both"/>
        <w:rPr/>
      </w:pPr>
      <w:r w:rsidDel="00000000" w:rsidR="00000000" w:rsidRPr="00000000">
        <w:rPr>
          <w:rFonts w:ascii="Open Sans" w:cs="Open Sans" w:eastAsia="Open Sans" w:hAnsi="Open Sans"/>
          <w:sz w:val="22"/>
          <w:szCs w:val="22"/>
          <w:rtl w:val="0"/>
        </w:rPr>
        <w:t xml:space="preserve">Más información en </w:t>
      </w:r>
      <w:hyperlink r:id="rId23">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2A">
      <w:pPr>
        <w:spacing w:after="200" w:before="143"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76" w:lineRule="auto"/>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2C">
      <w:pPr>
        <w:shd w:fill="ffffff" w:val="clear"/>
        <w:spacing w:line="276"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2D">
      <w:pPr>
        <w:shd w:fill="ffffff" w:val="clear"/>
        <w:spacing w:line="276" w:lineRule="auto"/>
        <w:rPr>
          <w:rFonts w:ascii="Open Sans" w:cs="Open Sans" w:eastAsia="Open Sans" w:hAnsi="Open Sans"/>
          <w:color w:val="0000ff"/>
          <w:sz w:val="22"/>
          <w:szCs w:val="22"/>
          <w:u w:val="single"/>
        </w:rPr>
      </w:pPr>
      <w:hyperlink r:id="rId24">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2E">
      <w:pPr>
        <w:shd w:fill="ffffff" w:val="clear"/>
        <w:spacing w:line="276" w:lineRule="auto"/>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2F">
      <w:pPr>
        <w:spacing w:line="276" w:lineRule="auto"/>
        <w:ind w:left="-284" w:firstLine="0"/>
        <w:jc w:val="right"/>
        <w:rPr>
          <w:rFonts w:ascii="Open Sans" w:cs="Open Sans" w:eastAsia="Open Sans" w:hAnsi="Open Sans"/>
          <w:color w:val="000000"/>
          <w:sz w:val="22"/>
          <w:szCs w:val="22"/>
        </w:rPr>
      </w:pPr>
      <w:r w:rsidDel="00000000" w:rsidR="00000000" w:rsidRPr="00000000">
        <w:rPr>
          <w:rtl w:val="0"/>
        </w:rPr>
      </w:r>
    </w:p>
    <w:sectPr>
      <w:footerReference r:id="rId25" w:type="default"/>
      <w:pgSz w:h="16840" w:w="11900" w:orient="portrait"/>
      <w:pgMar w:bottom="1417" w:top="1417" w:left="1701"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-1068054</wp:posOffset>
          </wp:positionH>
          <wp:positionV relativeFrom="paragraph">
            <wp:posOffset>174608</wp:posOffset>
          </wp:positionV>
          <wp:extent cx="7670550" cy="451315"/>
          <wp:effectExtent b="0" l="0" r="0" t="0"/>
          <wp:wrapNone/>
          <wp:docPr id="20937902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11" w:customStyle="1">
    <w:name w:val="Table Normal11"/>
    <w:tblPr>
      <w:tblCellMar>
        <w:top w:w="0.0" w:type="dxa"/>
        <w:left w:w="0.0" w:type="dxa"/>
        <w:bottom w:w="0.0" w:type="dxa"/>
        <w:right w:w="0.0" w:type="dxa"/>
      </w:tblCellMar>
    </w:tblPr>
  </w:style>
  <w:style w:type="table" w:styleId="a" w:customStyle="1">
    <w:basedOn w:val="TableNormal11"/>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0" w:customStyle="1">
    <w:basedOn w:val="TableNormal11"/>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character" w:styleId="Hipervnculo">
    <w:name w:val="Hyperlink"/>
    <w:basedOn w:val="Fuentedeprrafopredeter"/>
    <w:uiPriority w:val="99"/>
    <w:unhideWhenUsed w:val="1"/>
    <w:rsid w:val="00FE7DB6"/>
    <w:rPr>
      <w:color w:val="0000ff" w:themeColor="hyperlink"/>
      <w:u w:val="single"/>
    </w:rPr>
  </w:style>
  <w:style w:type="character" w:styleId="Mencinsinresolver">
    <w:name w:val="Unresolved Mention"/>
    <w:basedOn w:val="Fuentedeprrafopredeter"/>
    <w:uiPriority w:val="99"/>
    <w:semiHidden w:val="1"/>
    <w:unhideWhenUsed w:val="1"/>
    <w:rsid w:val="00FE7DB6"/>
    <w:rPr>
      <w:color w:val="605e5c"/>
      <w:shd w:color="auto" w:fill="e1dfdd" w:val="clear"/>
    </w:rPr>
  </w:style>
  <w:style w:type="paragraph" w:styleId="NormalWeb">
    <w:name w:val="Normal (Web)"/>
    <w:basedOn w:val="Normal"/>
    <w:uiPriority w:val="99"/>
    <w:semiHidden w:val="1"/>
    <w:unhideWhenUsed w:val="1"/>
    <w:rsid w:val="003D48F5"/>
    <w:pPr>
      <w:spacing w:after="100" w:afterAutospacing="1" w:before="100" w:beforeAutospacing="1"/>
    </w:pPr>
    <w:rPr>
      <w:rFonts w:ascii="Times New Roman" w:cs="Times New Roman" w:eastAsia="Times New Roman" w:hAnsi="Times New Roman"/>
      <w:lang w:val="es-ES"/>
    </w:rPr>
  </w:style>
  <w:style w:type="paragraph" w:styleId="Textocomentario">
    <w:name w:val="annotation text"/>
    <w:basedOn w:val="Normal"/>
    <w:link w:val="TextocomentarioCar"/>
    <w:uiPriority w:val="99"/>
    <w:unhideWhenUsed w:val="1"/>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normaltextrun" w:customStyle="1">
    <w:name w:val="normaltextrun"/>
    <w:basedOn w:val="Fuentedeprrafopredeter"/>
    <w:rsid w:val="00A35D58"/>
  </w:style>
  <w:style w:type="table" w:styleId="Tablaconcuadrcula">
    <w:name w:val="Table Grid"/>
    <w:basedOn w:val="Tablanormal"/>
    <w:uiPriority w:val="39"/>
    <w:rsid w:val="00A35D58"/>
    <w:rPr>
      <w:rFonts w:asciiTheme="minorHAnsi" w:cstheme="minorBidi" w:eastAsiaTheme="minorHAnsi" w:hAnsiTheme="minorHAnsi"/>
      <w:kern w:val="2"/>
      <w:sz w:val="22"/>
      <w:szCs w:val="22"/>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1" w:customStyle="1">
    <w:basedOn w:val="TableNormal8"/>
    <w:rPr>
      <w:rFonts w:ascii="Cambria" w:cs="Cambria" w:eastAsia="Cambria" w:hAnsi="Cambria"/>
      <w:sz w:val="22"/>
      <w:szCs w:val="22"/>
    </w:rPr>
    <w:tblPr>
      <w:tblStyleRowBandSize w:val="1"/>
      <w:tblStyleColBandSize w:val="1"/>
      <w:tblCellMar>
        <w:left w:w="108.0" w:type="dxa"/>
        <w:right w:w="108.0" w:type="dxa"/>
      </w:tblCellMar>
    </w:tblPr>
  </w:style>
  <w:style w:type="table" w:styleId="a2" w:customStyle="1">
    <w:basedOn w:val="TableNormal8"/>
    <w:rPr>
      <w:rFonts w:ascii="Cambria" w:cs="Cambria" w:eastAsia="Cambria" w:hAnsi="Cambria"/>
      <w:sz w:val="22"/>
      <w:szCs w:val="22"/>
    </w:rPr>
    <w:tblPr>
      <w:tblStyleRowBandSize w:val="1"/>
      <w:tblStyleColBandSize w:val="1"/>
      <w:tblCellMar>
        <w:left w:w="108.0" w:type="dxa"/>
        <w:right w:w="108.0" w:type="dxa"/>
      </w:tblCellMar>
    </w:tblPr>
  </w:style>
  <w:style w:type="paragraph" w:styleId="Asuntodelcomentario">
    <w:name w:val="annotation subject"/>
    <w:basedOn w:val="Textocomentario"/>
    <w:next w:val="Textocomentario"/>
    <w:link w:val="AsuntodelcomentarioCar"/>
    <w:uiPriority w:val="99"/>
    <w:semiHidden w:val="1"/>
    <w:unhideWhenUsed w:val="1"/>
    <w:rsid w:val="00534008"/>
    <w:rPr>
      <w:b w:val="1"/>
      <w:bCs w:val="1"/>
    </w:rPr>
  </w:style>
  <w:style w:type="character" w:styleId="AsuntodelcomentarioCar" w:customStyle="1">
    <w:name w:val="Asunto del comentario Car"/>
    <w:basedOn w:val="TextocomentarioCar"/>
    <w:link w:val="Asuntodelcomentario"/>
    <w:uiPriority w:val="99"/>
    <w:semiHidden w:val="1"/>
    <w:rsid w:val="00534008"/>
    <w:rPr>
      <w:b w:val="1"/>
      <w:bCs w:val="1"/>
      <w:sz w:val="20"/>
      <w:szCs w:val="20"/>
    </w:rPr>
  </w:style>
  <w:style w:type="paragraph" w:styleId="Prrafodelista">
    <w:name w:val="List Paragraph"/>
    <w:basedOn w:val="Normal"/>
    <w:uiPriority w:val="34"/>
    <w:qFormat w:val="1"/>
    <w:rsid w:val="004C3974"/>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oches.net/" TargetMode="External"/><Relationship Id="rId22" Type="http://schemas.openxmlformats.org/officeDocument/2006/relationships/hyperlink" Target="https://www.milanuncios.com/" TargetMode="External"/><Relationship Id="rId21" Type="http://schemas.openxmlformats.org/officeDocument/2006/relationships/hyperlink" Target="https://motos.coches.net/" TargetMode="External"/><Relationship Id="rId24" Type="http://schemas.openxmlformats.org/officeDocument/2006/relationships/hyperlink" Target="mailto:comunicacion@fotocasa.es" TargetMode="External"/><Relationship Id="rId23" Type="http://schemas.openxmlformats.org/officeDocument/2006/relationships/hyperlink" Target="http://adevint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search.fotocasa.es/"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s36216.pcdn.co/wp-content/uploads/2025/06/Informe-perfil-hipotecado-espanol-2025.pdf" TargetMode="External"/><Relationship Id="rId11" Type="http://schemas.openxmlformats.org/officeDocument/2006/relationships/image" Target="media/image3.png"/><Relationship Id="rId10" Type="http://schemas.openxmlformats.org/officeDocument/2006/relationships/hyperlink" Target="https://www.fotocasa.es/es/" TargetMode="External"/><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hyperlink" Target="http://prensa.fotocasa.es" TargetMode="External"/><Relationship Id="rId14" Type="http://schemas.openxmlformats.org/officeDocument/2006/relationships/hyperlink" Target="https://www.fotocasa.es/indice/" TargetMode="External"/><Relationship Id="rId17" Type="http://schemas.openxmlformats.org/officeDocument/2006/relationships/hyperlink" Target="https://www.fotocasa.es/es/" TargetMode="External"/><Relationship Id="rId16" Type="http://schemas.openxmlformats.org/officeDocument/2006/relationships/hyperlink" Target="https://www.fotocasa.es/es/quienes-somos/" TargetMode="External"/><Relationship Id="rId19" Type="http://schemas.openxmlformats.org/officeDocument/2006/relationships/hyperlink" Target="https://www.infojobs.net/" TargetMode="External"/><Relationship Id="rId18" Type="http://schemas.openxmlformats.org/officeDocument/2006/relationships/hyperlink" Target="https://www.habitacli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Na9m0HWlR2goJC4ac0/a/PrZHw==">CgMxLjAyCGguZ2pkZ3hzMgloLjJzOGV5bzE4AHIhMXRtRE5yVEFUQmU1OWZRQjFGOW1wSnVhVGd1MWxBSU9V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2024-02-06T13:46:00Z</dcterms:created>
</cp:coreProperties>
</file>