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29CF6F" w14:textId="77777777" w:rsidR="00FB6AD3" w:rsidRDefault="00000000">
      <w:r>
        <w:rPr>
          <w:noProof/>
        </w:rPr>
        <w:drawing>
          <wp:anchor distT="0" distB="0" distL="114300" distR="114300" simplePos="0" relativeHeight="251658240" behindDoc="0" locked="0" layoutInCell="1" hidden="0" allowOverlap="1" wp14:anchorId="72D358F7" wp14:editId="3108F0EB">
            <wp:simplePos x="0" y="0"/>
            <wp:positionH relativeFrom="column">
              <wp:posOffset>-1080115</wp:posOffset>
            </wp:positionH>
            <wp:positionV relativeFrom="paragraph">
              <wp:posOffset>-654664</wp:posOffset>
            </wp:positionV>
            <wp:extent cx="7581265" cy="1019175"/>
            <wp:effectExtent l="0" t="0" r="0" b="0"/>
            <wp:wrapNone/>
            <wp:docPr id="20668166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0507B8E8" w14:textId="77777777" w:rsidR="00FB6AD3" w:rsidRDefault="00FB6AD3">
      <w:pPr>
        <w:jc w:val="right"/>
        <w:rPr>
          <w:rFonts w:ascii="National" w:eastAsia="National" w:hAnsi="National" w:cs="National"/>
          <w:color w:val="303AB2"/>
          <w:sz w:val="36"/>
          <w:szCs w:val="36"/>
        </w:rPr>
      </w:pPr>
    </w:p>
    <w:p w14:paraId="144D5F1F" w14:textId="77777777" w:rsidR="00FB6AD3" w:rsidRDefault="00FB6AD3">
      <w:pPr>
        <w:jc w:val="center"/>
        <w:rPr>
          <w:rFonts w:ascii="National" w:eastAsia="National" w:hAnsi="National" w:cs="National"/>
          <w:b/>
          <w:color w:val="1DBDC5"/>
          <w:sz w:val="34"/>
          <w:szCs w:val="34"/>
        </w:rPr>
      </w:pPr>
    </w:p>
    <w:p w14:paraId="7746DCA2" w14:textId="77777777" w:rsidR="00FB6AD3" w:rsidRDefault="00000000">
      <w:pPr>
        <w:jc w:val="center"/>
        <w:rPr>
          <w:rFonts w:ascii="National" w:eastAsia="National" w:hAnsi="National" w:cs="National"/>
          <w:b/>
          <w:color w:val="1DBDC5"/>
          <w:sz w:val="28"/>
          <w:szCs w:val="28"/>
        </w:rPr>
      </w:pPr>
      <w:r>
        <w:rPr>
          <w:rFonts w:ascii="National" w:eastAsia="National" w:hAnsi="National" w:cs="National"/>
          <w:b/>
          <w:color w:val="1DBDC5"/>
          <w:sz w:val="28"/>
          <w:szCs w:val="28"/>
        </w:rPr>
        <w:t>PERFIL DEL COMPRADOR DE SEGUNDA RESIDENCIA EN 2025</w:t>
      </w:r>
    </w:p>
    <w:p w14:paraId="748B31C7" w14:textId="77777777" w:rsidR="00FB6AD3" w:rsidRDefault="00000000">
      <w:pPr>
        <w:jc w:val="center"/>
        <w:rPr>
          <w:rFonts w:ascii="National" w:eastAsia="National" w:hAnsi="National" w:cs="National"/>
          <w:b/>
          <w:color w:val="303AB2"/>
          <w:sz w:val="42"/>
          <w:szCs w:val="42"/>
        </w:rPr>
      </w:pPr>
      <w:r>
        <w:rPr>
          <w:rFonts w:ascii="National" w:eastAsia="National" w:hAnsi="National" w:cs="National"/>
          <w:b/>
          <w:color w:val="303AB2"/>
          <w:sz w:val="42"/>
          <w:szCs w:val="42"/>
        </w:rPr>
        <w:t>Hombre de 42 años con pareja e hijos, el perfil del demandante de segunda residencia en España</w:t>
      </w:r>
    </w:p>
    <w:p w14:paraId="1B01941C" w14:textId="77777777" w:rsidR="00FB6AD3" w:rsidRDefault="00FB6AD3">
      <w:pPr>
        <w:jc w:val="center"/>
        <w:rPr>
          <w:rFonts w:ascii="Open Sans" w:eastAsia="Open Sans" w:hAnsi="Open Sans" w:cs="Open Sans"/>
          <w:color w:val="303AB2"/>
        </w:rPr>
      </w:pPr>
    </w:p>
    <w:p w14:paraId="269BB08B" w14:textId="77777777" w:rsidR="00FB6AD3"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grupo de los que cuentan con más de 55 años es el más activo a la hora de buscar segunda residencia en nuestro país</w:t>
      </w:r>
    </w:p>
    <w:p w14:paraId="3DD08B14" w14:textId="77777777" w:rsidR="00FB6AD3"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Los residentes en la Comunidad de Madrid son los que más demandan segunda residencia, seguidos de Andalucía</w:t>
      </w:r>
    </w:p>
    <w:p w14:paraId="04745C28" w14:textId="77777777" w:rsidR="00FB6AD3"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El 58% de los compradores de segunda residencia son hombres mientras que el 53% de los demandantes de alquiler son mujeres </w:t>
      </w:r>
    </w:p>
    <w:p w14:paraId="7F000E7E" w14:textId="77777777" w:rsidR="00FB6AD3"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95% de los demandantes de compra ya son propietarios de la vivienda en la que residen</w:t>
      </w:r>
    </w:p>
    <w:p w14:paraId="4038FF2B" w14:textId="77777777" w:rsidR="00FB6AD3" w:rsidRDefault="00FB6AD3">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65A1F726" w14:textId="77777777" w:rsidR="00FB6AD3"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01 de julio de 2025</w:t>
      </w:r>
    </w:p>
    <w:p w14:paraId="1193678A" w14:textId="77777777" w:rsidR="00FB6AD3" w:rsidRDefault="00FB6AD3">
      <w:pPr>
        <w:pBdr>
          <w:top w:val="nil"/>
          <w:left w:val="nil"/>
          <w:bottom w:val="nil"/>
          <w:right w:val="nil"/>
          <w:between w:val="nil"/>
        </w:pBdr>
        <w:spacing w:line="276" w:lineRule="auto"/>
        <w:jc w:val="both"/>
        <w:rPr>
          <w:rFonts w:ascii="Open Sans" w:eastAsia="Open Sans" w:hAnsi="Open Sans" w:cs="Open Sans"/>
        </w:rPr>
      </w:pPr>
    </w:p>
    <w:p w14:paraId="5EF7E0D6" w14:textId="77777777" w:rsidR="00FB6AD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perfil promedio de los demandantes de segunda residencia en 2025 </w:t>
      </w:r>
      <w:r>
        <w:rPr>
          <w:rFonts w:ascii="Open Sans" w:eastAsia="Open Sans" w:hAnsi="Open Sans" w:cs="Open Sans"/>
          <w:b/>
        </w:rPr>
        <w:t>presenta un trazo ligeramente masculinizado, con una presencia del 53% de hombres por un 47% de mujeres</w:t>
      </w:r>
      <w:r>
        <w:rPr>
          <w:rFonts w:ascii="Open Sans" w:eastAsia="Open Sans" w:hAnsi="Open Sans" w:cs="Open Sans"/>
        </w:rPr>
        <w:t xml:space="preserve">. Son los mismos porcentajes que el año anterior, que también repetían respecto a los de 2023. Destaca el hecho de que continúan siendo cifras mucho más próximas entre sí que las recogidas en 2022, cuando eran de 63% y 37%, respectivamente. Así lo indican los datos de </w:t>
      </w:r>
      <w:hyperlink r:id="rId9">
        <w:r>
          <w:rPr>
            <w:rFonts w:ascii="Open Sans" w:eastAsia="Open Sans" w:hAnsi="Open Sans" w:cs="Open Sans"/>
            <w:b/>
            <w:color w:val="0000FF"/>
            <w:u w:val="single"/>
          </w:rPr>
          <w:t xml:space="preserve">Fotocasa </w:t>
        </w:r>
        <w:proofErr w:type="spellStart"/>
        <w:r>
          <w:rPr>
            <w:rFonts w:ascii="Open Sans" w:eastAsia="Open Sans" w:hAnsi="Open Sans" w:cs="Open Sans"/>
            <w:b/>
            <w:color w:val="0000FF"/>
            <w:u w:val="single"/>
          </w:rPr>
          <w:t>Research</w:t>
        </w:r>
        <w:proofErr w:type="spellEnd"/>
      </w:hyperlink>
      <w:r>
        <w:rPr>
          <w:rFonts w:ascii="Open Sans" w:eastAsia="Open Sans" w:hAnsi="Open Sans" w:cs="Open Sans"/>
        </w:rPr>
        <w:t xml:space="preserve"> a partir de una encuesta sobre más de 3.000 particulares en búsqueda activa de vivienda en el mercado.</w:t>
      </w:r>
    </w:p>
    <w:p w14:paraId="66796B6C" w14:textId="77777777" w:rsidR="00FB6AD3" w:rsidRDefault="00FB6AD3">
      <w:pPr>
        <w:pBdr>
          <w:top w:val="nil"/>
          <w:left w:val="nil"/>
          <w:bottom w:val="nil"/>
          <w:right w:val="nil"/>
          <w:between w:val="nil"/>
        </w:pBdr>
        <w:spacing w:line="276" w:lineRule="auto"/>
        <w:jc w:val="both"/>
        <w:rPr>
          <w:rFonts w:ascii="Open Sans" w:eastAsia="Open Sans" w:hAnsi="Open Sans" w:cs="Open Sans"/>
        </w:rPr>
      </w:pPr>
    </w:p>
    <w:p w14:paraId="5B1B0DD6" w14:textId="77777777" w:rsidR="00FB6AD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rPr>
        <w:t>También se ve estabilidad en cuanto a la media de edad de los demandantes, que se mantiene en los 42 años</w:t>
      </w:r>
      <w:r>
        <w:rPr>
          <w:rFonts w:ascii="Open Sans" w:eastAsia="Open Sans" w:hAnsi="Open Sans" w:cs="Open Sans"/>
        </w:rPr>
        <w:t xml:space="preserve"> de 2024, uno menos que en 2023 y uno más que en 2022. Aunque por segmentos de edad la situación está muy repartida, el grupo más nutrido lo forman los mayores de 55, con una presencia del 26%.</w:t>
      </w:r>
    </w:p>
    <w:p w14:paraId="37EEB165" w14:textId="77777777" w:rsidR="00FB6AD3" w:rsidRDefault="00FB6AD3">
      <w:pPr>
        <w:pBdr>
          <w:top w:val="nil"/>
          <w:left w:val="nil"/>
          <w:bottom w:val="nil"/>
          <w:right w:val="nil"/>
          <w:between w:val="nil"/>
        </w:pBdr>
        <w:spacing w:line="276" w:lineRule="auto"/>
        <w:jc w:val="both"/>
        <w:rPr>
          <w:rFonts w:ascii="Open Sans" w:eastAsia="Open Sans" w:hAnsi="Open Sans" w:cs="Open Sans"/>
        </w:rPr>
      </w:pPr>
    </w:p>
    <w:p w14:paraId="5B1843AF" w14:textId="77777777" w:rsidR="00FB6AD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Si se pone el foco en su situación de convivencia, la mayoría vive en pareja y con hijos (38 %). Les siguen los que conviven únicamente en pareja, con un 21%, si bien este porcentaje se reduce notablemente en comparación con el 27% del año anterior. También se retrae la cifra de quienes viven con sus padres, que </w:t>
      </w:r>
      <w:r>
        <w:rPr>
          <w:rFonts w:ascii="Open Sans" w:eastAsia="Open Sans" w:hAnsi="Open Sans" w:cs="Open Sans"/>
        </w:rPr>
        <w:lastRenderedPageBreak/>
        <w:t>retroceden desde el 20% del año anterior al 18% de 2025. Por el contrario, son ahora más los que viven solos, que pasan del 7% al 9%.</w:t>
      </w:r>
    </w:p>
    <w:p w14:paraId="4CE9822A" w14:textId="77777777" w:rsidR="00FB6AD3" w:rsidRDefault="00FB6AD3">
      <w:pPr>
        <w:pBdr>
          <w:top w:val="nil"/>
          <w:left w:val="nil"/>
          <w:bottom w:val="nil"/>
          <w:right w:val="nil"/>
          <w:between w:val="nil"/>
        </w:pBdr>
        <w:spacing w:line="276" w:lineRule="auto"/>
        <w:jc w:val="both"/>
        <w:rPr>
          <w:rFonts w:ascii="Open Sans" w:eastAsia="Open Sans" w:hAnsi="Open Sans" w:cs="Open Sans"/>
        </w:rPr>
      </w:pPr>
    </w:p>
    <w:p w14:paraId="35336D2F" w14:textId="77777777" w:rsidR="00FB6AD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rPr>
        <w:t>El perfil socioeconómico continúa marcado por las clases altas y media altas</w:t>
      </w:r>
      <w:r>
        <w:rPr>
          <w:rFonts w:ascii="Open Sans" w:eastAsia="Open Sans" w:hAnsi="Open Sans" w:cs="Open Sans"/>
        </w:rPr>
        <w:t>. Este colectivo representa cerca del 60% del perfil, mientras que las clases más bajas ni tan siquiera alcanzan al 20% del mismo.</w:t>
      </w:r>
    </w:p>
    <w:p w14:paraId="10F07B72" w14:textId="77777777" w:rsidR="00FB6AD3" w:rsidRDefault="00FB6AD3">
      <w:pPr>
        <w:pBdr>
          <w:top w:val="nil"/>
          <w:left w:val="nil"/>
          <w:bottom w:val="nil"/>
          <w:right w:val="nil"/>
          <w:between w:val="nil"/>
        </w:pBdr>
        <w:spacing w:line="276" w:lineRule="auto"/>
        <w:jc w:val="both"/>
        <w:rPr>
          <w:rFonts w:ascii="Open Sans" w:eastAsia="Open Sans" w:hAnsi="Open Sans" w:cs="Open Sans"/>
        </w:rPr>
      </w:pPr>
    </w:p>
    <w:p w14:paraId="74BC6FF2" w14:textId="77777777" w:rsidR="00FB6AD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territorios, </w:t>
      </w:r>
      <w:r>
        <w:rPr>
          <w:rFonts w:ascii="Open Sans" w:eastAsia="Open Sans" w:hAnsi="Open Sans" w:cs="Open Sans"/>
          <w:b/>
        </w:rPr>
        <w:t>destaca la pujanza e incremento registrados por los demandantes de la Comunidad de Madrid, que en 2025 constituyen el 24%, mientras que el año anterior eran únicamente el 12%</w:t>
      </w:r>
      <w:r>
        <w:rPr>
          <w:rFonts w:ascii="Open Sans" w:eastAsia="Open Sans" w:hAnsi="Open Sans" w:cs="Open Sans"/>
        </w:rPr>
        <w:t>. A continuación, se sitúa Andalucía, con el 19%, porcentaje también mucho más alto que el 14 % de doce meses antes.</w:t>
      </w:r>
    </w:p>
    <w:p w14:paraId="7C1F8535" w14:textId="77777777" w:rsidR="00FB6AD3" w:rsidRDefault="00FB6AD3">
      <w:pPr>
        <w:pBdr>
          <w:top w:val="nil"/>
          <w:left w:val="nil"/>
          <w:bottom w:val="nil"/>
          <w:right w:val="nil"/>
          <w:between w:val="nil"/>
        </w:pBdr>
        <w:spacing w:line="276" w:lineRule="auto"/>
        <w:jc w:val="both"/>
        <w:rPr>
          <w:rFonts w:ascii="Open Sans" w:eastAsia="Open Sans" w:hAnsi="Open Sans" w:cs="Open Sans"/>
        </w:rPr>
      </w:pPr>
    </w:p>
    <w:p w14:paraId="60462A7A" w14:textId="77777777" w:rsidR="00FB6AD3"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El demandante de compra es masculino y el de alquiler femenino</w:t>
      </w:r>
    </w:p>
    <w:p w14:paraId="7ED87DA2" w14:textId="77777777" w:rsidR="00FB6AD3" w:rsidRDefault="00FB6AD3">
      <w:pPr>
        <w:pBdr>
          <w:top w:val="nil"/>
          <w:left w:val="nil"/>
          <w:bottom w:val="nil"/>
          <w:right w:val="nil"/>
          <w:between w:val="nil"/>
        </w:pBdr>
        <w:spacing w:line="276" w:lineRule="auto"/>
        <w:jc w:val="both"/>
        <w:rPr>
          <w:rFonts w:ascii="Open Sans" w:eastAsia="Open Sans" w:hAnsi="Open Sans" w:cs="Open Sans"/>
        </w:rPr>
      </w:pPr>
    </w:p>
    <w:p w14:paraId="52589E98" w14:textId="77777777" w:rsidR="00FB6AD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otro lado, si diferenciamos entre los que compran y los que alquilan descubrimos rasgos distintos en los perfiles de ambos colectivos.  Así, </w:t>
      </w:r>
      <w:r>
        <w:rPr>
          <w:rFonts w:ascii="Open Sans" w:eastAsia="Open Sans" w:hAnsi="Open Sans" w:cs="Open Sans"/>
          <w:b/>
        </w:rPr>
        <w:t>el retrato medio de los compradores de segunda residencia</w:t>
      </w:r>
      <w:r>
        <w:rPr>
          <w:rFonts w:ascii="Open Sans" w:eastAsia="Open Sans" w:hAnsi="Open Sans" w:cs="Open Sans"/>
        </w:rPr>
        <w:t xml:space="preserve"> </w:t>
      </w:r>
      <w:r>
        <w:rPr>
          <w:rFonts w:ascii="Open Sans" w:eastAsia="Open Sans" w:hAnsi="Open Sans" w:cs="Open Sans"/>
          <w:b/>
        </w:rPr>
        <w:t>refleja una presencia masculina aún más mayoritaria, con un 58%. En el caso de los inquilinos se da la situación inversa, con un 53% de mujeres</w:t>
      </w:r>
      <w:r>
        <w:rPr>
          <w:rFonts w:ascii="Open Sans" w:eastAsia="Open Sans" w:hAnsi="Open Sans" w:cs="Open Sans"/>
        </w:rPr>
        <w:t xml:space="preserve">. </w:t>
      </w:r>
    </w:p>
    <w:p w14:paraId="2CC9190B" w14:textId="77777777" w:rsidR="00FB6AD3" w:rsidRDefault="00FB6AD3">
      <w:pPr>
        <w:pBdr>
          <w:top w:val="nil"/>
          <w:left w:val="nil"/>
          <w:bottom w:val="nil"/>
          <w:right w:val="nil"/>
          <w:between w:val="nil"/>
        </w:pBdr>
        <w:spacing w:line="276" w:lineRule="auto"/>
        <w:jc w:val="both"/>
        <w:rPr>
          <w:rFonts w:ascii="Open Sans" w:eastAsia="Open Sans" w:hAnsi="Open Sans" w:cs="Open Sans"/>
        </w:rPr>
      </w:pPr>
    </w:p>
    <w:p w14:paraId="39D27D15" w14:textId="77777777" w:rsidR="00FB6AD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cuanto a la edad, </w:t>
      </w:r>
      <w:r>
        <w:rPr>
          <w:rFonts w:ascii="Open Sans" w:eastAsia="Open Sans" w:hAnsi="Open Sans" w:cs="Open Sans"/>
          <w:b/>
        </w:rPr>
        <w:t>los compradores presentan un retrato más veterano: 46 años de media, frente a los 38 de los arrendatarios</w:t>
      </w:r>
      <w:r>
        <w:rPr>
          <w:rFonts w:ascii="Open Sans" w:eastAsia="Open Sans" w:hAnsi="Open Sans" w:cs="Open Sans"/>
        </w:rPr>
        <w:t xml:space="preserve">. Son las mismas cifras que el año anterior. </w:t>
      </w:r>
    </w:p>
    <w:p w14:paraId="5B157069" w14:textId="77777777" w:rsidR="00FB6AD3" w:rsidRDefault="00FB6AD3">
      <w:pPr>
        <w:pBdr>
          <w:top w:val="nil"/>
          <w:left w:val="nil"/>
          <w:bottom w:val="nil"/>
          <w:right w:val="nil"/>
          <w:between w:val="nil"/>
        </w:pBdr>
        <w:spacing w:line="276" w:lineRule="auto"/>
        <w:jc w:val="both"/>
        <w:rPr>
          <w:rFonts w:ascii="Open Sans" w:eastAsia="Open Sans" w:hAnsi="Open Sans" w:cs="Open Sans"/>
        </w:rPr>
      </w:pPr>
    </w:p>
    <w:p w14:paraId="6086478E" w14:textId="108A3DAA" w:rsidR="00FB6AD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Respecto al nivel socioeconómico, el de los compradores de segunda residencia viene definido por las clases alta y media-alta, ya que estos colectivos representan al 63% de los demandantes, si bien es un porcentaje algo inferior al 66% del ejercicio precedente. En el caso de los inquilinos, esta cifra se rebaja al 57%. </w:t>
      </w:r>
      <w:r>
        <w:rPr>
          <w:rFonts w:ascii="Open Sans" w:eastAsia="Open Sans" w:hAnsi="Open Sans" w:cs="Open Sans"/>
          <w:b/>
        </w:rPr>
        <w:t xml:space="preserve">Destaca, por otra parte, el incremento del porcentaje de compradores de </w:t>
      </w:r>
      <w:proofErr w:type="gramStart"/>
      <w:r>
        <w:rPr>
          <w:rFonts w:ascii="Open Sans" w:eastAsia="Open Sans" w:hAnsi="Open Sans" w:cs="Open Sans"/>
          <w:b/>
        </w:rPr>
        <w:t>nivel bajo o medio bajo</w:t>
      </w:r>
      <w:proofErr w:type="gramEnd"/>
      <w:r>
        <w:rPr>
          <w:rFonts w:ascii="Open Sans" w:eastAsia="Open Sans" w:hAnsi="Open Sans" w:cs="Open Sans"/>
          <w:b/>
        </w:rPr>
        <w:t>, que suben del 7% al 14%.</w:t>
      </w:r>
      <w:r>
        <w:rPr>
          <w:rFonts w:ascii="Open Sans" w:eastAsia="Open Sans" w:hAnsi="Open Sans" w:cs="Open Sans"/>
        </w:rPr>
        <w:t xml:space="preserve"> Por otra parte, entre los inquilinos, un 32% viven en pareja con hijos, mientras que los compradores en esta situación suben hasta el 43%.</w:t>
      </w:r>
    </w:p>
    <w:p w14:paraId="331DB77C" w14:textId="77777777" w:rsidR="00CE4C9A" w:rsidRDefault="00CE4C9A">
      <w:pPr>
        <w:pBdr>
          <w:top w:val="nil"/>
          <w:left w:val="nil"/>
          <w:bottom w:val="nil"/>
          <w:right w:val="nil"/>
          <w:between w:val="nil"/>
        </w:pBdr>
        <w:spacing w:line="276" w:lineRule="auto"/>
        <w:jc w:val="both"/>
        <w:rPr>
          <w:rFonts w:ascii="Open Sans" w:eastAsia="Open Sans" w:hAnsi="Open Sans" w:cs="Open Sans"/>
        </w:rPr>
      </w:pPr>
    </w:p>
    <w:p w14:paraId="39CB0D3E" w14:textId="77777777" w:rsidR="00CE4C9A" w:rsidRPr="00CE4C9A" w:rsidRDefault="00CE4C9A">
      <w:pPr>
        <w:pBdr>
          <w:top w:val="nil"/>
          <w:left w:val="nil"/>
          <w:bottom w:val="nil"/>
          <w:right w:val="nil"/>
          <w:between w:val="nil"/>
        </w:pBdr>
        <w:spacing w:line="276" w:lineRule="auto"/>
        <w:jc w:val="both"/>
        <w:rPr>
          <w:rFonts w:ascii="Open Sans" w:eastAsia="Open Sans" w:hAnsi="Open Sans" w:cs="Open Sans"/>
          <w:b/>
        </w:rPr>
      </w:pPr>
    </w:p>
    <w:p w14:paraId="1A740381" w14:textId="77777777" w:rsidR="00FB6AD3" w:rsidRDefault="00FB6AD3">
      <w:pPr>
        <w:pBdr>
          <w:top w:val="nil"/>
          <w:left w:val="nil"/>
          <w:bottom w:val="nil"/>
          <w:right w:val="nil"/>
          <w:between w:val="nil"/>
        </w:pBdr>
        <w:spacing w:line="276" w:lineRule="auto"/>
        <w:jc w:val="both"/>
        <w:rPr>
          <w:rFonts w:ascii="Open Sans" w:eastAsia="Open Sans" w:hAnsi="Open Sans" w:cs="Open Sans"/>
        </w:rPr>
      </w:pPr>
    </w:p>
    <w:p w14:paraId="6FB73B6F" w14:textId="77777777" w:rsidR="00FB6AD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lastRenderedPageBreak/>
        <w:t xml:space="preserve">En lo que se refiere a su distribución por comunidades autónomas, </w:t>
      </w:r>
      <w:r>
        <w:rPr>
          <w:rFonts w:ascii="Open Sans" w:eastAsia="Open Sans" w:hAnsi="Open Sans" w:cs="Open Sans"/>
          <w:b/>
        </w:rPr>
        <w:t>Madrid destaca tanto en la demanda de compra como de alquiler, con un 24% y un 25%</w:t>
      </w:r>
      <w:r>
        <w:rPr>
          <w:rFonts w:ascii="Open Sans" w:eastAsia="Open Sans" w:hAnsi="Open Sans" w:cs="Open Sans"/>
        </w:rPr>
        <w:t xml:space="preserve">, respectivamente. Son cifras llamativamente superiores a las del año anterior, cuando fueron únicamente del 11% y el 14%.  </w:t>
      </w:r>
    </w:p>
    <w:p w14:paraId="63700DC7" w14:textId="77777777" w:rsidR="00FB6AD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noProof/>
        </w:rPr>
        <w:drawing>
          <wp:inline distT="0" distB="0" distL="0" distR="0" wp14:anchorId="3F0F4482" wp14:editId="282587BC">
            <wp:extent cx="5798820" cy="6934200"/>
            <wp:effectExtent l="0" t="0" r="0" b="0"/>
            <wp:docPr id="2066816626" name="image4.jpg" descr="Imagen que contiene 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jpg" descr="Imagen que contiene Diagrama&#10;&#10;El contenido generado por IA puede ser incorrecto."/>
                    <pic:cNvPicPr preferRelativeResize="0"/>
                  </pic:nvPicPr>
                  <pic:blipFill>
                    <a:blip r:embed="rId10"/>
                    <a:srcRect/>
                    <a:stretch>
                      <a:fillRect/>
                    </a:stretch>
                  </pic:blipFill>
                  <pic:spPr>
                    <a:xfrm>
                      <a:off x="0" y="0"/>
                      <a:ext cx="5798820" cy="6934200"/>
                    </a:xfrm>
                    <a:prstGeom prst="rect">
                      <a:avLst/>
                    </a:prstGeom>
                    <a:ln/>
                  </pic:spPr>
                </pic:pic>
              </a:graphicData>
            </a:graphic>
          </wp:inline>
        </w:drawing>
      </w:r>
    </w:p>
    <w:p w14:paraId="5CCD8041" w14:textId="77777777" w:rsidR="00FB6AD3" w:rsidRDefault="00FB6AD3">
      <w:pPr>
        <w:pBdr>
          <w:top w:val="nil"/>
          <w:left w:val="nil"/>
          <w:bottom w:val="nil"/>
          <w:right w:val="nil"/>
          <w:between w:val="nil"/>
        </w:pBdr>
        <w:spacing w:line="276" w:lineRule="auto"/>
        <w:jc w:val="both"/>
        <w:rPr>
          <w:rFonts w:ascii="Open Sans" w:eastAsia="Open Sans" w:hAnsi="Open Sans" w:cs="Open Sans"/>
        </w:rPr>
      </w:pPr>
    </w:p>
    <w:p w14:paraId="52BE2C35" w14:textId="77777777" w:rsidR="00FB6AD3" w:rsidRDefault="00FB6AD3">
      <w:pPr>
        <w:pBdr>
          <w:top w:val="nil"/>
          <w:left w:val="nil"/>
          <w:bottom w:val="nil"/>
          <w:right w:val="nil"/>
          <w:between w:val="nil"/>
        </w:pBdr>
        <w:spacing w:line="276" w:lineRule="auto"/>
        <w:jc w:val="both"/>
        <w:rPr>
          <w:rFonts w:ascii="Open Sans" w:eastAsia="Open Sans" w:hAnsi="Open Sans" w:cs="Open Sans"/>
        </w:rPr>
      </w:pPr>
    </w:p>
    <w:p w14:paraId="011C531E" w14:textId="77777777" w:rsidR="00CE4C9A" w:rsidRDefault="00CE4C9A">
      <w:pPr>
        <w:pBdr>
          <w:top w:val="nil"/>
          <w:left w:val="nil"/>
          <w:bottom w:val="nil"/>
          <w:right w:val="nil"/>
          <w:between w:val="nil"/>
        </w:pBdr>
        <w:spacing w:line="276" w:lineRule="auto"/>
        <w:jc w:val="both"/>
        <w:rPr>
          <w:rFonts w:ascii="Open Sans" w:eastAsia="Open Sans" w:hAnsi="Open Sans" w:cs="Open Sans"/>
        </w:rPr>
      </w:pPr>
    </w:p>
    <w:p w14:paraId="64B2CAFD" w14:textId="1965533E" w:rsidR="00FB6AD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lastRenderedPageBreak/>
        <w:t xml:space="preserve">“Dos realidades distintas conviven dentro del mercado de segunda residencia cuando analizamos los perfiles de los demandantes de compra y de alquiler. Se observa que la compra está asociada al proyecto de vida y al patrimonio, al tener el comprador más edad y un proyecto familiar en la mayoría de los casos. Mientras, la figura del demandante de segunda vivienda para alquilar refleja la demanda de disfrute temporal, accesible, adaptado a un momento vital más joven y menos consolidado económicamente. Son perfiles que se mantienen relativamente estables a lo largo del tiempo y su evolución dependerá de la evolución de los salarios, la movilidad laboral o el acceso a la financiación”, </w:t>
      </w:r>
      <w:r>
        <w:rPr>
          <w:rFonts w:ascii="Open Sans" w:eastAsia="Open Sans" w:hAnsi="Open Sans" w:cs="Open Sans"/>
          <w:b/>
        </w:rPr>
        <w:t xml:space="preserve">comenta María Matos, directora de Estudios y portavoz de </w:t>
      </w:r>
      <w:hyperlink r:id="rId11" w:history="1">
        <w:r w:rsidRPr="00CE4C9A">
          <w:rPr>
            <w:rStyle w:val="Hipervnculo"/>
            <w:rFonts w:ascii="Open Sans" w:eastAsia="Open Sans" w:hAnsi="Open Sans" w:cs="Open Sans"/>
            <w:b/>
          </w:rPr>
          <w:t>Fotocasa</w:t>
        </w:r>
      </w:hyperlink>
      <w:r>
        <w:rPr>
          <w:rFonts w:ascii="Open Sans" w:eastAsia="Open Sans" w:hAnsi="Open Sans" w:cs="Open Sans"/>
        </w:rPr>
        <w:t xml:space="preserve">. </w:t>
      </w:r>
    </w:p>
    <w:p w14:paraId="4C651908" w14:textId="77777777" w:rsidR="00FB6AD3" w:rsidRDefault="00FB6AD3">
      <w:pPr>
        <w:pBdr>
          <w:top w:val="nil"/>
          <w:left w:val="nil"/>
          <w:bottom w:val="nil"/>
          <w:right w:val="nil"/>
          <w:between w:val="nil"/>
        </w:pBdr>
        <w:spacing w:line="276" w:lineRule="auto"/>
        <w:jc w:val="both"/>
        <w:rPr>
          <w:rFonts w:ascii="Open Sans" w:eastAsia="Open Sans" w:hAnsi="Open Sans" w:cs="Open Sans"/>
        </w:rPr>
      </w:pPr>
    </w:p>
    <w:p w14:paraId="5D7E299C" w14:textId="77777777" w:rsidR="00FB6AD3"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La mayoría de los que compran ya eran propietarios</w:t>
      </w:r>
    </w:p>
    <w:p w14:paraId="4C0F407B" w14:textId="77777777" w:rsidR="00FB6AD3" w:rsidRDefault="00FB6AD3">
      <w:pPr>
        <w:pBdr>
          <w:top w:val="nil"/>
          <w:left w:val="nil"/>
          <w:bottom w:val="nil"/>
          <w:right w:val="nil"/>
          <w:between w:val="nil"/>
        </w:pBdr>
        <w:spacing w:line="276" w:lineRule="auto"/>
        <w:jc w:val="both"/>
        <w:rPr>
          <w:rFonts w:ascii="Open Sans" w:eastAsia="Open Sans" w:hAnsi="Open Sans" w:cs="Open Sans"/>
        </w:rPr>
      </w:pPr>
    </w:p>
    <w:p w14:paraId="00297D5D" w14:textId="77777777" w:rsidR="00FB6AD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Otra particularidad que distingue ambos grupos de demandantes tiene que ver con la propiedad, de manera que </w:t>
      </w:r>
      <w:r>
        <w:rPr>
          <w:rFonts w:ascii="Open Sans" w:eastAsia="Open Sans" w:hAnsi="Open Sans" w:cs="Open Sans"/>
          <w:b/>
        </w:rPr>
        <w:t>el 95% de quienes demandan segunda residencia para comprar ya son dueños del inmueble en el que residen actualmente</w:t>
      </w:r>
      <w:r>
        <w:rPr>
          <w:rFonts w:ascii="Open Sans" w:eastAsia="Open Sans" w:hAnsi="Open Sans" w:cs="Open Sans"/>
        </w:rPr>
        <w:t>. Es un porcentaje, además, muy superior al 85% del año anterior. Entre los demandantes de vivienda en alquiler este porcentaje se queda en un 64%.</w:t>
      </w:r>
    </w:p>
    <w:p w14:paraId="52BB019F" w14:textId="77777777" w:rsidR="00FB6AD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noProof/>
        </w:rPr>
        <w:drawing>
          <wp:inline distT="0" distB="0" distL="0" distR="0" wp14:anchorId="4557D176" wp14:editId="550B7A93">
            <wp:extent cx="5807920" cy="3483984"/>
            <wp:effectExtent l="0" t="0" r="0" b="0"/>
            <wp:docPr id="2066816624" name="image3.jpg" descr="Gráf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jpg" descr="Gráfico&#10;&#10;El contenido generado por IA puede ser incorrecto."/>
                    <pic:cNvPicPr preferRelativeResize="0"/>
                  </pic:nvPicPr>
                  <pic:blipFill>
                    <a:blip r:embed="rId12"/>
                    <a:srcRect/>
                    <a:stretch>
                      <a:fillRect/>
                    </a:stretch>
                  </pic:blipFill>
                  <pic:spPr>
                    <a:xfrm>
                      <a:off x="0" y="0"/>
                      <a:ext cx="5807920" cy="3483984"/>
                    </a:xfrm>
                    <a:prstGeom prst="rect">
                      <a:avLst/>
                    </a:prstGeom>
                    <a:ln/>
                  </pic:spPr>
                </pic:pic>
              </a:graphicData>
            </a:graphic>
          </wp:inline>
        </w:drawing>
      </w:r>
    </w:p>
    <w:p w14:paraId="6B3A0A60" w14:textId="77777777" w:rsidR="00FB6AD3" w:rsidRDefault="00FB6AD3">
      <w:pPr>
        <w:pBdr>
          <w:top w:val="nil"/>
          <w:left w:val="nil"/>
          <w:bottom w:val="nil"/>
          <w:right w:val="nil"/>
          <w:between w:val="nil"/>
        </w:pBdr>
        <w:spacing w:line="276" w:lineRule="auto"/>
        <w:jc w:val="both"/>
        <w:rPr>
          <w:rFonts w:ascii="Open Sans" w:eastAsia="Open Sans" w:hAnsi="Open Sans" w:cs="Open Sans"/>
        </w:rPr>
      </w:pPr>
    </w:p>
    <w:p w14:paraId="2CACF665" w14:textId="77777777" w:rsidR="00FB6AD3" w:rsidRDefault="00FB6AD3">
      <w:pPr>
        <w:pBdr>
          <w:top w:val="nil"/>
          <w:left w:val="nil"/>
          <w:bottom w:val="nil"/>
          <w:right w:val="nil"/>
          <w:between w:val="nil"/>
        </w:pBdr>
        <w:spacing w:line="276" w:lineRule="auto"/>
        <w:jc w:val="both"/>
        <w:rPr>
          <w:rFonts w:ascii="Open Sans" w:eastAsia="Open Sans" w:hAnsi="Open Sans" w:cs="Open Sans"/>
        </w:rPr>
      </w:pPr>
    </w:p>
    <w:p w14:paraId="02753B5D" w14:textId="77777777" w:rsidR="00FB6AD3" w:rsidRDefault="00FB6AD3">
      <w:pPr>
        <w:pBdr>
          <w:top w:val="nil"/>
          <w:left w:val="nil"/>
          <w:bottom w:val="nil"/>
          <w:right w:val="nil"/>
          <w:between w:val="nil"/>
        </w:pBdr>
        <w:spacing w:line="276" w:lineRule="auto"/>
        <w:jc w:val="both"/>
        <w:rPr>
          <w:rFonts w:ascii="Open Sans" w:eastAsia="Open Sans" w:hAnsi="Open Sans" w:cs="Open Sans"/>
        </w:rPr>
      </w:pPr>
    </w:p>
    <w:p w14:paraId="66731AE0" w14:textId="77777777" w:rsidR="00FB6AD3"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68DAF724" w14:textId="77777777" w:rsidR="00FB6AD3"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3">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334802E9" w14:textId="77777777" w:rsidR="00FB6AD3"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4">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6CA46E85" w14:textId="77777777" w:rsidR="00FB6AD3"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7B30E843" w14:textId="77777777" w:rsidR="00FB6AD3"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1E4B4D99" w14:textId="77777777" w:rsidR="00FB6AD3"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5">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6">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7">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8">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49ECB8C7" w14:textId="77777777" w:rsidR="00FB6AD3"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19798E1A" w14:textId="77777777" w:rsidR="00FB6AD3"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674D2CD2" w14:textId="77777777" w:rsidR="00FB6AD3" w:rsidRDefault="00000000">
      <w:pPr>
        <w:spacing w:before="143" w:after="200"/>
        <w:jc w:val="both"/>
      </w:pPr>
      <w:r>
        <w:rPr>
          <w:rFonts w:ascii="Open Sans" w:eastAsia="Open Sans" w:hAnsi="Open Sans" w:cs="Open Sans"/>
          <w:sz w:val="22"/>
          <w:szCs w:val="22"/>
        </w:rPr>
        <w:t xml:space="preserve">Más información en </w:t>
      </w:r>
      <w:hyperlink r:id="rId20">
        <w:r>
          <w:rPr>
            <w:rFonts w:ascii="Open Sans" w:eastAsia="Open Sans" w:hAnsi="Open Sans" w:cs="Open Sans"/>
            <w:color w:val="1155CC"/>
            <w:sz w:val="22"/>
            <w:szCs w:val="22"/>
            <w:u w:val="single"/>
          </w:rPr>
          <w:t>adevinta.es</w:t>
        </w:r>
      </w:hyperlink>
    </w:p>
    <w:p w14:paraId="16BD6908" w14:textId="77777777" w:rsidR="00FB6AD3" w:rsidRDefault="00FB6AD3">
      <w:pPr>
        <w:spacing w:before="143" w:after="200"/>
        <w:jc w:val="both"/>
        <w:rPr>
          <w:rFonts w:ascii="Open Sans" w:eastAsia="Open Sans" w:hAnsi="Open Sans" w:cs="Open Sans"/>
        </w:rPr>
      </w:pPr>
    </w:p>
    <w:p w14:paraId="7B730B3B" w14:textId="77777777" w:rsidR="00FB6AD3"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0782C089" w14:textId="77777777" w:rsidR="00FB6AD3"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3E21030A" w14:textId="77777777" w:rsidR="00FB6AD3" w:rsidRDefault="00000000">
      <w:pPr>
        <w:shd w:val="clear" w:color="auto" w:fill="FFFFFF"/>
        <w:spacing w:line="276" w:lineRule="auto"/>
        <w:rPr>
          <w:rFonts w:ascii="Open Sans" w:eastAsia="Open Sans" w:hAnsi="Open Sans" w:cs="Open Sans"/>
          <w:color w:val="0000FF"/>
          <w:sz w:val="22"/>
          <w:szCs w:val="22"/>
          <w:u w:val="single"/>
        </w:rPr>
      </w:pPr>
      <w:hyperlink r:id="rId21">
        <w:r>
          <w:rPr>
            <w:rFonts w:ascii="Open Sans" w:eastAsia="Open Sans" w:hAnsi="Open Sans" w:cs="Open Sans"/>
            <w:color w:val="0000FF"/>
            <w:sz w:val="22"/>
            <w:szCs w:val="22"/>
            <w:u w:val="single"/>
          </w:rPr>
          <w:t>comunicacion@fotocasa.es</w:t>
        </w:r>
      </w:hyperlink>
    </w:p>
    <w:p w14:paraId="137E641D" w14:textId="77777777" w:rsidR="00FB6AD3"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FB6AD3">
      <w:footerReference w:type="default" r:id="rId22"/>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8380B" w14:textId="77777777" w:rsidR="00756602" w:rsidRDefault="00756602">
      <w:r>
        <w:separator/>
      </w:r>
    </w:p>
  </w:endnote>
  <w:endnote w:type="continuationSeparator" w:id="0">
    <w:p w14:paraId="1405FB42" w14:textId="77777777" w:rsidR="00756602" w:rsidRDefault="00756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01EA5B1-C323-445B-9C24-891F9FD81B6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94CDB11-3874-426A-B8A5-DBEB66230D1F}"/>
    <w:embedBold r:id="rId3" w:fontKey="{B1D17638-E0CC-4B2F-B96B-ED56BE68D4FE}"/>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88DCA4C3-E604-4841-B797-2CAF99367091}"/>
  </w:font>
  <w:font w:name="Georgia">
    <w:panose1 w:val="02040502050405020303"/>
    <w:charset w:val="00"/>
    <w:family w:val="roman"/>
    <w:pitch w:val="variable"/>
    <w:sig w:usb0="00000287" w:usb1="00000000" w:usb2="00000000" w:usb3="00000000" w:csb0="0000009F" w:csb1="00000000"/>
    <w:embedRegular r:id="rId5" w:fontKey="{323E6E30-7164-4C46-BF3A-FBF494239F6A}"/>
    <w:embedItalic r:id="rId6" w:fontKey="{6037D211-A9F5-43C3-85CE-958D54B406AE}"/>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A90444D6-4948-456A-9204-F414FBD7F69A}"/>
    <w:embedBold r:id="rId8" w:fontKey="{0109B804-3764-47C3-8D8C-CF2FFE831FE0}"/>
  </w:font>
  <w:font w:name="Open Sans Light">
    <w:charset w:val="00"/>
    <w:family w:val="swiss"/>
    <w:pitch w:val="variable"/>
    <w:sig w:usb0="E00002EF" w:usb1="4000205B" w:usb2="00000028" w:usb3="00000000" w:csb0="0000019F" w:csb1="00000000"/>
    <w:embedRegular r:id="rId9" w:fontKey="{4BB27696-C356-4EAF-BF0A-25C98FE0158C}"/>
    <w:embedBold r:id="rId10" w:fontKey="{C00BF26F-A145-4D8C-B036-D2692B961D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7BAA1" w14:textId="77777777" w:rsidR="00FB6AD3"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4C422B0F" wp14:editId="217ABDAF">
          <wp:simplePos x="0" y="0"/>
          <wp:positionH relativeFrom="column">
            <wp:posOffset>-1068039</wp:posOffset>
          </wp:positionH>
          <wp:positionV relativeFrom="paragraph">
            <wp:posOffset>174608</wp:posOffset>
          </wp:positionV>
          <wp:extent cx="7670550" cy="451315"/>
          <wp:effectExtent l="0" t="0" r="0" b="0"/>
          <wp:wrapNone/>
          <wp:docPr id="20668166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2942D2" w14:textId="77777777" w:rsidR="00756602" w:rsidRDefault="00756602">
      <w:r>
        <w:separator/>
      </w:r>
    </w:p>
  </w:footnote>
  <w:footnote w:type="continuationSeparator" w:id="0">
    <w:p w14:paraId="0E93F7EC" w14:textId="77777777" w:rsidR="00756602" w:rsidRDefault="007566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14196"/>
    <w:multiLevelType w:val="multilevel"/>
    <w:tmpl w:val="9D7E5D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193007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AD3"/>
    <w:rsid w:val="00157E38"/>
    <w:rsid w:val="00756602"/>
    <w:rsid w:val="00CE4C9A"/>
    <w:rsid w:val="00D428E7"/>
    <w:rsid w:val="00FB6AD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1A91B"/>
  <w15:docId w15:val="{F8EFF9A1-5042-4AFD-83CA-999FF3784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3">
    <w:name w:val="Table Normal23"/>
    <w:tblPr>
      <w:tblCellMar>
        <w:top w:w="0" w:type="dxa"/>
        <w:left w:w="0" w:type="dxa"/>
        <w:bottom w:w="0" w:type="dxa"/>
        <w:right w:w="0" w:type="dxa"/>
      </w:tblCellMar>
    </w:tblPr>
  </w:style>
  <w:style w:type="table" w:customStyle="1" w:styleId="TableNormal22">
    <w:name w:val="Table Normal22"/>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a">
    <w:name w:val="Table Normal1"/>
    <w:tblPr>
      <w:tblCellMar>
        <w:top w:w="0" w:type="dxa"/>
        <w:left w:w="0" w:type="dxa"/>
        <w:bottom w:w="0" w:type="dxa"/>
        <w:right w:w="0" w:type="dxa"/>
      </w:tblCellMar>
    </w:tblPr>
  </w:style>
  <w:style w:type="table" w:customStyle="1" w:styleId="5">
    <w:name w:val="5"/>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4">
    <w:name w:val="4"/>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3"/>
    <w:basedOn w:val="TableNormal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2">
    <w:name w:val="2"/>
    <w:basedOn w:val="TableNormal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1">
    <w:name w:val="1"/>
    <w:basedOn w:val="TableNormal15"/>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CE4C9A"/>
    <w:pPr>
      <w:tabs>
        <w:tab w:val="center" w:pos="4252"/>
        <w:tab w:val="right" w:pos="8504"/>
      </w:tabs>
    </w:pPr>
  </w:style>
  <w:style w:type="character" w:customStyle="1" w:styleId="EncabezadoCar">
    <w:name w:val="Encabezado Car"/>
    <w:basedOn w:val="Fuentedeprrafopredeter"/>
    <w:link w:val="Encabezado"/>
    <w:uiPriority w:val="99"/>
    <w:rsid w:val="00CE4C9A"/>
  </w:style>
  <w:style w:type="paragraph" w:styleId="Piedepgina">
    <w:name w:val="footer"/>
    <w:basedOn w:val="Normal"/>
    <w:link w:val="PiedepginaCar"/>
    <w:uiPriority w:val="99"/>
    <w:unhideWhenUsed/>
    <w:rsid w:val="00CE4C9A"/>
    <w:pPr>
      <w:tabs>
        <w:tab w:val="center" w:pos="4252"/>
        <w:tab w:val="right" w:pos="8504"/>
      </w:tabs>
    </w:pPr>
  </w:style>
  <w:style w:type="character" w:customStyle="1" w:styleId="PiedepginaCar">
    <w:name w:val="Pie de página Car"/>
    <w:basedOn w:val="Fuentedeprrafopredeter"/>
    <w:link w:val="Piedepgina"/>
    <w:uiPriority w:val="99"/>
    <w:rsid w:val="00CE4C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indice/" TargetMode="External"/><Relationship Id="rId18" Type="http://schemas.openxmlformats.org/officeDocument/2006/relationships/hyperlink" Target="https://www.coches.net/" TargetMode="External"/><Relationship Id="rId3" Type="http://schemas.openxmlformats.org/officeDocument/2006/relationships/styles" Target="styles.xml"/><Relationship Id="rId21" Type="http://schemas.openxmlformats.org/officeDocument/2006/relationships/hyperlink" Target="mailto:comunicacion@fotocasa.es"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www.infojobs.net/" TargetMode="External"/><Relationship Id="rId2" Type="http://schemas.openxmlformats.org/officeDocument/2006/relationships/numbering" Target="numbering.xml"/><Relationship Id="rId16" Type="http://schemas.openxmlformats.org/officeDocument/2006/relationships/hyperlink" Target="https://www.habitaclia.com/" TargetMode="External"/><Relationship Id="rId20" Type="http://schemas.openxmlformats.org/officeDocument/2006/relationships/hyperlink" Target="http://adevint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otocasa.es/es/" TargetMode="External"/><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s://motos.coches.net/" TargetMode="External"/><Relationship Id="rId4" Type="http://schemas.openxmlformats.org/officeDocument/2006/relationships/settings" Target="settings.xml"/><Relationship Id="rId9" Type="http://schemas.openxmlformats.org/officeDocument/2006/relationships/hyperlink" Target="https://research.fotocasa.es/" TargetMode="External"/><Relationship Id="rId14" Type="http://schemas.openxmlformats.org/officeDocument/2006/relationships/hyperlink" Target="http://prensa.fotocasa.e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HOmTCjEzM1/MklRG7ZR/G3MUxw==">CgMxLjAyCWguMnM4ZXlvMTgAciExblltVVVuNmpWSU5CUUk0Rk5vV2FLOGVpZ3J6Z2Jndmo=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1116</Words>
  <Characters>6143</Characters>
  <Application>Microsoft Office Word</Application>
  <DocSecurity>0</DocSecurity>
  <Lines>51</Lines>
  <Paragraphs>14</Paragraphs>
  <ScaleCrop>false</ScaleCrop>
  <Company/>
  <LinksUpToDate>false</LinksUpToDate>
  <CharactersWithSpaces>7245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 Torne</dc:creator>
  <cp:lastModifiedBy>Anaïs López García</cp:lastModifiedBy>
  <cp:revision>3</cp:revision>
  <dcterms:created xsi:type="dcterms:W3CDTF">2024-02-06T13:46:00Z</dcterms:created>
  <dcterms:modified xsi:type="dcterms:W3CDTF">2025-06-30T08:46:00Z</dcterms:modified>
</cp:coreProperties>
</file>