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-1080114</wp:posOffset>
            </wp:positionH>
            <wp:positionV relativeFrom="paragraph">
              <wp:posOffset>-654663</wp:posOffset>
            </wp:positionV>
            <wp:extent cx="7581265" cy="1019175"/>
            <wp:effectExtent b="0" l="0" r="0" t="0"/>
            <wp:wrapNone/>
            <wp:docPr id="206681662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7581265" cy="1019175"/>
                    </a:xfrm>
                    <a:prstGeom prst="rect"/>
                    <a:ln/>
                  </pic:spPr>
                </pic:pic>
              </a:graphicData>
            </a:graphic>
          </wp:anchor>
        </w:drawing>
      </w:r>
    </w:p>
    <w:p w:rsidR="00000000" w:rsidDel="00000000" w:rsidP="00000000" w:rsidRDefault="00000000" w:rsidRPr="00000000" w14:paraId="00000002">
      <w:pPr>
        <w:jc w:val="right"/>
        <w:rPr>
          <w:rFonts w:ascii="National" w:cs="National" w:eastAsia="National" w:hAnsi="National"/>
          <w:color w:val="303ab2"/>
          <w:sz w:val="36"/>
          <w:szCs w:val="36"/>
        </w:rPr>
      </w:pPr>
      <w:r w:rsidDel="00000000" w:rsidR="00000000" w:rsidRPr="00000000">
        <w:rPr>
          <w:rtl w:val="0"/>
        </w:rPr>
      </w:r>
    </w:p>
    <w:p w:rsidR="00000000" w:rsidDel="00000000" w:rsidP="00000000" w:rsidRDefault="00000000" w:rsidRPr="00000000" w14:paraId="00000003">
      <w:pPr>
        <w:jc w:val="center"/>
        <w:rPr>
          <w:rFonts w:ascii="National" w:cs="National" w:eastAsia="National" w:hAnsi="National"/>
          <w:b w:val="1"/>
          <w:color w:val="1dbdc5"/>
          <w:sz w:val="34"/>
          <w:szCs w:val="34"/>
        </w:rPr>
      </w:pPr>
      <w:r w:rsidDel="00000000" w:rsidR="00000000" w:rsidRPr="00000000">
        <w:rPr>
          <w:rtl w:val="0"/>
        </w:rPr>
      </w:r>
    </w:p>
    <w:p w:rsidR="00000000" w:rsidDel="00000000" w:rsidP="00000000" w:rsidRDefault="00000000" w:rsidRPr="00000000" w14:paraId="00000004">
      <w:pPr>
        <w:jc w:val="center"/>
        <w:rPr>
          <w:rFonts w:ascii="National" w:cs="National" w:eastAsia="National" w:hAnsi="National"/>
          <w:b w:val="1"/>
          <w:color w:val="1dbdc5"/>
          <w:sz w:val="28"/>
          <w:szCs w:val="28"/>
        </w:rPr>
      </w:pPr>
      <w:r w:rsidDel="00000000" w:rsidR="00000000" w:rsidRPr="00000000">
        <w:rPr>
          <w:rFonts w:ascii="National" w:cs="National" w:eastAsia="National" w:hAnsi="National"/>
          <w:b w:val="1"/>
          <w:color w:val="1dbdc5"/>
          <w:sz w:val="28"/>
          <w:szCs w:val="28"/>
          <w:rtl w:val="0"/>
        </w:rPr>
        <w:t xml:space="preserve">PERFIL DEL COMPRADOR DE SEGUNDA RESIDENCIA EN 2025</w:t>
      </w:r>
    </w:p>
    <w:p w:rsidR="00000000" w:rsidDel="00000000" w:rsidP="00000000" w:rsidRDefault="00000000" w:rsidRPr="00000000" w14:paraId="00000005">
      <w:pPr>
        <w:jc w:val="center"/>
        <w:rPr>
          <w:rFonts w:ascii="National" w:cs="National" w:eastAsia="National" w:hAnsi="National"/>
          <w:b w:val="1"/>
          <w:color w:val="303ab2"/>
          <w:sz w:val="42"/>
          <w:szCs w:val="42"/>
        </w:rPr>
      </w:pPr>
      <w:r w:rsidDel="00000000" w:rsidR="00000000" w:rsidRPr="00000000">
        <w:rPr>
          <w:rFonts w:ascii="National" w:cs="National" w:eastAsia="National" w:hAnsi="National"/>
          <w:b w:val="1"/>
          <w:color w:val="303ab2"/>
          <w:sz w:val="42"/>
          <w:szCs w:val="42"/>
          <w:rtl w:val="0"/>
        </w:rPr>
        <w:t xml:space="preserve">Contar con plaza de garaje y terraza, dos requisitos cada vez más importantes para el demandante de segunda residencia</w:t>
      </w:r>
    </w:p>
    <w:p w:rsidR="00000000" w:rsidDel="00000000" w:rsidP="00000000" w:rsidRDefault="00000000" w:rsidRPr="00000000" w14:paraId="00000006">
      <w:pPr>
        <w:jc w:val="center"/>
        <w:rPr>
          <w:rFonts w:ascii="Open Sans" w:cs="Open Sans" w:eastAsia="Open Sans" w:hAnsi="Open Sans"/>
          <w:color w:val="303ab2"/>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Hace un año que la vivienda tuviera garaje era relevante para el 26% de los demandantes, hoy esa cifra se ha disparado hasta el 41%</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Para los compradores de segunda residencia es cada vez más importante que el precio se ajuste a su presupuesto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Se busca un cambio de aires: ocho de cada diez compradores de segunda residencia se van a otra localidad</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jc w:val="both"/>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jc w:val="both"/>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Madrid, 04 de julio de 2025</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Para los que compran o tratan de adquirir una vivienda destinada a segunda residencia, el precio sigue constituyendo la piedra angular de su deseo. De este modo, que el precio se concilie con el presupuesto con el que cuenta es la premisa más compartida para el 57% de los demandantes de segunda residencia. Se trata, además, de un porcentaje muy superior al del año anterior, cuando alcanzaba el 47%. Así lo indican los datos de </w:t>
      </w:r>
      <w:hyperlink r:id="rId8">
        <w:r w:rsidDel="00000000" w:rsidR="00000000" w:rsidRPr="00000000">
          <w:rPr>
            <w:rFonts w:ascii="Open Sans" w:cs="Open Sans" w:eastAsia="Open Sans" w:hAnsi="Open Sans"/>
            <w:b w:val="1"/>
            <w:color w:val="0000ff"/>
            <w:u w:val="single"/>
            <w:rtl w:val="0"/>
          </w:rPr>
          <w:t xml:space="preserve">Fotocasa Research</w:t>
        </w:r>
      </w:hyperlink>
      <w:r w:rsidDel="00000000" w:rsidR="00000000" w:rsidRPr="00000000">
        <w:rPr>
          <w:rFonts w:ascii="Open Sans" w:cs="Open Sans" w:eastAsia="Open Sans" w:hAnsi="Open Sans"/>
          <w:rtl w:val="0"/>
        </w:rPr>
        <w:t xml:space="preserve"> a partir de una encuesta sobre más de 3.000 particulares en búsqueda activa de vivienda en el mercado.</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Dentro de este punto de partida existen diferentes aspectos de la vivienda que resultan especialmente atractivos para los compradores de segunda residencia. Entre estos, </w:t>
      </w:r>
      <w:r w:rsidDel="00000000" w:rsidR="00000000" w:rsidRPr="00000000">
        <w:rPr>
          <w:rFonts w:ascii="Open Sans" w:cs="Open Sans" w:eastAsia="Open Sans" w:hAnsi="Open Sans"/>
          <w:b w:val="1"/>
          <w:rtl w:val="0"/>
        </w:rPr>
        <w:t xml:space="preserve">destaca que la vivienda cuente con plaza de garaje</w:t>
      </w:r>
      <w:r w:rsidDel="00000000" w:rsidR="00000000" w:rsidRPr="00000000">
        <w:rPr>
          <w:rFonts w:ascii="Open Sans" w:cs="Open Sans" w:eastAsia="Open Sans" w:hAnsi="Open Sans"/>
          <w:rtl w:val="0"/>
        </w:rPr>
        <w:t xml:space="preserve"> (41%, cifra significativamente superior al 26% de 2024).</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Otro factor muy apreciado a la hora de evaluar la excelencia de la segunda residencia, y que también experimenta un auge considerable en el último año, son </w:t>
      </w:r>
      <w:r w:rsidDel="00000000" w:rsidR="00000000" w:rsidRPr="00000000">
        <w:rPr>
          <w:rFonts w:ascii="Open Sans" w:cs="Open Sans" w:eastAsia="Open Sans" w:hAnsi="Open Sans"/>
          <w:b w:val="1"/>
          <w:rtl w:val="0"/>
        </w:rPr>
        <w:t xml:space="preserve">los metros cuadrados de que disponga</w:t>
      </w:r>
      <w:r w:rsidDel="00000000" w:rsidR="00000000" w:rsidRPr="00000000">
        <w:rPr>
          <w:rFonts w:ascii="Open Sans" w:cs="Open Sans" w:eastAsia="Open Sans" w:hAnsi="Open Sans"/>
          <w:rtl w:val="0"/>
        </w:rPr>
        <w:t xml:space="preserve">, una cuestión que pasa en doce meses de importar al 25% a ejercer un atractivo fundamental para el 39%. Es decir, un incremento de catorce puntos porcentuales a favor del espacio.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Aunque en menor medida, </w:t>
      </w:r>
      <w:r w:rsidDel="00000000" w:rsidR="00000000" w:rsidRPr="00000000">
        <w:rPr>
          <w:rFonts w:ascii="Open Sans" w:cs="Open Sans" w:eastAsia="Open Sans" w:hAnsi="Open Sans"/>
          <w:b w:val="1"/>
          <w:rtl w:val="0"/>
        </w:rPr>
        <w:t xml:space="preserve">también recobra popularidad que el inmueble cuente con terraza, algo que sube del 33% al 38%</w:t>
      </w:r>
      <w:r w:rsidDel="00000000" w:rsidR="00000000" w:rsidRPr="00000000">
        <w:rPr>
          <w:rFonts w:ascii="Open Sans" w:cs="Open Sans" w:eastAsia="Open Sans" w:hAnsi="Open Sans"/>
          <w:rtl w:val="0"/>
        </w:rPr>
        <w:t xml:space="preserve">, si bien esta cifra queda todavía lejos del 44% que se alcanzó en 2023. Y, compartiendo ese porcentaje del 38%, se halla otra condición muy valorada: </w:t>
      </w:r>
      <w:r w:rsidDel="00000000" w:rsidR="00000000" w:rsidRPr="00000000">
        <w:rPr>
          <w:rFonts w:ascii="Open Sans" w:cs="Open Sans" w:eastAsia="Open Sans" w:hAnsi="Open Sans"/>
          <w:b w:val="1"/>
          <w:rtl w:val="0"/>
        </w:rPr>
        <w:t xml:space="preserve">que el inmueble cuente con servicios cerca</w:t>
      </w:r>
      <w:r w:rsidDel="00000000" w:rsidR="00000000" w:rsidRPr="00000000">
        <w:rPr>
          <w:rFonts w:ascii="Open Sans" w:cs="Open Sans" w:eastAsia="Open Sans" w:hAnsi="Open Sans"/>
          <w:rtl w:val="0"/>
        </w:rPr>
        <w:t xml:space="preserve"> (centro médico, farmacia, supermercados, etcétera). Como en los casos anteriores, esta característica gana presencia respecto al anterior ejercicio, cuando solo anotó un 26% de apoyo.</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b w:val="1"/>
        </w:rPr>
      </w:pPr>
      <w:r w:rsidDel="00000000" w:rsidR="00000000" w:rsidRPr="00000000">
        <w:rPr>
          <w:rFonts w:ascii="Open Sans" w:cs="Open Sans" w:eastAsia="Open Sans" w:hAnsi="Open Sans"/>
          <w:rtl w:val="0"/>
        </w:rPr>
        <w:t xml:space="preserve">“El interés por determinadas características en la búsqueda de la segunda residencia revela una clara apuesta por la comodidad y el bienestar. En el último año, la demanda de viviendas con plaza de garaje ha aumentado en 15 puntos porcentuales, y la preferencia por disponer de terraza ha subido otros 5 puntos. Este repunte no es casual: desde la pandemia, los espacios abiertos y las facilidades que aportan confort siguen marcando la pauta en las decisiones de compra. Al tratarse de segundas residencias, los compradores priorizan elementos que les permitan disfrutar del descanso, la desconexión y una experiencia más relajada, lo que explica esta creciente valoración de la comodidad como factor clave en la elección”, </w:t>
      </w:r>
      <w:r w:rsidDel="00000000" w:rsidR="00000000" w:rsidRPr="00000000">
        <w:rPr>
          <w:rFonts w:ascii="Open Sans" w:cs="Open Sans" w:eastAsia="Open Sans" w:hAnsi="Open Sans"/>
          <w:b w:val="1"/>
          <w:rtl w:val="0"/>
        </w:rPr>
        <w:t xml:space="preserve">comenta María Matos, directora de Estudios y portavoz de </w:t>
      </w:r>
      <w:hyperlink r:id="rId9">
        <w:r w:rsidDel="00000000" w:rsidR="00000000" w:rsidRPr="00000000">
          <w:rPr>
            <w:rFonts w:ascii="Open Sans" w:cs="Open Sans" w:eastAsia="Open Sans" w:hAnsi="Open Sans"/>
            <w:b w:val="1"/>
            <w:color w:val="0000ff"/>
            <w:u w:val="single"/>
            <w:rtl w:val="0"/>
          </w:rPr>
          <w:t xml:space="preserve">Fotocasa</w:t>
        </w:r>
      </w:hyperlink>
      <w:r w:rsidDel="00000000" w:rsidR="00000000" w:rsidRPr="00000000">
        <w:rPr>
          <w:rFonts w:ascii="Open Sans" w:cs="Open Sans" w:eastAsia="Open Sans" w:hAnsi="Open Sans"/>
          <w:b w:val="1"/>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 continuación, pero porcentualmente cerca de los anteriores, encontramos otros aspectos propios de la vivienda como la </w:t>
      </w:r>
      <w:r w:rsidDel="00000000" w:rsidR="00000000" w:rsidRPr="00000000">
        <w:rPr>
          <w:rFonts w:ascii="Open Sans" w:cs="Open Sans" w:eastAsia="Open Sans" w:hAnsi="Open Sans"/>
          <w:b w:val="1"/>
          <w:rtl w:val="0"/>
        </w:rPr>
        <w:t xml:space="preserve">distribución (33%), el número de habitaciones (32%), la orientación (31%) o que no haya que invertir dinero en reformarlo (31 %).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Por su parte, para los inquilinos de segunda residencia la prioridad es que no deban </w:t>
      </w:r>
      <w:r w:rsidDel="00000000" w:rsidR="00000000" w:rsidRPr="00000000">
        <w:rPr>
          <w:rFonts w:ascii="Open Sans" w:cs="Open Sans" w:eastAsia="Open Sans" w:hAnsi="Open Sans"/>
          <w:b w:val="1"/>
          <w:rtl w:val="0"/>
        </w:rPr>
        <w:t xml:space="preserve">invertir mucho en reformas</w:t>
      </w:r>
      <w:r w:rsidDel="00000000" w:rsidR="00000000" w:rsidRPr="00000000">
        <w:rPr>
          <w:rFonts w:ascii="Open Sans" w:cs="Open Sans" w:eastAsia="Open Sans" w:hAnsi="Open Sans"/>
          <w:rtl w:val="0"/>
        </w:rPr>
        <w:t xml:space="preserve"> (38%, un porcentaje tres puntos por encima del registrado el año anterior). Muy cerca en la valoración de los arrendatarios de segunda residencia está </w:t>
      </w:r>
      <w:r w:rsidDel="00000000" w:rsidR="00000000" w:rsidRPr="00000000">
        <w:rPr>
          <w:rFonts w:ascii="Open Sans" w:cs="Open Sans" w:eastAsia="Open Sans" w:hAnsi="Open Sans"/>
          <w:b w:val="1"/>
          <w:rtl w:val="0"/>
        </w:rPr>
        <w:t xml:space="preserve">que el precio se ajuste al presupuesto marcado</w:t>
      </w:r>
      <w:r w:rsidDel="00000000" w:rsidR="00000000" w:rsidRPr="00000000">
        <w:rPr>
          <w:rFonts w:ascii="Open Sans" w:cs="Open Sans" w:eastAsia="Open Sans" w:hAnsi="Open Sans"/>
          <w:rtl w:val="0"/>
        </w:rPr>
        <w:t xml:space="preserve"> (37%), </w:t>
      </w:r>
      <w:r w:rsidDel="00000000" w:rsidR="00000000" w:rsidRPr="00000000">
        <w:rPr>
          <w:rFonts w:ascii="Open Sans" w:cs="Open Sans" w:eastAsia="Open Sans" w:hAnsi="Open Sans"/>
          <w:b w:val="1"/>
          <w:rtl w:val="0"/>
        </w:rPr>
        <w:t xml:space="preserve">que disponga de servicios cerca</w:t>
      </w:r>
      <w:r w:rsidDel="00000000" w:rsidR="00000000" w:rsidRPr="00000000">
        <w:rPr>
          <w:rFonts w:ascii="Open Sans" w:cs="Open Sans" w:eastAsia="Open Sans" w:hAnsi="Open Sans"/>
          <w:rtl w:val="0"/>
        </w:rPr>
        <w:t xml:space="preserve"> (31%) o que </w:t>
      </w:r>
      <w:r w:rsidDel="00000000" w:rsidR="00000000" w:rsidRPr="00000000">
        <w:rPr>
          <w:rFonts w:ascii="Open Sans" w:cs="Open Sans" w:eastAsia="Open Sans" w:hAnsi="Open Sans"/>
          <w:b w:val="1"/>
          <w:rtl w:val="0"/>
        </w:rPr>
        <w:t xml:space="preserve">la vivienda se encuentre en el centro del lugar de trabajo o estudios</w:t>
      </w:r>
      <w:r w:rsidDel="00000000" w:rsidR="00000000" w:rsidRPr="00000000">
        <w:rPr>
          <w:rFonts w:ascii="Open Sans" w:cs="Open Sans" w:eastAsia="Open Sans" w:hAnsi="Open Sans"/>
          <w:rtl w:val="0"/>
        </w:rPr>
        <w:t xml:space="preserve"> (28%).</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Pr>
        <w:drawing>
          <wp:inline distB="0" distT="0" distL="0" distR="0">
            <wp:extent cx="5881472" cy="3528105"/>
            <wp:effectExtent b="0" l="0" r="0" t="0"/>
            <wp:docPr descr="Texto&#10;&#10;El contenido generado por IA puede ser incorrecto." id="2066816630" name="image3.jpg"/>
            <a:graphic>
              <a:graphicData uri="http://schemas.openxmlformats.org/drawingml/2006/picture">
                <pic:pic>
                  <pic:nvPicPr>
                    <pic:cNvPr descr="Texto&#10;&#10;El contenido generado por IA puede ser incorrecto." id="0" name="image3.jpg"/>
                    <pic:cNvPicPr preferRelativeResize="0"/>
                  </pic:nvPicPr>
                  <pic:blipFill>
                    <a:blip r:embed="rId10"/>
                    <a:srcRect b="0" l="0" r="0" t="0"/>
                    <a:stretch>
                      <a:fillRect/>
                    </a:stretch>
                  </pic:blipFill>
                  <pic:spPr>
                    <a:xfrm>
                      <a:off x="0" y="0"/>
                      <a:ext cx="5881472" cy="352810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jc w:val="both"/>
        <w:rPr>
          <w:rFonts w:ascii="Open Sans Light" w:cs="Open Sans Light" w:eastAsia="Open Sans Light" w:hAnsi="Open Sans Light"/>
          <w:b w:val="1"/>
          <w:color w:val="303ab2"/>
          <w:sz w:val="28"/>
          <w:szCs w:val="28"/>
        </w:rPr>
      </w:pPr>
      <w:r w:rsidDel="00000000" w:rsidR="00000000" w:rsidRPr="00000000">
        <w:rPr>
          <w:rFonts w:ascii="Open Sans Light" w:cs="Open Sans Light" w:eastAsia="Open Sans Light" w:hAnsi="Open Sans Light"/>
          <w:b w:val="1"/>
          <w:color w:val="303ab2"/>
          <w:sz w:val="28"/>
          <w:szCs w:val="28"/>
          <w:rtl w:val="0"/>
        </w:rPr>
        <w:t xml:space="preserve">Un paisaje nuevo: un 82% busca en una localidad distinta a la que reside</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Por lo general, la demanda de una segunda vivienda suele tener como objetivo buscar un entorno distinto al de la residencia habitual. De este modo, </w:t>
      </w:r>
      <w:r w:rsidDel="00000000" w:rsidR="00000000" w:rsidRPr="00000000">
        <w:rPr>
          <w:rFonts w:ascii="Open Sans" w:cs="Open Sans" w:eastAsia="Open Sans" w:hAnsi="Open Sans"/>
          <w:b w:val="1"/>
          <w:rtl w:val="0"/>
        </w:rPr>
        <w:t xml:space="preserve">en las preferencias tanto de compradores como de inquilinos son mayoría los que optan por inmuebles situados en otra localidad diferente a la que se reside</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Así, entre quienes efectivamente han adquirido una segunda residencia, </w:t>
      </w:r>
      <w:r w:rsidDel="00000000" w:rsidR="00000000" w:rsidRPr="00000000">
        <w:rPr>
          <w:rFonts w:ascii="Open Sans" w:cs="Open Sans" w:eastAsia="Open Sans" w:hAnsi="Open Sans"/>
          <w:b w:val="1"/>
          <w:rtl w:val="0"/>
        </w:rPr>
        <w:t xml:space="preserve">el 82% lo ha hecho en una localidad distinta de donde vive habitualmente.</w:t>
      </w:r>
      <w:r w:rsidDel="00000000" w:rsidR="00000000" w:rsidRPr="00000000">
        <w:rPr>
          <w:rFonts w:ascii="Open Sans" w:cs="Open Sans" w:eastAsia="Open Sans" w:hAnsi="Open Sans"/>
          <w:rtl w:val="0"/>
        </w:rPr>
        <w:t xml:space="preserve"> Si desglosamos ese porcentaje, descubrimos que hay un 35% que lo hace en una provincia distinta. Son cifras levemente superiores a las de 2024.</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En el caso de los inquilinos, </w:t>
      </w:r>
      <w:r w:rsidDel="00000000" w:rsidR="00000000" w:rsidRPr="00000000">
        <w:rPr>
          <w:rFonts w:ascii="Open Sans" w:cs="Open Sans" w:eastAsia="Open Sans" w:hAnsi="Open Sans"/>
          <w:b w:val="1"/>
          <w:rtl w:val="0"/>
        </w:rPr>
        <w:t xml:space="preserve">son el 64% los que efectivamente han alquilado segunda residencia en otra localidad distinta a la habitual</w:t>
      </w:r>
      <w:r w:rsidDel="00000000" w:rsidR="00000000" w:rsidRPr="00000000">
        <w:rPr>
          <w:rFonts w:ascii="Open Sans" w:cs="Open Sans" w:eastAsia="Open Sans" w:hAnsi="Open Sans"/>
          <w:rtl w:val="0"/>
        </w:rPr>
        <w:t xml:space="preserve">. Los que cambian de provincia representan un 23%. En este caso, al contrario que ocurre con los compradores, las cifras disminuyen respecto a las de un año antes, cuando fueron el 78 % y el 28 %, respectivamente.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Pr>
        <w:drawing>
          <wp:inline distB="0" distT="0" distL="0" distR="0">
            <wp:extent cx="5772149" cy="3981078"/>
            <wp:effectExtent b="0" l="0" r="0" t="0"/>
            <wp:docPr descr="Interfaz de usuario gráfica&#10;&#10;El contenido generado por IA puede ser incorrecto." id="2066816628" name="image2.jpg"/>
            <a:graphic>
              <a:graphicData uri="http://schemas.openxmlformats.org/drawingml/2006/picture">
                <pic:pic>
                  <pic:nvPicPr>
                    <pic:cNvPr descr="Interfaz de usuario gráfica&#10;&#10;El contenido generado por IA puede ser incorrecto." id="0" name="image2.jpg"/>
                    <pic:cNvPicPr preferRelativeResize="0"/>
                  </pic:nvPicPr>
                  <pic:blipFill>
                    <a:blip r:embed="rId11"/>
                    <a:srcRect b="0" l="0" r="0" t="0"/>
                    <a:stretch>
                      <a:fillRect/>
                    </a:stretch>
                  </pic:blipFill>
                  <pic:spPr>
                    <a:xfrm>
                      <a:off x="0" y="0"/>
                      <a:ext cx="5772149" cy="3981078"/>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7">
      <w:pPr>
        <w:spacing w:line="276" w:lineRule="auto"/>
        <w:jc w:val="right"/>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Sobre Fotocasa</w:t>
      </w:r>
    </w:p>
    <w:p w:rsidR="00000000" w:rsidDel="00000000" w:rsidP="00000000" w:rsidRDefault="00000000" w:rsidRPr="00000000" w14:paraId="00000028">
      <w:pPr>
        <w:shd w:fill="ffffff" w:val="clear"/>
        <w:spacing w:after="280" w:before="280"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Portal inmobiliario que cuenta con inmuebles de segunda mano, promociones de obra nueva y viviendas de alquiler. Cada mes genera un tráfico de 34 millones de visitas (75% a través de dispositivos móviles). Mensualmente elabora el </w:t>
      </w:r>
      <w:hyperlink r:id="rId12">
        <w:r w:rsidDel="00000000" w:rsidR="00000000" w:rsidRPr="00000000">
          <w:rPr>
            <w:rFonts w:ascii="Open Sans" w:cs="Open Sans" w:eastAsia="Open Sans" w:hAnsi="Open Sans"/>
            <w:color w:val="0000ff"/>
            <w:sz w:val="22"/>
            <w:szCs w:val="22"/>
            <w:u w:val="single"/>
            <w:rtl w:val="0"/>
          </w:rPr>
          <w:t xml:space="preserve">índice inmobiliario Fotocasa</w:t>
        </w:r>
      </w:hyperlink>
      <w:r w:rsidDel="00000000" w:rsidR="00000000" w:rsidRPr="00000000">
        <w:rPr>
          <w:rFonts w:ascii="Open Sans" w:cs="Open Sans" w:eastAsia="Open Sans" w:hAnsi="Open Sans"/>
          <w:sz w:val="22"/>
          <w:szCs w:val="22"/>
          <w:rtl w:val="0"/>
        </w:rPr>
        <w:t xml:space="preserve">, un informe de referencia sobre la evolución del precio medio de la vivienda en España, tanto en venta como en alquiler. </w:t>
      </w:r>
    </w:p>
    <w:p w:rsidR="00000000" w:rsidDel="00000000" w:rsidP="00000000" w:rsidRDefault="00000000" w:rsidRPr="00000000" w14:paraId="00000029">
      <w:pPr>
        <w:shd w:fill="ffffff" w:val="clear"/>
        <w:spacing w:after="280" w:before="280"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Toda nuestra información la puedes encontrar en nuestra </w:t>
      </w:r>
      <w:hyperlink r:id="rId13">
        <w:r w:rsidDel="00000000" w:rsidR="00000000" w:rsidRPr="00000000">
          <w:rPr>
            <w:rFonts w:ascii="Open Sans" w:cs="Open Sans" w:eastAsia="Open Sans" w:hAnsi="Open Sans"/>
            <w:color w:val="0000ff"/>
            <w:sz w:val="22"/>
            <w:szCs w:val="22"/>
            <w:u w:val="single"/>
            <w:rtl w:val="0"/>
          </w:rPr>
          <w:t xml:space="preserve">Sala de Prensa</w:t>
        </w:r>
      </w:hyperlink>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02A">
      <w:pPr>
        <w:shd w:fill="ffffff" w:val="clear"/>
        <w:spacing w:after="280" w:before="280" w:line="276" w:lineRule="auto"/>
        <w:jc w:val="both"/>
        <w:rPr>
          <w:rFonts w:ascii="Open Sans" w:cs="Open Sans" w:eastAsia="Open Sans" w:hAnsi="Open Sans"/>
          <w:sz w:val="22"/>
          <w:szCs w:val="22"/>
        </w:rPr>
      </w:pPr>
      <w:bookmarkStart w:colFirst="0" w:colLast="0" w:name="_heading=h.2s8eyo1" w:id="0"/>
      <w:bookmarkEnd w:id="0"/>
      <w:hyperlink r:id="rId14">
        <w:r w:rsidDel="00000000" w:rsidR="00000000" w:rsidRPr="00000000">
          <w:rPr>
            <w:rFonts w:ascii="Open Sans" w:cs="Open Sans" w:eastAsia="Open Sans" w:hAnsi="Open Sans"/>
            <w:color w:val="0000ff"/>
            <w:sz w:val="22"/>
            <w:szCs w:val="22"/>
            <w:u w:val="single"/>
            <w:rtl w:val="0"/>
          </w:rPr>
          <w:t xml:space="preserve">Más información sobre Fotocasa</w:t>
        </w:r>
      </w:hyperlink>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02B">
      <w:pPr>
        <w:spacing w:line="276" w:lineRule="auto"/>
        <w:jc w:val="right"/>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Sobre Adevinta</w:t>
      </w:r>
    </w:p>
    <w:p w:rsidR="00000000" w:rsidDel="00000000" w:rsidP="00000000" w:rsidRDefault="00000000" w:rsidRPr="00000000" w14:paraId="0000002C">
      <w:pPr>
        <w:spacing w:after="200" w:before="143" w:lineRule="auto"/>
        <w:jc w:val="both"/>
        <w:rPr>
          <w:rFonts w:ascii="Open Sans" w:cs="Open Sans" w:eastAsia="Open Sans" w:hAnsi="Open Sans"/>
        </w:rPr>
      </w:pPr>
      <w:r w:rsidDel="00000000" w:rsidR="00000000" w:rsidRPr="00000000">
        <w:rPr>
          <w:rFonts w:ascii="Open Sans" w:cs="Open Sans" w:eastAsia="Open Sans" w:hAnsi="Open Sans"/>
          <w:sz w:val="22"/>
          <w:szCs w:val="22"/>
          <w:rtl w:val="0"/>
        </w:rPr>
        <w:t xml:space="preserve">Adevinta es un grupo de empresas líder en marketplaces digitales y una de las principales empresas del sector tecnológico del país, con más de 18 millones de usuarios únicos al mes en sus plataformas de los sectores inmobiliario (</w:t>
      </w:r>
      <w:hyperlink r:id="rId15">
        <w:r w:rsidDel="00000000" w:rsidR="00000000" w:rsidRPr="00000000">
          <w:rPr>
            <w:rFonts w:ascii="Open Sans" w:cs="Open Sans" w:eastAsia="Open Sans" w:hAnsi="Open Sans"/>
            <w:color w:val="1155cc"/>
            <w:sz w:val="22"/>
            <w:szCs w:val="22"/>
            <w:u w:val="single"/>
            <w:rtl w:val="0"/>
          </w:rPr>
          <w:t xml:space="preserve">Fotocasa</w:t>
        </w:r>
      </w:hyperlink>
      <w:r w:rsidDel="00000000" w:rsidR="00000000" w:rsidRPr="00000000">
        <w:rPr>
          <w:rFonts w:ascii="Open Sans" w:cs="Open Sans" w:eastAsia="Open Sans" w:hAnsi="Open Sans"/>
          <w:color w:val="231f20"/>
          <w:sz w:val="22"/>
          <w:szCs w:val="22"/>
          <w:rtl w:val="0"/>
        </w:rPr>
        <w:t xml:space="preserve"> </w:t>
      </w:r>
      <w:r w:rsidDel="00000000" w:rsidR="00000000" w:rsidRPr="00000000">
        <w:rPr>
          <w:rFonts w:ascii="Open Sans" w:cs="Open Sans" w:eastAsia="Open Sans" w:hAnsi="Open Sans"/>
          <w:sz w:val="22"/>
          <w:szCs w:val="22"/>
          <w:rtl w:val="0"/>
        </w:rPr>
        <w:t xml:space="preserve">y</w:t>
      </w:r>
      <w:r w:rsidDel="00000000" w:rsidR="00000000" w:rsidRPr="00000000">
        <w:rPr>
          <w:rFonts w:ascii="Open Sans" w:cs="Open Sans" w:eastAsia="Open Sans" w:hAnsi="Open Sans"/>
          <w:color w:val="231f20"/>
          <w:sz w:val="22"/>
          <w:szCs w:val="22"/>
          <w:rtl w:val="0"/>
        </w:rPr>
        <w:t xml:space="preserve"> </w:t>
      </w:r>
      <w:hyperlink r:id="rId16">
        <w:r w:rsidDel="00000000" w:rsidR="00000000" w:rsidRPr="00000000">
          <w:rPr>
            <w:rFonts w:ascii="Open Sans" w:cs="Open Sans" w:eastAsia="Open Sans" w:hAnsi="Open Sans"/>
            <w:color w:val="1155cc"/>
            <w:sz w:val="22"/>
            <w:szCs w:val="22"/>
            <w:u w:val="single"/>
            <w:rtl w:val="0"/>
          </w:rPr>
          <w:t xml:space="preserve">habitaclia</w:t>
        </w:r>
      </w:hyperlink>
      <w:r w:rsidDel="00000000" w:rsidR="00000000" w:rsidRPr="00000000">
        <w:rPr>
          <w:rFonts w:ascii="Open Sans" w:cs="Open Sans" w:eastAsia="Open Sans" w:hAnsi="Open Sans"/>
          <w:sz w:val="22"/>
          <w:szCs w:val="22"/>
          <w:rtl w:val="0"/>
        </w:rPr>
        <w:t xml:space="preserve">), empleo (</w:t>
      </w:r>
      <w:hyperlink r:id="rId17">
        <w:r w:rsidDel="00000000" w:rsidR="00000000" w:rsidRPr="00000000">
          <w:rPr>
            <w:rFonts w:ascii="Open Sans" w:cs="Open Sans" w:eastAsia="Open Sans" w:hAnsi="Open Sans"/>
            <w:color w:val="1155cc"/>
            <w:sz w:val="22"/>
            <w:szCs w:val="22"/>
            <w:u w:val="single"/>
            <w:rtl w:val="0"/>
          </w:rPr>
          <w:t xml:space="preserve">InfoJobs</w:t>
        </w:r>
      </w:hyperlink>
      <w:r w:rsidDel="00000000" w:rsidR="00000000" w:rsidRPr="00000000">
        <w:rPr>
          <w:rFonts w:ascii="Open Sans" w:cs="Open Sans" w:eastAsia="Open Sans" w:hAnsi="Open Sans"/>
          <w:sz w:val="22"/>
          <w:szCs w:val="22"/>
          <w:rtl w:val="0"/>
        </w:rPr>
        <w:t xml:space="preserve">), motor (</w:t>
      </w:r>
      <w:hyperlink r:id="rId18">
        <w:r w:rsidDel="00000000" w:rsidR="00000000" w:rsidRPr="00000000">
          <w:rPr>
            <w:rFonts w:ascii="Open Sans" w:cs="Open Sans" w:eastAsia="Open Sans" w:hAnsi="Open Sans"/>
            <w:color w:val="1155cc"/>
            <w:sz w:val="22"/>
            <w:szCs w:val="22"/>
            <w:u w:val="single"/>
            <w:rtl w:val="0"/>
          </w:rPr>
          <w:t xml:space="preserve">coches.net</w:t>
        </w:r>
      </w:hyperlink>
      <w:r w:rsidDel="00000000" w:rsidR="00000000" w:rsidRPr="00000000">
        <w:rPr>
          <w:rFonts w:ascii="Open Sans" w:cs="Open Sans" w:eastAsia="Open Sans" w:hAnsi="Open Sans"/>
          <w:color w:val="231f20"/>
          <w:sz w:val="22"/>
          <w:szCs w:val="22"/>
          <w:rtl w:val="0"/>
        </w:rPr>
        <w:t xml:space="preserve"> </w:t>
      </w:r>
      <w:r w:rsidDel="00000000" w:rsidR="00000000" w:rsidRPr="00000000">
        <w:rPr>
          <w:rFonts w:ascii="Open Sans" w:cs="Open Sans" w:eastAsia="Open Sans" w:hAnsi="Open Sans"/>
          <w:sz w:val="22"/>
          <w:szCs w:val="22"/>
          <w:rtl w:val="0"/>
        </w:rPr>
        <w:t xml:space="preserve">y</w:t>
      </w:r>
      <w:r w:rsidDel="00000000" w:rsidR="00000000" w:rsidRPr="00000000">
        <w:rPr>
          <w:rFonts w:ascii="Open Sans" w:cs="Open Sans" w:eastAsia="Open Sans" w:hAnsi="Open Sans"/>
          <w:color w:val="231f20"/>
          <w:sz w:val="22"/>
          <w:szCs w:val="22"/>
          <w:rtl w:val="0"/>
        </w:rPr>
        <w:t xml:space="preserve"> </w:t>
      </w:r>
      <w:hyperlink r:id="rId19">
        <w:r w:rsidDel="00000000" w:rsidR="00000000" w:rsidRPr="00000000">
          <w:rPr>
            <w:rFonts w:ascii="Open Sans" w:cs="Open Sans" w:eastAsia="Open Sans" w:hAnsi="Open Sans"/>
            <w:color w:val="1155cc"/>
            <w:sz w:val="22"/>
            <w:szCs w:val="22"/>
            <w:u w:val="single"/>
            <w:rtl w:val="0"/>
          </w:rPr>
          <w:t xml:space="preserve">motos.net</w:t>
        </w:r>
      </w:hyperlink>
      <w:r w:rsidDel="00000000" w:rsidR="00000000" w:rsidRPr="00000000">
        <w:rPr>
          <w:rFonts w:ascii="Open Sans" w:cs="Open Sans" w:eastAsia="Open Sans" w:hAnsi="Open Sans"/>
          <w:sz w:val="22"/>
          <w:szCs w:val="22"/>
          <w:rtl w:val="0"/>
        </w:rPr>
        <w:t xml:space="preserve">) y compraventa de artículos de segunda mano (</w:t>
      </w:r>
      <w:hyperlink r:id="rId20">
        <w:r w:rsidDel="00000000" w:rsidR="00000000" w:rsidRPr="00000000">
          <w:rPr>
            <w:rFonts w:ascii="Open Sans" w:cs="Open Sans" w:eastAsia="Open Sans" w:hAnsi="Open Sans"/>
            <w:color w:val="1155cc"/>
            <w:sz w:val="22"/>
            <w:szCs w:val="22"/>
            <w:u w:val="single"/>
            <w:rtl w:val="0"/>
          </w:rPr>
          <w:t xml:space="preserve">Milanuncios</w:t>
        </w:r>
      </w:hyperlink>
      <w:r w:rsidDel="00000000" w:rsidR="00000000" w:rsidRPr="00000000">
        <w:rPr>
          <w:rFonts w:ascii="Open Sans" w:cs="Open Sans" w:eastAsia="Open Sans" w:hAnsi="Open Sans"/>
          <w:sz w:val="22"/>
          <w:szCs w:val="22"/>
          <w:rtl w:val="0"/>
        </w:rPr>
        <w:t xml:space="preserve">).</w:t>
      </w:r>
      <w:r w:rsidDel="00000000" w:rsidR="00000000" w:rsidRPr="00000000">
        <w:rPr>
          <w:rtl w:val="0"/>
        </w:rPr>
      </w:r>
    </w:p>
    <w:p w:rsidR="00000000" w:rsidDel="00000000" w:rsidP="00000000" w:rsidRDefault="00000000" w:rsidRPr="00000000" w14:paraId="0000002D">
      <w:pPr>
        <w:spacing w:after="200" w:before="143"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Los negocios de Adevinta han evolucionado del papel al online a lo largo de más de 40 años de trayectoria en España, convirtiéndose en referentes de Internet. Con sede en Barcelona, la compañía cuenta con una plantilla de más de 1.000 personas comprometidas con fomentar un cambio positivo en el mundo a través de tecnología innovadora, otorgando una nueva oportunidad a quienes la están buscando y dando a las cosas una segunda vida.</w:t>
      </w:r>
    </w:p>
    <w:p w:rsidR="00000000" w:rsidDel="00000000" w:rsidP="00000000" w:rsidRDefault="00000000" w:rsidRPr="00000000" w14:paraId="0000002E">
      <w:pPr>
        <w:spacing w:after="200" w:before="143"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Adevinta tiene presencia mundial en 10 países. El conjunto de sus plataformas locales recibe un promedio de 2.500 millones de visitas cada mes. </w:t>
      </w:r>
    </w:p>
    <w:p w:rsidR="00000000" w:rsidDel="00000000" w:rsidP="00000000" w:rsidRDefault="00000000" w:rsidRPr="00000000" w14:paraId="0000002F">
      <w:pPr>
        <w:spacing w:after="200" w:before="143" w:lineRule="auto"/>
        <w:jc w:val="both"/>
        <w:rPr/>
      </w:pPr>
      <w:r w:rsidDel="00000000" w:rsidR="00000000" w:rsidRPr="00000000">
        <w:rPr>
          <w:rFonts w:ascii="Open Sans" w:cs="Open Sans" w:eastAsia="Open Sans" w:hAnsi="Open Sans"/>
          <w:sz w:val="22"/>
          <w:szCs w:val="22"/>
          <w:rtl w:val="0"/>
        </w:rPr>
        <w:t xml:space="preserve">Más información en </w:t>
      </w:r>
      <w:hyperlink r:id="rId21">
        <w:r w:rsidDel="00000000" w:rsidR="00000000" w:rsidRPr="00000000">
          <w:rPr>
            <w:rFonts w:ascii="Open Sans" w:cs="Open Sans" w:eastAsia="Open Sans" w:hAnsi="Open Sans"/>
            <w:color w:val="1155cc"/>
            <w:sz w:val="22"/>
            <w:szCs w:val="22"/>
            <w:u w:val="single"/>
            <w:rtl w:val="0"/>
          </w:rPr>
          <w:t xml:space="preserve">adevinta.es</w:t>
        </w:r>
      </w:hyperlink>
      <w:r w:rsidDel="00000000" w:rsidR="00000000" w:rsidRPr="00000000">
        <w:rPr>
          <w:rtl w:val="0"/>
        </w:rPr>
      </w:r>
    </w:p>
    <w:p w:rsidR="00000000" w:rsidDel="00000000" w:rsidP="00000000" w:rsidRDefault="00000000" w:rsidRPr="00000000" w14:paraId="00000030">
      <w:pPr>
        <w:spacing w:after="200" w:before="143"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1">
      <w:pPr>
        <w:spacing w:line="276" w:lineRule="auto"/>
        <w:rPr>
          <w:rFonts w:ascii="Open Sans Light" w:cs="Open Sans Light" w:eastAsia="Open Sans Light" w:hAnsi="Open Sans Light"/>
          <w:b w:val="1"/>
          <w:color w:val="303ab2"/>
          <w:sz w:val="22"/>
          <w:szCs w:val="22"/>
        </w:rPr>
      </w:pPr>
      <w:r w:rsidDel="00000000" w:rsidR="00000000" w:rsidRPr="00000000">
        <w:rPr>
          <w:rFonts w:ascii="Open Sans Light" w:cs="Open Sans Light" w:eastAsia="Open Sans Light" w:hAnsi="Open Sans Light"/>
          <w:b w:val="1"/>
          <w:color w:val="303ab2"/>
          <w:sz w:val="22"/>
          <w:szCs w:val="22"/>
          <w:rtl w:val="0"/>
        </w:rPr>
        <w:t xml:space="preserve">Departamento Comunicación Fotocasa</w:t>
      </w:r>
    </w:p>
    <w:p w:rsidR="00000000" w:rsidDel="00000000" w:rsidP="00000000" w:rsidRDefault="00000000" w:rsidRPr="00000000" w14:paraId="00000032">
      <w:pPr>
        <w:shd w:fill="ffffff" w:val="clear"/>
        <w:spacing w:line="276" w:lineRule="auto"/>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Anaïs López</w:t>
      </w:r>
    </w:p>
    <w:p w:rsidR="00000000" w:rsidDel="00000000" w:rsidP="00000000" w:rsidRDefault="00000000" w:rsidRPr="00000000" w14:paraId="00000033">
      <w:pPr>
        <w:shd w:fill="ffffff" w:val="clear"/>
        <w:spacing w:line="276" w:lineRule="auto"/>
        <w:rPr>
          <w:rFonts w:ascii="Open Sans" w:cs="Open Sans" w:eastAsia="Open Sans" w:hAnsi="Open Sans"/>
          <w:color w:val="0000ff"/>
          <w:sz w:val="22"/>
          <w:szCs w:val="22"/>
          <w:u w:val="single"/>
        </w:rPr>
      </w:pPr>
      <w:hyperlink r:id="rId22">
        <w:r w:rsidDel="00000000" w:rsidR="00000000" w:rsidRPr="00000000">
          <w:rPr>
            <w:rFonts w:ascii="Open Sans" w:cs="Open Sans" w:eastAsia="Open Sans" w:hAnsi="Open Sans"/>
            <w:color w:val="0000ff"/>
            <w:sz w:val="22"/>
            <w:szCs w:val="22"/>
            <w:u w:val="single"/>
            <w:rtl w:val="0"/>
          </w:rPr>
          <w:t xml:space="preserve">comunicacion@fotocasa.es</w:t>
        </w:r>
      </w:hyperlink>
      <w:r w:rsidDel="00000000" w:rsidR="00000000" w:rsidRPr="00000000">
        <w:rPr>
          <w:rtl w:val="0"/>
        </w:rPr>
      </w:r>
    </w:p>
    <w:p w:rsidR="00000000" w:rsidDel="00000000" w:rsidP="00000000" w:rsidRDefault="00000000" w:rsidRPr="00000000" w14:paraId="00000034">
      <w:pPr>
        <w:shd w:fill="ffffff" w:val="clear"/>
        <w:spacing w:line="276" w:lineRule="auto"/>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620 66 29 26</w:t>
      </w:r>
    </w:p>
    <w:sectPr>
      <w:footerReference r:id="rId23" w:type="default"/>
      <w:pgSz w:h="16840" w:w="11900" w:orient="portrait"/>
      <w:pgMar w:bottom="1417" w:top="1417" w:left="1701" w:right="112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ational"/>
  <w:font w:name="Noto Sans Symbols">
    <w:embedRegular w:fontKey="{00000000-0000-0000-0000-000000000000}" r:id="rId1" w:subsetted="0"/>
    <w:embedBold w:fontKey="{00000000-0000-0000-0000-000000000000}" r:id="rId2" w:subsetted="0"/>
  </w:font>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-1068038</wp:posOffset>
          </wp:positionH>
          <wp:positionV relativeFrom="paragraph">
            <wp:posOffset>174608</wp:posOffset>
          </wp:positionV>
          <wp:extent cx="7670550" cy="451315"/>
          <wp:effectExtent b="0" l="0" r="0" t="0"/>
          <wp:wrapNone/>
          <wp:docPr id="20668166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70550" cy="45131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table" w:styleId="TableNormal23" w:customStyle="1">
    <w:name w:val="Table Normal23"/>
    <w:tblPr>
      <w:tblCellMar>
        <w:top w:w="0.0" w:type="dxa"/>
        <w:left w:w="0.0" w:type="dxa"/>
        <w:bottom w:w="0.0" w:type="dxa"/>
        <w:right w:w="0.0" w:type="dxa"/>
      </w:tblCellMar>
    </w:tblPr>
  </w:style>
  <w:style w:type="table" w:styleId="TableNormal22" w:customStyle="1">
    <w:name w:val="Table Normal22"/>
    <w:tblPr>
      <w:tblCellMar>
        <w:top w:w="0.0" w:type="dxa"/>
        <w:left w:w="0.0" w:type="dxa"/>
        <w:bottom w:w="0.0" w:type="dxa"/>
        <w:right w:w="0.0" w:type="dxa"/>
      </w:tblCellMar>
    </w:tblPr>
  </w:style>
  <w:style w:type="table" w:styleId="TableNormal21" w:customStyle="1">
    <w:name w:val="Table Normal21"/>
    <w:tblPr>
      <w:tblCellMar>
        <w:top w:w="0.0" w:type="dxa"/>
        <w:left w:w="0.0" w:type="dxa"/>
        <w:bottom w:w="0.0" w:type="dxa"/>
        <w:right w:w="0.0" w:type="dxa"/>
      </w:tblCellMar>
    </w:tblPr>
  </w:style>
  <w:style w:type="table" w:styleId="TableNormal20" w:customStyle="1">
    <w:name w:val="Table Normal20"/>
    <w:tblPr>
      <w:tblCellMar>
        <w:top w:w="0.0" w:type="dxa"/>
        <w:left w:w="0.0" w:type="dxa"/>
        <w:bottom w:w="0.0" w:type="dxa"/>
        <w:right w:w="0.0" w:type="dxa"/>
      </w:tblCellMar>
    </w:tblPr>
  </w:style>
  <w:style w:type="table" w:styleId="TableNormal19" w:customStyle="1">
    <w:name w:val="Table Normal19"/>
    <w:tblPr>
      <w:tblCellMar>
        <w:top w:w="0.0" w:type="dxa"/>
        <w:left w:w="0.0" w:type="dxa"/>
        <w:bottom w:w="0.0" w:type="dxa"/>
        <w:right w:w="0.0" w:type="dxa"/>
      </w:tblCellMar>
    </w:tblPr>
  </w:style>
  <w:style w:type="table" w:styleId="TableNormal18" w:customStyle="1">
    <w:name w:val="Table Normal18"/>
    <w:tblPr>
      <w:tblCellMar>
        <w:top w:w="0.0" w:type="dxa"/>
        <w:left w:w="0.0" w:type="dxa"/>
        <w:bottom w:w="0.0" w:type="dxa"/>
        <w:right w:w="0.0" w:type="dxa"/>
      </w:tblCellMar>
    </w:tblPr>
  </w:style>
  <w:style w:type="table" w:styleId="TableNormal17" w:customStyle="1">
    <w:name w:val="Table Normal17"/>
    <w:tblPr>
      <w:tblCellMar>
        <w:top w:w="0.0" w:type="dxa"/>
        <w:left w:w="0.0" w:type="dxa"/>
        <w:bottom w:w="0.0" w:type="dxa"/>
        <w:right w:w="0.0" w:type="dxa"/>
      </w:tblCellMar>
    </w:tblPr>
  </w:style>
  <w:style w:type="table" w:styleId="TableNormal16" w:customStyle="1">
    <w:name w:val="Table Normal16"/>
    <w:tblPr>
      <w:tblCellMar>
        <w:top w:w="0.0" w:type="dxa"/>
        <w:left w:w="0.0" w:type="dxa"/>
        <w:bottom w:w="0.0" w:type="dxa"/>
        <w:right w:w="0.0" w:type="dxa"/>
      </w:tblCellMar>
    </w:tblPr>
  </w:style>
  <w:style w:type="table" w:styleId="TableNormal15" w:customStyle="1">
    <w:name w:val="Table Normal15"/>
    <w:tblPr>
      <w:tblCellMar>
        <w:top w:w="0.0" w:type="dxa"/>
        <w:left w:w="0.0" w:type="dxa"/>
        <w:bottom w:w="0.0" w:type="dxa"/>
        <w:right w:w="0.0" w:type="dxa"/>
      </w:tblCellMar>
    </w:tblPr>
  </w:style>
  <w:style w:type="table" w:styleId="TableNormal14" w:customStyle="1">
    <w:name w:val="Table Normal14"/>
    <w:tblPr>
      <w:tblCellMar>
        <w:top w:w="0.0" w:type="dxa"/>
        <w:left w:w="0.0" w:type="dxa"/>
        <w:bottom w:w="0.0" w:type="dxa"/>
        <w:right w:w="0.0" w:type="dxa"/>
      </w:tblCellMar>
    </w:tblPr>
  </w:style>
  <w:style w:type="table" w:styleId="TableNormal13" w:customStyle="1">
    <w:name w:val="Table Normal13"/>
    <w:tblPr>
      <w:tblCellMar>
        <w:top w:w="0.0" w:type="dxa"/>
        <w:left w:w="0.0" w:type="dxa"/>
        <w:bottom w:w="0.0" w:type="dxa"/>
        <w:right w:w="0.0" w:type="dxa"/>
      </w:tblCellMar>
    </w:tblPr>
  </w:style>
  <w:style w:type="table" w:styleId="TableNormal12" w:customStyle="1">
    <w:name w:val="Table Normal12"/>
    <w:tblPr>
      <w:tblCellMar>
        <w:top w:w="0.0" w:type="dxa"/>
        <w:left w:w="0.0" w:type="dxa"/>
        <w:bottom w:w="0.0" w:type="dxa"/>
        <w:right w:w="0.0" w:type="dxa"/>
      </w:tblCellMar>
    </w:tblPr>
  </w:style>
  <w:style w:type="table" w:styleId="TableNormal11" w:customStyle="1">
    <w:name w:val="Table Normal11"/>
    <w:tblPr>
      <w:tblCellMar>
        <w:top w:w="0.0" w:type="dxa"/>
        <w:left w:w="0.0" w:type="dxa"/>
        <w:bottom w:w="0.0" w:type="dxa"/>
        <w:right w:w="0.0" w:type="dxa"/>
      </w:tblCellMar>
    </w:tblPr>
  </w:style>
  <w:style w:type="table" w:styleId="TableNormal100" w:customStyle="1">
    <w:name w:val="Table Normal10"/>
    <w:tblPr>
      <w:tblCellMar>
        <w:top w:w="0.0" w:type="dxa"/>
        <w:left w:w="0.0" w:type="dxa"/>
        <w:bottom w:w="0.0" w:type="dxa"/>
        <w:right w:w="0.0" w:type="dxa"/>
      </w:tblCellMar>
    </w:tblPr>
  </w:style>
  <w:style w:type="table" w:styleId="TableNormal9" w:customStyle="1">
    <w:name w:val="Table Normal9"/>
    <w:tblPr>
      <w:tblCellMar>
        <w:top w:w="0.0" w:type="dxa"/>
        <w:left w:w="0.0" w:type="dxa"/>
        <w:bottom w:w="0.0" w:type="dxa"/>
        <w:right w:w="0.0" w:type="dxa"/>
      </w:tblCellMar>
    </w:tblPr>
  </w:style>
  <w:style w:type="table" w:styleId="TableNormal8" w:customStyle="1">
    <w:name w:val="Table Normal8"/>
    <w:tblPr>
      <w:tblCellMar>
        <w:top w:w="0.0" w:type="dxa"/>
        <w:left w:w="0.0" w:type="dxa"/>
        <w:bottom w:w="0.0" w:type="dxa"/>
        <w:right w:w="0.0" w:type="dxa"/>
      </w:tblCellMar>
    </w:tblPr>
  </w:style>
  <w:style w:type="table" w:styleId="TableNormal7" w:customStyle="1">
    <w:name w:val="Table Normal7"/>
    <w:tblPr>
      <w:tblCellMar>
        <w:top w:w="0.0" w:type="dxa"/>
        <w:left w:w="0.0" w:type="dxa"/>
        <w:bottom w:w="0.0" w:type="dxa"/>
        <w:right w:w="0.0" w:type="dxa"/>
      </w:tblCellMar>
    </w:tblPr>
  </w:style>
  <w:style w:type="table" w:styleId="TableNormal6" w:customStyle="1">
    <w:name w:val="Table Normal6"/>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1a" w:customStyle="1">
    <w:name w:val="Table Normal1"/>
    <w:tblPr>
      <w:tblCellMar>
        <w:top w:w="0.0" w:type="dxa"/>
        <w:left w:w="0.0" w:type="dxa"/>
        <w:bottom w:w="0.0" w:type="dxa"/>
        <w:right w:w="0.0" w:type="dxa"/>
      </w:tblCellMar>
    </w:tblPr>
  </w:style>
  <w:style w:type="table" w:styleId="5" w:customStyle="1">
    <w:name w:val="5"/>
    <w:basedOn w:val="TableNormal1a"/>
    <w:tblPr>
      <w:tblStyleRowBandSize w:val="1"/>
      <w:tblStyleColBandSize w:val="1"/>
      <w:tblCellMar>
        <w:left w:w="115.0" w:type="dxa"/>
        <w:right w:w="115.0" w:type="dxa"/>
      </w:tblCellMar>
    </w:tblPr>
    <w:tcPr>
      <w:shd w:color="auto" w:fill="ededed"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a5a5a5"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a5a5a5"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a5a5a5"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a5a5a5" w:val="clear"/>
      </w:tcPr>
    </w:tblStylePr>
    <w:tblStylePr w:type="band1Vert">
      <w:tblPr/>
      <w:tcPr>
        <w:shd w:color="auto" w:fill="dbdbdb" w:val="clear"/>
      </w:tcPr>
    </w:tblStylePr>
    <w:tblStylePr w:type="band1Horz">
      <w:tblPr/>
      <w:tcPr>
        <w:shd w:color="auto" w:fill="dbdbdb" w:val="clear"/>
      </w:tcPr>
    </w:tblStylePr>
  </w:style>
  <w:style w:type="table" w:styleId="4" w:customStyle="1">
    <w:name w:val="4"/>
    <w:basedOn w:val="TableNormal1a"/>
    <w:tblPr>
      <w:tblStyleRowBandSize w:val="1"/>
      <w:tblStyleColBandSize w:val="1"/>
      <w:tblCellMar>
        <w:left w:w="115.0" w:type="dxa"/>
        <w:right w:w="115.0" w:type="dxa"/>
      </w:tblCellMar>
    </w:tblPr>
    <w:tcPr>
      <w:shd w:color="auto" w:fill="ededed"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a5a5a5"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a5a5a5"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a5a5a5"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a5a5a5" w:val="clear"/>
      </w:tcPr>
    </w:tblStylePr>
    <w:tblStylePr w:type="band1Vert">
      <w:tblPr/>
      <w:tcPr>
        <w:shd w:color="auto" w:fill="dbdbdb" w:val="clear"/>
      </w:tcPr>
    </w:tblStylePr>
    <w:tblStylePr w:type="band1Horz">
      <w:tblPr/>
      <w:tcPr>
        <w:shd w:color="auto" w:fill="dbdbdb" w:val="clear"/>
      </w:tcPr>
    </w:tblStylePr>
  </w:style>
  <w:style w:type="character" w:styleId="Hipervnculo">
    <w:name w:val="Hyperlink"/>
    <w:basedOn w:val="Fuentedeprrafopredeter"/>
    <w:uiPriority w:val="99"/>
    <w:unhideWhenUsed w:val="1"/>
    <w:rsid w:val="00FE7DB6"/>
    <w:rPr>
      <w:color w:val="0000ff" w:themeColor="hyperlink"/>
      <w:u w:val="single"/>
    </w:rPr>
  </w:style>
  <w:style w:type="character" w:styleId="Mencinsinresolver">
    <w:name w:val="Unresolved Mention"/>
    <w:basedOn w:val="Fuentedeprrafopredeter"/>
    <w:uiPriority w:val="99"/>
    <w:semiHidden w:val="1"/>
    <w:unhideWhenUsed w:val="1"/>
    <w:rsid w:val="00FE7DB6"/>
    <w:rPr>
      <w:color w:val="605e5c"/>
      <w:shd w:color="auto" w:fill="e1dfdd" w:val="clear"/>
    </w:rPr>
  </w:style>
  <w:style w:type="paragraph" w:styleId="NormalWeb">
    <w:name w:val="Normal (Web)"/>
    <w:basedOn w:val="Normal"/>
    <w:uiPriority w:val="99"/>
    <w:unhideWhenUsed w:val="1"/>
    <w:rsid w:val="003D48F5"/>
    <w:pPr>
      <w:spacing w:after="100" w:afterAutospacing="1" w:before="100" w:beforeAutospacing="1"/>
    </w:pPr>
    <w:rPr>
      <w:rFonts w:ascii="Times New Roman" w:cs="Times New Roman" w:eastAsia="Times New Roman" w:hAnsi="Times New Roman"/>
      <w:lang w:val="es-ES"/>
    </w:rPr>
  </w:style>
  <w:style w:type="paragraph" w:styleId="Textocomentario">
    <w:name w:val="annotation text"/>
    <w:basedOn w:val="Normal"/>
    <w:link w:val="TextocomentarioCar"/>
    <w:uiPriority w:val="99"/>
    <w:unhideWhenUsed w:val="1"/>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val="1"/>
    <w:unhideWhenUsed w:val="1"/>
    <w:rPr>
      <w:sz w:val="16"/>
      <w:szCs w:val="16"/>
    </w:rPr>
  </w:style>
  <w:style w:type="character" w:styleId="normaltextrun" w:customStyle="1">
    <w:name w:val="normaltextrun"/>
    <w:basedOn w:val="Fuentedeprrafopredeter"/>
    <w:rsid w:val="00A35D58"/>
  </w:style>
  <w:style w:type="table" w:styleId="Tablaconcuadrcula">
    <w:name w:val="Table Grid"/>
    <w:basedOn w:val="Tablanormal"/>
    <w:uiPriority w:val="39"/>
    <w:rsid w:val="00A35D58"/>
    <w:rPr>
      <w:rFonts w:asciiTheme="minorHAnsi" w:cstheme="minorBidi" w:eastAsiaTheme="minorHAnsi" w:hAnsiTheme="minorHAnsi"/>
      <w:kern w:val="2"/>
      <w:sz w:val="22"/>
      <w:szCs w:val="22"/>
      <w:lang w:eastAsia="en-US"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3" w:customStyle="1">
    <w:name w:val="3"/>
    <w:basedOn w:val="TableNormal4"/>
    <w:rPr>
      <w:rFonts w:ascii="Cambria" w:cs="Cambria" w:eastAsia="Cambria" w:hAnsi="Cambria"/>
      <w:sz w:val="22"/>
      <w:szCs w:val="22"/>
    </w:rPr>
    <w:tblPr>
      <w:tblStyleRowBandSize w:val="1"/>
      <w:tblStyleColBandSize w:val="1"/>
      <w:tblCellMar>
        <w:left w:w="108.0" w:type="dxa"/>
        <w:right w:w="108.0" w:type="dxa"/>
      </w:tblCellMar>
    </w:tblPr>
  </w:style>
  <w:style w:type="table" w:styleId="2" w:customStyle="1">
    <w:name w:val="2"/>
    <w:basedOn w:val="TableNormal4"/>
    <w:rPr>
      <w:rFonts w:ascii="Cambria" w:cs="Cambria" w:eastAsia="Cambria" w:hAnsi="Cambria"/>
      <w:sz w:val="22"/>
      <w:szCs w:val="22"/>
    </w:rPr>
    <w:tblPr>
      <w:tblStyleRowBandSize w:val="1"/>
      <w:tblStyleColBandSize w:val="1"/>
      <w:tblCellMar>
        <w:left w:w="108.0" w:type="dxa"/>
        <w:right w:w="108.0" w:type="dxa"/>
      </w:tblCellMar>
    </w:tblPr>
  </w:style>
  <w:style w:type="paragraph" w:styleId="Asuntodelcomentario">
    <w:name w:val="annotation subject"/>
    <w:basedOn w:val="Textocomentario"/>
    <w:next w:val="Textocomentario"/>
    <w:link w:val="AsuntodelcomentarioCar"/>
    <w:uiPriority w:val="99"/>
    <w:semiHidden w:val="1"/>
    <w:unhideWhenUsed w:val="1"/>
    <w:rsid w:val="00534008"/>
    <w:rPr>
      <w:b w:val="1"/>
      <w:bCs w:val="1"/>
    </w:rPr>
  </w:style>
  <w:style w:type="character" w:styleId="AsuntodelcomentarioCar" w:customStyle="1">
    <w:name w:val="Asunto del comentario Car"/>
    <w:basedOn w:val="TextocomentarioCar"/>
    <w:link w:val="Asuntodelcomentario"/>
    <w:uiPriority w:val="99"/>
    <w:semiHidden w:val="1"/>
    <w:rsid w:val="00534008"/>
    <w:rPr>
      <w:b w:val="1"/>
      <w:bCs w:val="1"/>
      <w:sz w:val="20"/>
      <w:szCs w:val="20"/>
    </w:rPr>
  </w:style>
  <w:style w:type="paragraph" w:styleId="Prrafodelista">
    <w:name w:val="List Paragraph"/>
    <w:basedOn w:val="Normal"/>
    <w:uiPriority w:val="34"/>
    <w:qFormat w:val="1"/>
    <w:rsid w:val="004C3974"/>
    <w:pPr>
      <w:ind w:left="720"/>
      <w:contextualSpacing w:val="1"/>
    </w:pPr>
  </w:style>
  <w:style w:type="character" w:styleId="Referenciaintensa">
    <w:name w:val="Intense Reference"/>
    <w:basedOn w:val="Fuentedeprrafopredeter"/>
    <w:uiPriority w:val="32"/>
    <w:qFormat w:val="1"/>
    <w:rsid w:val="00A775CB"/>
    <w:rPr>
      <w:b w:val="1"/>
      <w:bCs w:val="1"/>
      <w:smallCaps w:val="1"/>
      <w:color w:val="365f91" w:themeColor="accent1" w:themeShade="0000BF"/>
      <w:spacing w:val="5"/>
    </w:rPr>
  </w:style>
  <w:style w:type="table" w:styleId="1" w:customStyle="1">
    <w:name w:val="1"/>
    <w:basedOn w:val="TableNormal15"/>
    <w:tblPr>
      <w:tblStyleRowBandSize w:val="1"/>
      <w:tblStyleColBandSize w:val="1"/>
      <w:tblCellMar>
        <w:left w:w="108.0" w:type="dxa"/>
        <w:right w:w="108.0" w:type="dxa"/>
      </w:tblCellMar>
    </w:tblPr>
    <w:tblStylePr w:type="firstRow">
      <w:rPr>
        <w:b w:val="1"/>
        <w:color w:val="ffffff"/>
      </w:rPr>
      <w:tblPr/>
      <w:tcPr>
        <w:tcBorders>
          <w:top w:color="39d9cd" w:space="0" w:sz="4" w:val="single"/>
          <w:left w:color="39d9cd" w:space="0" w:sz="4" w:val="single"/>
          <w:bottom w:color="39d9cd" w:space="0" w:sz="4" w:val="single"/>
          <w:right w:color="39d9cd" w:space="0" w:sz="4" w:val="single"/>
          <w:insideH w:space="0" w:sz="0" w:val="nil"/>
          <w:insideV w:space="0" w:sz="0" w:val="nil"/>
        </w:tcBorders>
        <w:shd w:color="auto" w:fill="39d9cd" w:val="clear"/>
      </w:tcPr>
    </w:tblStylePr>
    <w:tblStylePr w:type="lastRow">
      <w:rPr>
        <w:b w:val="1"/>
      </w:rPr>
      <w:tblPr/>
      <w:tcPr>
        <w:tcBorders>
          <w:top w:color="39d9cd" w:space="0" w:sz="4" w:val="single"/>
        </w:tcBorders>
      </w:tcPr>
    </w:tblStylePr>
    <w:tblStylePr w:type="firstCol">
      <w:rPr>
        <w:b w:val="1"/>
      </w:rPr>
    </w:tblStylePr>
    <w:tblStylePr w:type="lastCol">
      <w:rPr>
        <w:b w:val="1"/>
      </w:rPr>
    </w:tblStylePr>
    <w:tblStylePr w:type="band1Vert">
      <w:tblPr/>
      <w:tcPr>
        <w:shd w:color="auto" w:fill="d7f7f4" w:val="clear"/>
      </w:tcPr>
    </w:tblStylePr>
    <w:tblStylePr w:type="band1Horz">
      <w:tblPr/>
      <w:tcPr>
        <w:shd w:color="auto" w:fill="d7f7f4" w:val="clear"/>
      </w:tcPr>
    </w:tblStylePr>
  </w:style>
  <w:style w:type="character" w:styleId="Hipervnculovisitado">
    <w:name w:val="FollowedHyperlink"/>
    <w:basedOn w:val="Fuentedeprrafopredeter"/>
    <w:uiPriority w:val="99"/>
    <w:semiHidden w:val="1"/>
    <w:unhideWhenUsed w:val="1"/>
    <w:rsid w:val="009B09EE"/>
    <w:rPr>
      <w:color w:val="800080" w:themeColor="followedHyperlink"/>
      <w:u w:val="single"/>
    </w:rPr>
  </w:style>
  <w:style w:type="table" w:styleId="Tablaconcuadrcula5oscura-nfasis1">
    <w:name w:val="Grid Table 5 Dark Accent 1"/>
    <w:basedOn w:val="Tablanormal"/>
    <w:uiPriority w:val="50"/>
    <w:rsid w:val="00B7768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be5f1"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f81bd"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f81bd" w:themeFill="accent1" w:val="clear"/>
      </w:tcPr>
    </w:tblStylePr>
    <w:tblStylePr w:type="band1Vert">
      <w:tblPr/>
      <w:tcPr>
        <w:shd w:color="auto" w:fill="b8cce4" w:themeFill="accent1" w:themeFillTint="000066" w:val="clear"/>
      </w:tcPr>
    </w:tblStylePr>
    <w:tblStylePr w:type="band1Horz">
      <w:tblPr/>
      <w:tcPr>
        <w:shd w:color="auto" w:fill="b8cce4" w:themeFill="accent1" w:themeFillTint="000066" w:val="clear"/>
      </w:tcPr>
    </w:tblStylePr>
  </w:style>
  <w:style w:type="table" w:styleId="Tablaconcuadrcula5oscura-nfasis5">
    <w:name w:val="Grid Table 5 Dark Accent 5"/>
    <w:basedOn w:val="Tablanormal"/>
    <w:uiPriority w:val="50"/>
    <w:rsid w:val="002827A1"/>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aeef3"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bacc6"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bacc6"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bacc6"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bacc6" w:themeFill="accent5" w:val="clear"/>
      </w:tcPr>
    </w:tblStylePr>
    <w:tblStylePr w:type="band1Vert">
      <w:tblPr/>
      <w:tcPr>
        <w:shd w:color="auto" w:fill="b6dde8" w:themeFill="accent5" w:themeFillTint="000066" w:val="clear"/>
      </w:tcPr>
    </w:tblStylePr>
    <w:tblStylePr w:type="band1Horz">
      <w:tblPr/>
      <w:tcPr>
        <w:shd w:color="auto" w:fill="b6dde8" w:themeFill="accent5" w:themeFillTint="000066"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milanuncios.com/" TargetMode="External"/><Relationship Id="rId11" Type="http://schemas.openxmlformats.org/officeDocument/2006/relationships/image" Target="media/image2.jpg"/><Relationship Id="rId22" Type="http://schemas.openxmlformats.org/officeDocument/2006/relationships/hyperlink" Target="mailto:comunicacion@fotocasa.es" TargetMode="External"/><Relationship Id="rId10" Type="http://schemas.openxmlformats.org/officeDocument/2006/relationships/image" Target="media/image3.jpg"/><Relationship Id="rId21" Type="http://schemas.openxmlformats.org/officeDocument/2006/relationships/hyperlink" Target="http://adevinta.es" TargetMode="External"/><Relationship Id="rId13" Type="http://schemas.openxmlformats.org/officeDocument/2006/relationships/hyperlink" Target="http://prensa.fotocasa.es" TargetMode="External"/><Relationship Id="rId12" Type="http://schemas.openxmlformats.org/officeDocument/2006/relationships/hyperlink" Target="https://www.fotocasa.es/indice/"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otocasa.es" TargetMode="External"/><Relationship Id="rId15" Type="http://schemas.openxmlformats.org/officeDocument/2006/relationships/hyperlink" Target="https://www.fotocasa.es/es/" TargetMode="External"/><Relationship Id="rId14" Type="http://schemas.openxmlformats.org/officeDocument/2006/relationships/hyperlink" Target="https://www.fotocasa.es/es/quienes-somos/" TargetMode="External"/><Relationship Id="rId17" Type="http://schemas.openxmlformats.org/officeDocument/2006/relationships/hyperlink" Target="https://www.infojobs.net/" TargetMode="External"/><Relationship Id="rId16" Type="http://schemas.openxmlformats.org/officeDocument/2006/relationships/hyperlink" Target="https://www.habitaclia.com/" TargetMode="External"/><Relationship Id="rId5" Type="http://schemas.openxmlformats.org/officeDocument/2006/relationships/styles" Target="styles.xml"/><Relationship Id="rId19" Type="http://schemas.openxmlformats.org/officeDocument/2006/relationships/hyperlink" Target="https://motos.coches.net/" TargetMode="External"/><Relationship Id="rId6" Type="http://schemas.openxmlformats.org/officeDocument/2006/relationships/customXml" Target="../customXML/item1.xml"/><Relationship Id="rId18" Type="http://schemas.openxmlformats.org/officeDocument/2006/relationships/hyperlink" Target="https://www.coches.net/" TargetMode="External"/><Relationship Id="rId7" Type="http://schemas.openxmlformats.org/officeDocument/2006/relationships/image" Target="media/image4.png"/><Relationship Id="rId8" Type="http://schemas.openxmlformats.org/officeDocument/2006/relationships/hyperlink" Target="https://research.fotocasa.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Light-regular.ttf"/><Relationship Id="rId4" Type="http://schemas.openxmlformats.org/officeDocument/2006/relationships/font" Target="fonts/OpenSansLight-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Light-italic.ttf"/><Relationship Id="rId6" Type="http://schemas.openxmlformats.org/officeDocument/2006/relationships/font" Target="fonts/OpenSansLight-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xbr8/ApgMwkxVqotcC5qcNePWA==">CgMxLjAyCWguMnM4ZXlvMTgAciExMzNZUlBCNGxZMGlCZkV4clo3WHpIM0MtbnBYZnZtM1E=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2024-02-06T13:46:00Z</dcterms:created>
  <dc:creator>Ramon Torne</dc:creator>
</cp:coreProperties>
</file>