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C6EB0" w14:textId="77777777" w:rsidR="00890C1C" w:rsidRDefault="00000000">
      <w:r>
        <w:rPr>
          <w:noProof/>
        </w:rPr>
        <w:drawing>
          <wp:anchor distT="0" distB="0" distL="114300" distR="114300" simplePos="0" relativeHeight="251658240" behindDoc="0" locked="0" layoutInCell="1" hidden="0" allowOverlap="1" wp14:anchorId="47BB07B0" wp14:editId="6D22C05A">
            <wp:simplePos x="0" y="0"/>
            <wp:positionH relativeFrom="column">
              <wp:posOffset>-1080130</wp:posOffset>
            </wp:positionH>
            <wp:positionV relativeFrom="paragraph">
              <wp:posOffset>-654681</wp:posOffset>
            </wp:positionV>
            <wp:extent cx="7581265" cy="1019175"/>
            <wp:effectExtent l="0" t="0" r="0" b="0"/>
            <wp:wrapNone/>
            <wp:docPr id="2093790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B4F0B6F" w14:textId="77777777" w:rsidR="00890C1C" w:rsidRDefault="00890C1C">
      <w:pPr>
        <w:jc w:val="right"/>
        <w:rPr>
          <w:rFonts w:ascii="National" w:eastAsia="National" w:hAnsi="National" w:cs="National"/>
          <w:color w:val="303AB2"/>
          <w:sz w:val="36"/>
          <w:szCs w:val="36"/>
        </w:rPr>
      </w:pPr>
    </w:p>
    <w:p w14:paraId="027695B1" w14:textId="77777777" w:rsidR="00890C1C" w:rsidRDefault="00890C1C">
      <w:pPr>
        <w:rPr>
          <w:rFonts w:ascii="National" w:eastAsia="National" w:hAnsi="National" w:cs="National"/>
          <w:color w:val="303AB2"/>
          <w:sz w:val="18"/>
          <w:szCs w:val="18"/>
        </w:rPr>
      </w:pPr>
    </w:p>
    <w:p w14:paraId="1A595E27" w14:textId="77777777" w:rsidR="00890C1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EL MERCADO INMOBILIARIO EN LA COSTA ESPAÑOLA</w:t>
      </w:r>
    </w:p>
    <w:p w14:paraId="717DB025" w14:textId="77777777" w:rsidR="00890C1C" w:rsidRDefault="00000000">
      <w:pPr>
        <w:spacing w:line="276" w:lineRule="auto"/>
        <w:ind w:right="4"/>
        <w:jc w:val="center"/>
        <w:rPr>
          <w:rFonts w:ascii="Open Sans" w:eastAsia="Open Sans" w:hAnsi="Open Sans" w:cs="Open Sans"/>
          <w:color w:val="303AB2"/>
          <w:sz w:val="22"/>
          <w:szCs w:val="22"/>
        </w:rPr>
      </w:pPr>
      <w:r>
        <w:rPr>
          <w:rFonts w:ascii="National" w:eastAsia="National" w:hAnsi="National" w:cs="National"/>
          <w:b/>
          <w:color w:val="303AB2"/>
          <w:sz w:val="46"/>
          <w:szCs w:val="46"/>
        </w:rPr>
        <w:t>Calvià, Barcelona y San Bartolomé de Tirajana son los municipios costeros con los alquileres más altos y superan los 20€/m2 al mes</w:t>
      </w:r>
    </w:p>
    <w:p w14:paraId="7DDB7233" w14:textId="77777777" w:rsidR="00890C1C" w:rsidRDefault="00890C1C">
      <w:pPr>
        <w:pBdr>
          <w:top w:val="nil"/>
          <w:left w:val="nil"/>
          <w:bottom w:val="nil"/>
          <w:right w:val="nil"/>
          <w:between w:val="nil"/>
        </w:pBdr>
        <w:spacing w:line="276" w:lineRule="auto"/>
        <w:ind w:left="720" w:right="283"/>
        <w:jc w:val="both"/>
        <w:rPr>
          <w:rFonts w:ascii="Open Sans Light" w:eastAsia="Open Sans Light" w:hAnsi="Open Sans Light" w:cs="Open Sans Light"/>
          <w:b/>
          <w:color w:val="303AB2"/>
          <w:sz w:val="22"/>
          <w:szCs w:val="22"/>
        </w:rPr>
      </w:pPr>
    </w:p>
    <w:p w14:paraId="66B90AFB" w14:textId="77777777" w:rsidR="00890C1C"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Los archipiélagos de Baleares y Canarias, Cataluña, y el norte de España concentran las localidades costeras con los precios más elevados de viviendas de alquiler</w:t>
      </w:r>
    </w:p>
    <w:p w14:paraId="63E73425" w14:textId="77777777" w:rsidR="00890C1C"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En el extremo opuesto, las poblaciones de Vinaròs (Comunidad Valenciana), Puerto Real (Andalucía), Ferrol y Pontevedra capital (ambas en Galicia) son las más asequibles para alquilar un apartamento en la costa</w:t>
      </w:r>
    </w:p>
    <w:p w14:paraId="37C85E09" w14:textId="77777777" w:rsidR="00890C1C"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Una vivienda de 80 metros cuadrados se acerca a los 1.900 euros al mes en las ubicaciones costeras con precios más altos, mientras que apenas llega a los 700 euros en las más bajos</w:t>
      </w:r>
    </w:p>
    <w:p w14:paraId="1CCC5D02" w14:textId="77777777" w:rsidR="00890C1C" w:rsidRDefault="00890C1C">
      <w:pPr>
        <w:pBdr>
          <w:top w:val="nil"/>
          <w:left w:val="nil"/>
          <w:bottom w:val="nil"/>
          <w:right w:val="nil"/>
          <w:between w:val="nil"/>
        </w:pBdr>
        <w:spacing w:line="276" w:lineRule="auto"/>
        <w:ind w:left="720"/>
        <w:jc w:val="both"/>
        <w:rPr>
          <w:rFonts w:ascii="Open Sans" w:eastAsia="Open Sans" w:hAnsi="Open Sans" w:cs="Open Sans"/>
          <w:color w:val="303AB2"/>
        </w:rPr>
      </w:pPr>
    </w:p>
    <w:p w14:paraId="6718D21E" w14:textId="77777777" w:rsidR="00890C1C"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23 de julio de 2025</w:t>
      </w:r>
    </w:p>
    <w:p w14:paraId="3E41B22C" w14:textId="77777777" w:rsidR="00890C1C" w:rsidRDefault="00890C1C">
      <w:pPr>
        <w:pBdr>
          <w:top w:val="nil"/>
          <w:left w:val="nil"/>
          <w:bottom w:val="nil"/>
          <w:right w:val="nil"/>
          <w:between w:val="nil"/>
        </w:pBdr>
        <w:spacing w:line="276" w:lineRule="auto"/>
        <w:ind w:left="-284"/>
        <w:jc w:val="both"/>
        <w:rPr>
          <w:rFonts w:ascii="Open Sans" w:eastAsia="Open Sans" w:hAnsi="Open Sans" w:cs="Open Sans"/>
        </w:rPr>
      </w:pPr>
    </w:p>
    <w:p w14:paraId="23357A12" w14:textId="77777777" w:rsidR="009A3DAC" w:rsidRDefault="009A3DAC" w:rsidP="009A3DAC">
      <w:pPr>
        <w:pBdr>
          <w:top w:val="nil"/>
          <w:left w:val="nil"/>
          <w:bottom w:val="nil"/>
          <w:right w:val="nil"/>
          <w:between w:val="nil"/>
        </w:pBdr>
        <w:spacing w:line="276" w:lineRule="auto"/>
        <w:ind w:left="-284"/>
        <w:jc w:val="both"/>
        <w:rPr>
          <w:rFonts w:ascii="Open Sans" w:eastAsia="Open Sans" w:hAnsi="Open Sans" w:cs="Open Sans"/>
          <w:lang w:val="es-ES"/>
        </w:rPr>
      </w:pPr>
      <w:r w:rsidRPr="00F54ACB">
        <w:rPr>
          <w:rFonts w:ascii="Open Sans" w:eastAsia="Open Sans" w:hAnsi="Open Sans" w:cs="Open Sans"/>
          <w:lang w:val="es-ES"/>
        </w:rPr>
        <w:t xml:space="preserve">Los municipios de </w:t>
      </w:r>
      <w:r>
        <w:rPr>
          <w:rFonts w:ascii="Open Sans" w:eastAsia="Open Sans" w:hAnsi="Open Sans" w:cs="Open Sans"/>
          <w:lang w:val="es-ES"/>
        </w:rPr>
        <w:t>Calvià (con un precio medio de 23,5 euros al mes por metro cuadrado)</w:t>
      </w:r>
      <w:r w:rsidRPr="00F54ACB">
        <w:rPr>
          <w:rFonts w:ascii="Open Sans" w:eastAsia="Open Sans" w:hAnsi="Open Sans" w:cs="Open Sans"/>
          <w:lang w:val="es-ES"/>
        </w:rPr>
        <w:t xml:space="preserve">, </w:t>
      </w:r>
      <w:r>
        <w:rPr>
          <w:rFonts w:ascii="Open Sans" w:eastAsia="Open Sans" w:hAnsi="Open Sans" w:cs="Open Sans"/>
          <w:lang w:val="es-ES"/>
        </w:rPr>
        <w:t>en Mallorca (Baleares), Barcelona capital</w:t>
      </w:r>
      <w:r w:rsidRPr="00F54ACB">
        <w:rPr>
          <w:rFonts w:ascii="Open Sans" w:eastAsia="Open Sans" w:hAnsi="Open Sans" w:cs="Open Sans"/>
          <w:lang w:val="es-ES"/>
        </w:rPr>
        <w:t xml:space="preserve"> </w:t>
      </w:r>
      <w:r>
        <w:rPr>
          <w:rFonts w:ascii="Open Sans" w:eastAsia="Open Sans" w:hAnsi="Open Sans" w:cs="Open Sans"/>
          <w:lang w:val="es-ES"/>
        </w:rPr>
        <w:t xml:space="preserve">(23,2 €/m2) y </w:t>
      </w:r>
      <w:r w:rsidRPr="002E7BD0">
        <w:rPr>
          <w:rFonts w:ascii="Open Sans" w:eastAsia="Open Sans" w:hAnsi="Open Sans" w:cs="Open Sans"/>
          <w:lang w:val="es-ES"/>
        </w:rPr>
        <w:t xml:space="preserve">San Bartolomé de Tirajana </w:t>
      </w:r>
      <w:r>
        <w:rPr>
          <w:rFonts w:ascii="Open Sans" w:eastAsia="Open Sans" w:hAnsi="Open Sans" w:cs="Open Sans"/>
          <w:lang w:val="es-ES"/>
        </w:rPr>
        <w:t xml:space="preserve">(20,7 €/m2), en Gran Canaria (Canarias), son las localidades costeras con los precios de la vivienda de alquiler más altos de España, </w:t>
      </w:r>
      <w:r w:rsidRPr="005B7B7F">
        <w:rPr>
          <w:rFonts w:ascii="Open Sans" w:eastAsia="Open Sans" w:hAnsi="Open Sans" w:cs="Open Sans"/>
          <w:b/>
          <w:bCs/>
          <w:lang w:val="es-ES"/>
        </w:rPr>
        <w:t xml:space="preserve">según los datos del Índice Inmobiliario </w:t>
      </w:r>
      <w:hyperlink r:id="rId9" w:history="1">
        <w:r w:rsidRPr="001E64B2">
          <w:rPr>
            <w:rStyle w:val="Hipervnculo"/>
            <w:rFonts w:ascii="Open Sans" w:eastAsia="Open Sans" w:hAnsi="Open Sans" w:cs="Open Sans"/>
            <w:b/>
            <w:bCs/>
            <w:lang w:val="es-ES"/>
          </w:rPr>
          <w:t>Fotocasa</w:t>
        </w:r>
      </w:hyperlink>
      <w:r w:rsidRPr="005B7B7F">
        <w:rPr>
          <w:rFonts w:ascii="Open Sans" w:eastAsia="Open Sans" w:hAnsi="Open Sans" w:cs="Open Sans"/>
          <w:b/>
          <w:bCs/>
          <w:lang w:val="es-ES"/>
        </w:rPr>
        <w:t xml:space="preserve"> correspondientes a junio de 2025</w:t>
      </w:r>
      <w:r>
        <w:rPr>
          <w:rFonts w:ascii="Open Sans" w:eastAsia="Open Sans" w:hAnsi="Open Sans" w:cs="Open Sans"/>
          <w:lang w:val="es-ES"/>
        </w:rPr>
        <w:t>. A continuación, aparecen los municipios de Laredo (20,3 €/m2), en Cantabria, Sitges (19,88 €/m2), en Barcelona (Cataluña), San Sebastián (19,2 €/m2), en</w:t>
      </w:r>
      <w:r w:rsidRPr="00666D91">
        <w:t xml:space="preserve"> </w:t>
      </w:r>
      <w:r w:rsidRPr="00666D91">
        <w:rPr>
          <w:rFonts w:ascii="Open Sans" w:eastAsia="Open Sans" w:hAnsi="Open Sans" w:cs="Open Sans"/>
          <w:lang w:val="es-ES"/>
        </w:rPr>
        <w:t>Gipuzkoa</w:t>
      </w:r>
      <w:r>
        <w:rPr>
          <w:rFonts w:ascii="Open Sans" w:eastAsia="Open Sans" w:hAnsi="Open Sans" w:cs="Open Sans"/>
          <w:lang w:val="es-ES"/>
        </w:rPr>
        <w:t xml:space="preserve"> (País Vasco), y Arona (19,0 €/m2), en Tenerife (Canarias). Por debajo de la franja de los 19 euros al mes por metro cuadrado, cierran este Top 10 los municipios de Sanxenxo (18,6 €/m2), en Pontevedra (Galicia), Badalona (18,2 €/m2), en Barcelona (Cataluña) y Palma de Mallorca (18,1 €/m2), en Baleares. </w:t>
      </w:r>
    </w:p>
    <w:p w14:paraId="052F11C0" w14:textId="77777777" w:rsidR="00890C1C" w:rsidRPr="009A3DAC" w:rsidRDefault="00890C1C">
      <w:pPr>
        <w:pBdr>
          <w:top w:val="nil"/>
          <w:left w:val="nil"/>
          <w:bottom w:val="nil"/>
          <w:right w:val="nil"/>
          <w:between w:val="nil"/>
        </w:pBdr>
        <w:spacing w:line="276" w:lineRule="auto"/>
        <w:ind w:left="-284"/>
        <w:jc w:val="both"/>
        <w:rPr>
          <w:rFonts w:ascii="Open Sans" w:eastAsia="Open Sans" w:hAnsi="Open Sans" w:cs="Open Sans"/>
          <w:lang w:val="es-ES"/>
        </w:rPr>
      </w:pPr>
    </w:p>
    <w:p w14:paraId="37E5B755" w14:textId="77777777" w:rsidR="009A3DAC" w:rsidRDefault="009A3DAC" w:rsidP="009A3DAC">
      <w:pPr>
        <w:pBdr>
          <w:top w:val="nil"/>
          <w:left w:val="nil"/>
          <w:bottom w:val="nil"/>
          <w:right w:val="nil"/>
          <w:between w:val="nil"/>
        </w:pBdr>
        <w:spacing w:line="276" w:lineRule="auto"/>
        <w:ind w:left="-284"/>
        <w:jc w:val="both"/>
        <w:rPr>
          <w:rFonts w:ascii="Open Sans" w:eastAsia="Open Sans" w:hAnsi="Open Sans" w:cs="Open Sans"/>
          <w:lang w:val="es-ES"/>
        </w:rPr>
      </w:pPr>
      <w:r w:rsidRPr="005B7B7F">
        <w:rPr>
          <w:rFonts w:ascii="Open Sans" w:eastAsia="Open Sans" w:hAnsi="Open Sans" w:cs="Open Sans"/>
          <w:b/>
          <w:bCs/>
          <w:lang w:val="es-ES"/>
        </w:rPr>
        <w:t xml:space="preserve">En todas estas poblaciones costeras, los precios </w:t>
      </w:r>
      <w:r>
        <w:rPr>
          <w:rFonts w:ascii="Open Sans" w:eastAsia="Open Sans" w:hAnsi="Open Sans" w:cs="Open Sans"/>
          <w:b/>
          <w:bCs/>
          <w:lang w:val="es-ES"/>
        </w:rPr>
        <w:t xml:space="preserve">de los alquileres </w:t>
      </w:r>
      <w:r w:rsidRPr="005B7B7F">
        <w:rPr>
          <w:rFonts w:ascii="Open Sans" w:eastAsia="Open Sans" w:hAnsi="Open Sans" w:cs="Open Sans"/>
          <w:b/>
          <w:bCs/>
          <w:lang w:val="es-ES"/>
        </w:rPr>
        <w:t>han acumulado importantes crecimientos durante los últimos años</w:t>
      </w:r>
      <w:r>
        <w:rPr>
          <w:rFonts w:ascii="Open Sans" w:eastAsia="Open Sans" w:hAnsi="Open Sans" w:cs="Open Sans"/>
          <w:lang w:val="es-ES"/>
        </w:rPr>
        <w:t xml:space="preserve">, por encima de los dos dígitos en muchos casos. Los incrementos más notables durante el último año se han dado en las localidades de Arona (8,8%) y Badalona (8,2%), mientras que </w:t>
      </w:r>
      <w:r>
        <w:rPr>
          <w:rFonts w:ascii="Open Sans" w:eastAsia="Open Sans" w:hAnsi="Open Sans" w:cs="Open Sans"/>
          <w:lang w:val="es-ES"/>
        </w:rPr>
        <w:lastRenderedPageBreak/>
        <w:t xml:space="preserve">los únicos municipios que han registrado un descenso de los precios de los alquileres en los últimos doce meses han sido Sitges (-7,3%) y Donostia (-1,5%). Además, en todas estas localidades los precios de los alquileres han alcanzado en los últimos meses sus máximos históricos, situando la renta de un de un apartamento de 80 metros cuadrados en una horquilla que va de los </w:t>
      </w:r>
      <w:r w:rsidRPr="003F31E3">
        <w:rPr>
          <w:rFonts w:ascii="Open Sans" w:eastAsia="Open Sans" w:hAnsi="Open Sans" w:cs="Open Sans"/>
          <w:lang w:val="es-ES"/>
        </w:rPr>
        <w:t>1.878€</w:t>
      </w:r>
      <w:r>
        <w:rPr>
          <w:rFonts w:ascii="Open Sans" w:eastAsia="Open Sans" w:hAnsi="Open Sans" w:cs="Open Sans"/>
          <w:lang w:val="es-ES"/>
        </w:rPr>
        <w:t xml:space="preserve"> al mes en Calvià a los </w:t>
      </w:r>
      <w:r w:rsidRPr="003F31E3">
        <w:rPr>
          <w:rFonts w:ascii="Open Sans" w:eastAsia="Open Sans" w:hAnsi="Open Sans" w:cs="Open Sans"/>
          <w:lang w:val="es-ES"/>
        </w:rPr>
        <w:t>1.458</w:t>
      </w:r>
      <w:r>
        <w:rPr>
          <w:rFonts w:ascii="Open Sans" w:eastAsia="Open Sans" w:hAnsi="Open Sans" w:cs="Open Sans"/>
          <w:lang w:val="es-ES"/>
        </w:rPr>
        <w:t>€ al mes en Badalona.</w:t>
      </w:r>
    </w:p>
    <w:p w14:paraId="1FF463E2" w14:textId="77777777" w:rsidR="00890C1C" w:rsidRPr="009A3DAC" w:rsidRDefault="00890C1C">
      <w:pPr>
        <w:pBdr>
          <w:top w:val="nil"/>
          <w:left w:val="nil"/>
          <w:bottom w:val="nil"/>
          <w:right w:val="nil"/>
          <w:between w:val="nil"/>
        </w:pBdr>
        <w:spacing w:line="276" w:lineRule="auto"/>
        <w:ind w:left="-284"/>
        <w:jc w:val="both"/>
        <w:rPr>
          <w:rFonts w:ascii="Open Sans" w:eastAsia="Open Sans" w:hAnsi="Open Sans" w:cs="Open Sans"/>
          <w:lang w:val="es-ES"/>
        </w:rPr>
      </w:pPr>
    </w:p>
    <w:p w14:paraId="6F4C851A" w14:textId="77777777" w:rsidR="009A3DAC" w:rsidRPr="00C74BEC" w:rsidRDefault="009A3DAC" w:rsidP="009A3DAC">
      <w:pPr>
        <w:pBdr>
          <w:top w:val="nil"/>
          <w:left w:val="nil"/>
          <w:bottom w:val="nil"/>
          <w:right w:val="nil"/>
          <w:between w:val="nil"/>
        </w:pBdr>
        <w:spacing w:line="276" w:lineRule="auto"/>
        <w:ind w:left="-284"/>
        <w:jc w:val="center"/>
        <w:rPr>
          <w:rFonts w:ascii="Open Sans Light" w:eastAsia="Open Sans Light" w:hAnsi="Open Sans Light" w:cs="Open Sans Light"/>
          <w:b/>
          <w:color w:val="303AB2"/>
        </w:rPr>
      </w:pPr>
      <w:r w:rsidRPr="00C74BEC">
        <w:rPr>
          <w:rFonts w:ascii="Open Sans Light" w:eastAsia="Open Sans Light" w:hAnsi="Open Sans Light" w:cs="Open Sans Light"/>
          <w:b/>
          <w:color w:val="303AB2"/>
        </w:rPr>
        <w:t>Ranking de las ciudades costeras con precios más altos (€/m2)</w:t>
      </w:r>
    </w:p>
    <w:p w14:paraId="659B1CCC" w14:textId="77777777" w:rsidR="009A3DAC" w:rsidRPr="001E64B2" w:rsidRDefault="009A3DAC" w:rsidP="009A3DAC">
      <w:pPr>
        <w:pBdr>
          <w:top w:val="nil"/>
          <w:left w:val="nil"/>
          <w:bottom w:val="nil"/>
          <w:right w:val="nil"/>
          <w:between w:val="nil"/>
        </w:pBdr>
        <w:spacing w:line="276" w:lineRule="auto"/>
        <w:ind w:left="-284"/>
        <w:rPr>
          <w:rFonts w:ascii="Open Sans" w:eastAsia="Open Sans" w:hAnsi="Open Sans" w:cs="Open Sans"/>
          <w:highlight w:val="yellow"/>
        </w:rPr>
      </w:pPr>
    </w:p>
    <w:p w14:paraId="0AAC9CBF" w14:textId="77777777" w:rsidR="009A3DAC" w:rsidRPr="00F54ACB" w:rsidRDefault="009A3DAC" w:rsidP="009A3DAC">
      <w:pPr>
        <w:pBdr>
          <w:top w:val="nil"/>
          <w:left w:val="nil"/>
          <w:bottom w:val="nil"/>
          <w:right w:val="nil"/>
          <w:between w:val="nil"/>
        </w:pBdr>
        <w:spacing w:line="276" w:lineRule="auto"/>
        <w:ind w:left="-284"/>
        <w:jc w:val="center"/>
        <w:rPr>
          <w:rFonts w:ascii="Open Sans" w:eastAsia="Open Sans" w:hAnsi="Open Sans" w:cs="Open Sans"/>
          <w:lang w:val="es-ES"/>
        </w:rPr>
      </w:pPr>
      <w:r>
        <w:rPr>
          <w:noProof/>
        </w:rPr>
        <w:drawing>
          <wp:inline distT="0" distB="0" distL="0" distR="0" wp14:anchorId="1B060EAD" wp14:editId="526DBAAB">
            <wp:extent cx="5760720" cy="3611880"/>
            <wp:effectExtent l="0" t="0" r="0" b="7620"/>
            <wp:docPr id="1617003110" name="Gràfic 1">
              <a:extLst xmlns:a="http://schemas.openxmlformats.org/drawingml/2006/main">
                <a:ext uri="{FF2B5EF4-FFF2-40B4-BE49-F238E27FC236}">
                  <a16:creationId xmlns:a16="http://schemas.microsoft.com/office/drawing/2014/main" id="{32368DA1-E67A-7778-EEBC-1C09389E0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1C22B1" w14:textId="77777777" w:rsidR="00890C1C" w:rsidRDefault="00890C1C">
      <w:pPr>
        <w:pBdr>
          <w:top w:val="nil"/>
          <w:left w:val="nil"/>
          <w:bottom w:val="nil"/>
          <w:right w:val="nil"/>
          <w:between w:val="nil"/>
        </w:pBdr>
        <w:spacing w:line="276" w:lineRule="auto"/>
        <w:ind w:left="-284"/>
        <w:jc w:val="both"/>
        <w:rPr>
          <w:rFonts w:ascii="Open Sans" w:eastAsia="Open Sans" w:hAnsi="Open Sans" w:cs="Open Sans"/>
        </w:rPr>
      </w:pPr>
    </w:p>
    <w:p w14:paraId="17BDCD37" w14:textId="77777777" w:rsidR="009A3DAC" w:rsidRDefault="009A3DAC">
      <w:pPr>
        <w:spacing w:line="276" w:lineRule="auto"/>
        <w:ind w:left="-284" w:right="141"/>
        <w:jc w:val="both"/>
        <w:rPr>
          <w:rFonts w:ascii="Open Sans" w:eastAsia="Open Sans" w:hAnsi="Open Sans" w:cs="Open Sans"/>
          <w:sz w:val="22"/>
          <w:szCs w:val="22"/>
        </w:rPr>
      </w:pPr>
      <w:bookmarkStart w:id="0" w:name="_heading=h.gjdgxs" w:colFirst="0" w:colLast="0"/>
      <w:bookmarkEnd w:id="0"/>
    </w:p>
    <w:p w14:paraId="6D6BCF91" w14:textId="15271784" w:rsidR="00890C1C" w:rsidRDefault="00000000">
      <w:pPr>
        <w:spacing w:line="276" w:lineRule="auto"/>
        <w:ind w:left="-284" w:right="141"/>
        <w:jc w:val="both"/>
        <w:rPr>
          <w:rFonts w:ascii="Open Sans" w:eastAsia="Open Sans" w:hAnsi="Open Sans" w:cs="Open Sans"/>
          <w:b/>
          <w:sz w:val="22"/>
          <w:szCs w:val="22"/>
        </w:rPr>
      </w:pPr>
      <w:r>
        <w:rPr>
          <w:rFonts w:ascii="Open Sans" w:eastAsia="Open Sans" w:hAnsi="Open Sans" w:cs="Open Sans"/>
          <w:sz w:val="22"/>
          <w:szCs w:val="22"/>
        </w:rPr>
        <w:t xml:space="preserve">“Alquilar una vivienda junto al mar cuesta más de 1.600 euros mensuales en las zonas costeras más demandadas La costa española se ha convertido en uno de los mercados más tensionados del país, porque recibe una alta presión de la demanda tanto nacional como internacional frente a una escasa oferta de alquiler de larga duración. La combinación de un entorno privilegiado, buenas infraestructuras y una intensa actividad turística convierte a estos enclaves costeros en zonas muy codiciadas. Por el contrario, las zonas que están menos expuestas a la presión turística, y aunque también han aumentado significativamente su precio, permiten acceder a un apartamento por unos 700 euros mensuales”, </w:t>
      </w:r>
      <w:r>
        <w:rPr>
          <w:rFonts w:ascii="Open Sans" w:eastAsia="Open Sans" w:hAnsi="Open Sans" w:cs="Open Sans"/>
          <w:b/>
          <w:sz w:val="22"/>
          <w:szCs w:val="22"/>
        </w:rPr>
        <w:t xml:space="preserve">comenta María Matos, directora de Estudios y portavoz de </w:t>
      </w:r>
      <w:hyperlink r:id="rId11">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14C26976" w14:textId="77777777" w:rsidR="009A3DAC" w:rsidRDefault="009A3DAC">
      <w:pPr>
        <w:spacing w:line="276" w:lineRule="auto"/>
        <w:ind w:left="-284" w:right="141"/>
        <w:jc w:val="both"/>
        <w:rPr>
          <w:rFonts w:ascii="Open Sans" w:eastAsia="Open Sans" w:hAnsi="Open Sans" w:cs="Open Sans"/>
          <w:b/>
          <w:sz w:val="22"/>
          <w:szCs w:val="22"/>
        </w:rPr>
      </w:pPr>
    </w:p>
    <w:p w14:paraId="2368DD2E" w14:textId="77777777" w:rsidR="009A3DAC" w:rsidRDefault="009A3DAC">
      <w:pPr>
        <w:spacing w:line="276" w:lineRule="auto"/>
        <w:ind w:left="-284" w:right="141"/>
        <w:jc w:val="both"/>
        <w:rPr>
          <w:b/>
        </w:rPr>
      </w:pPr>
    </w:p>
    <w:p w14:paraId="5C06E3C3" w14:textId="77777777" w:rsidR="00890C1C" w:rsidRDefault="00890C1C">
      <w:pPr>
        <w:spacing w:line="276" w:lineRule="auto"/>
        <w:jc w:val="both"/>
        <w:rPr>
          <w:rFonts w:ascii="Open Sans" w:eastAsia="Open Sans" w:hAnsi="Open Sans" w:cs="Open Sans"/>
          <w:sz w:val="22"/>
          <w:szCs w:val="22"/>
        </w:rPr>
      </w:pPr>
    </w:p>
    <w:p w14:paraId="0F5C93DF" w14:textId="77777777" w:rsidR="00890C1C" w:rsidRDefault="00000000">
      <w:pPr>
        <w:spacing w:line="276" w:lineRule="auto"/>
        <w:ind w:left="-284"/>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Galicia, Andalucía y la Comunidad Valenciana concentran las localidades costeras más asequibles</w:t>
      </w:r>
    </w:p>
    <w:p w14:paraId="6DA1984B" w14:textId="77777777" w:rsidR="00890C1C" w:rsidRDefault="00890C1C">
      <w:pPr>
        <w:spacing w:line="276" w:lineRule="auto"/>
        <w:ind w:left="-284" w:right="4"/>
        <w:jc w:val="both"/>
        <w:rPr>
          <w:rFonts w:ascii="Open Sans" w:eastAsia="Open Sans" w:hAnsi="Open Sans" w:cs="Open Sans"/>
          <w:sz w:val="22"/>
          <w:szCs w:val="22"/>
        </w:rPr>
      </w:pPr>
    </w:p>
    <w:p w14:paraId="6B5C5D9E" w14:textId="77777777" w:rsidR="00890C1C"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En el extremo opuesto, </w:t>
      </w:r>
      <w:r>
        <w:rPr>
          <w:rFonts w:ascii="Open Sans" w:eastAsia="Open Sans" w:hAnsi="Open Sans" w:cs="Open Sans"/>
          <w:b/>
        </w:rPr>
        <w:t>entre las localidades costeras más asequibles para alquilar una vivienda predominan poblaciones andaluzas, gallegas y valencianas</w:t>
      </w:r>
      <w:r>
        <w:rPr>
          <w:rFonts w:ascii="Open Sans" w:eastAsia="Open Sans" w:hAnsi="Open Sans" w:cs="Open Sans"/>
        </w:rPr>
        <w:t>. Así, la población costera con un precio más bajo de la vivienda de alquiler es Puerto Real, ubicada en Cádiz (Andalucía), con una media de 8,3 euros al mes por metro cuadrado. A continuación, aparecen los municipios de Ferrol (8,5 €/m2), en A Coruña (Galicia), Vinaròs (8,6 €/m2), y Pontevedra capital (8,6 €/m2). A partir de los 9 euros al mes por metro cuadrado, se encuentran las localidades de Algeciras (9,0 €/m2), en Cádiz (Andalucía), Roquetas de Mar (9,0 €/m2), en Almería (Andalucía), y Castellón de la Plana capital (9,1€/m2), en la Comunidad Valenciana. Completan este Top 10 de poblaciones costeras más baratas los municipios andaluces de Huelva capital (9,2 €/m2), Motril (9,2 €/m2), en Granada, y San Fernando (9,3 €/m2), en Cádiz.</w:t>
      </w:r>
    </w:p>
    <w:p w14:paraId="518077A6" w14:textId="77777777" w:rsidR="00890C1C" w:rsidRDefault="00890C1C">
      <w:pPr>
        <w:pBdr>
          <w:top w:val="nil"/>
          <w:left w:val="nil"/>
          <w:bottom w:val="nil"/>
          <w:right w:val="nil"/>
          <w:between w:val="nil"/>
        </w:pBdr>
        <w:spacing w:line="276" w:lineRule="auto"/>
        <w:ind w:left="-284"/>
        <w:jc w:val="both"/>
        <w:rPr>
          <w:rFonts w:ascii="Open Sans" w:eastAsia="Open Sans" w:hAnsi="Open Sans" w:cs="Open Sans"/>
        </w:rPr>
      </w:pPr>
    </w:p>
    <w:p w14:paraId="487B01E2" w14:textId="77777777" w:rsidR="00890C1C" w:rsidRDefault="00000000">
      <w:pPr>
        <w:pBdr>
          <w:top w:val="nil"/>
          <w:left w:val="nil"/>
          <w:bottom w:val="nil"/>
          <w:right w:val="nil"/>
          <w:between w:val="nil"/>
        </w:pBdr>
        <w:spacing w:line="276" w:lineRule="auto"/>
        <w:ind w:left="-284"/>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Ranking de las ciudades costeras con precios más bajos (€/m2)</w:t>
      </w:r>
    </w:p>
    <w:p w14:paraId="32040821" w14:textId="77777777" w:rsidR="00890C1C" w:rsidRDefault="00890C1C">
      <w:pPr>
        <w:pBdr>
          <w:top w:val="nil"/>
          <w:left w:val="nil"/>
          <w:bottom w:val="nil"/>
          <w:right w:val="nil"/>
          <w:between w:val="nil"/>
        </w:pBdr>
        <w:spacing w:line="276" w:lineRule="auto"/>
        <w:ind w:left="-284"/>
        <w:jc w:val="both"/>
        <w:rPr>
          <w:rFonts w:ascii="Open Sans" w:eastAsia="Open Sans" w:hAnsi="Open Sans" w:cs="Open Sans"/>
        </w:rPr>
      </w:pPr>
    </w:p>
    <w:p w14:paraId="5FB8A956" w14:textId="77777777" w:rsidR="00890C1C" w:rsidRDefault="00000000">
      <w:pPr>
        <w:pBdr>
          <w:top w:val="nil"/>
          <w:left w:val="nil"/>
          <w:bottom w:val="nil"/>
          <w:right w:val="nil"/>
          <w:between w:val="nil"/>
        </w:pBdr>
        <w:spacing w:line="276" w:lineRule="auto"/>
        <w:ind w:left="-284"/>
        <w:jc w:val="both"/>
        <w:rPr>
          <w:rFonts w:ascii="Open Sans" w:eastAsia="Open Sans" w:hAnsi="Open Sans" w:cs="Open Sans"/>
        </w:rPr>
      </w:pPr>
      <w:r>
        <w:rPr>
          <w:noProof/>
        </w:rPr>
        <w:drawing>
          <wp:inline distT="0" distB="0" distL="0" distR="0" wp14:anchorId="6307EF64" wp14:editId="4277CD6F">
            <wp:extent cx="5602935" cy="3511923"/>
            <wp:effectExtent l="0" t="0" r="0" b="0"/>
            <wp:docPr id="2093790224" name="Gráfico 2093790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F57328" w14:textId="77777777" w:rsidR="002B4D9D" w:rsidRDefault="002B4D9D">
      <w:pPr>
        <w:pBdr>
          <w:top w:val="nil"/>
          <w:left w:val="nil"/>
          <w:bottom w:val="nil"/>
          <w:right w:val="nil"/>
          <w:between w:val="nil"/>
        </w:pBdr>
        <w:spacing w:line="276" w:lineRule="auto"/>
        <w:ind w:left="-284"/>
        <w:jc w:val="both"/>
        <w:rPr>
          <w:rFonts w:ascii="Open Sans" w:eastAsia="Open Sans" w:hAnsi="Open Sans" w:cs="Open Sans"/>
        </w:rPr>
      </w:pPr>
    </w:p>
    <w:p w14:paraId="4A452FCB" w14:textId="728B1D71" w:rsidR="00890C1C"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En este caso, </w:t>
      </w:r>
      <w:r>
        <w:rPr>
          <w:rFonts w:ascii="Open Sans" w:eastAsia="Open Sans" w:hAnsi="Open Sans" w:cs="Open Sans"/>
          <w:b/>
        </w:rPr>
        <w:t>el coste de un apartamento de 80 metros cuadrados en estas ciudades de la costa española se mueve alrededor de los 700 euros al mes</w:t>
      </w:r>
      <w:r>
        <w:rPr>
          <w:rFonts w:ascii="Open Sans" w:eastAsia="Open Sans" w:hAnsi="Open Sans" w:cs="Open Sans"/>
        </w:rPr>
        <w:t xml:space="preserve">, en una horquilla que va desde los 663€ en Puerto Real a los 746€ en San Fernando. </w:t>
      </w:r>
      <w:r>
        <w:rPr>
          <w:rFonts w:ascii="Open Sans" w:eastAsia="Open Sans" w:hAnsi="Open Sans" w:cs="Open Sans"/>
        </w:rPr>
        <w:lastRenderedPageBreak/>
        <w:t>Asimismo, se trata de localidades que han registrado variaciones de precios muy dispares en los últimos años. Si bien prácticamente todas ellas han experimentado aumentos en los precios de los alquileres en la última década, si se pone el foco en el periodo más reciente (concretamente, en los últimos doce meses), hay notables diferencias: mientras en Ferrol (+12,5%), Castellón (+9,8%), o Algeciras los alquileres han seguido subiendo en términos interanuales, en otras localidades como Motril (-23,4%), San Fernando (-10,5%) o Vinaròs (-9,2%), las rentas han caído notablemente</w:t>
      </w:r>
      <w:r>
        <w:rPr>
          <w:rFonts w:ascii="Open Sans Light" w:eastAsia="Open Sans Light" w:hAnsi="Open Sans Light" w:cs="Open Sans Light"/>
          <w:b/>
          <w:color w:val="303AB2"/>
        </w:rPr>
        <w:t>.</w:t>
      </w:r>
    </w:p>
    <w:p w14:paraId="62448CAE" w14:textId="77777777" w:rsidR="002B4D9D" w:rsidRDefault="002B4D9D">
      <w:pPr>
        <w:spacing w:line="276" w:lineRule="auto"/>
        <w:jc w:val="right"/>
        <w:rPr>
          <w:rFonts w:ascii="Open Sans Light" w:eastAsia="Open Sans Light" w:hAnsi="Open Sans Light" w:cs="Open Sans Light"/>
          <w:b/>
          <w:color w:val="303AB2"/>
        </w:rPr>
      </w:pPr>
    </w:p>
    <w:p w14:paraId="7A20E044" w14:textId="77777777" w:rsidR="002B4D9D" w:rsidRDefault="002B4D9D">
      <w:pPr>
        <w:spacing w:line="276" w:lineRule="auto"/>
        <w:jc w:val="right"/>
        <w:rPr>
          <w:rFonts w:ascii="Open Sans Light" w:eastAsia="Open Sans Light" w:hAnsi="Open Sans Light" w:cs="Open Sans Light"/>
          <w:b/>
          <w:color w:val="303AB2"/>
        </w:rPr>
      </w:pPr>
    </w:p>
    <w:p w14:paraId="5B4759A2" w14:textId="7AD5E0E0" w:rsidR="00890C1C" w:rsidRDefault="00000000" w:rsidP="002B4D9D">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B46825A" w14:textId="77777777" w:rsidR="00890C1C" w:rsidRDefault="00000000" w:rsidP="002B4D9D">
      <w:pPr>
        <w:shd w:val="clear" w:color="auto" w:fill="FFFFFF"/>
        <w:spacing w:before="280" w:after="280" w:line="276" w:lineRule="auto"/>
        <w:ind w:left="-28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B03A31E" w14:textId="77777777" w:rsidR="00890C1C" w:rsidRDefault="00000000" w:rsidP="002B4D9D">
      <w:pPr>
        <w:shd w:val="clear" w:color="auto" w:fill="FFFFFF"/>
        <w:spacing w:before="280" w:after="280" w:line="276" w:lineRule="auto"/>
        <w:ind w:left="-28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1595895F" w14:textId="77777777" w:rsidR="00890C1C" w:rsidRDefault="00000000" w:rsidP="002B4D9D">
      <w:pPr>
        <w:shd w:val="clear" w:color="auto" w:fill="FFFFFF"/>
        <w:spacing w:before="280" w:after="280" w:line="276" w:lineRule="auto"/>
        <w:ind w:left="-28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4C3C254" w14:textId="77777777" w:rsidR="00890C1C" w:rsidRDefault="00000000" w:rsidP="002B4D9D">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502C891" w14:textId="77777777" w:rsidR="00890C1C" w:rsidRDefault="00000000" w:rsidP="002B4D9D">
      <w:pPr>
        <w:spacing w:before="143" w:after="200"/>
        <w:ind w:left="-28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6D5110E" w14:textId="77777777" w:rsidR="00890C1C" w:rsidRDefault="00000000" w:rsidP="002B4D9D">
      <w:pPr>
        <w:spacing w:before="143" w:after="200"/>
        <w:ind w:left="-28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6FC30A2" w14:textId="77777777" w:rsidR="00890C1C" w:rsidRDefault="00000000" w:rsidP="002B4D9D">
      <w:pPr>
        <w:spacing w:before="143" w:after="200"/>
        <w:ind w:left="-28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3E29BEE" w14:textId="77777777" w:rsidR="00890C1C" w:rsidRDefault="00000000" w:rsidP="002B4D9D">
      <w:pPr>
        <w:spacing w:before="143" w:after="200"/>
        <w:ind w:left="-284"/>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3784D493" w14:textId="77777777" w:rsidR="00890C1C" w:rsidRDefault="00890C1C" w:rsidP="002B4D9D">
      <w:pPr>
        <w:spacing w:before="143" w:after="200"/>
        <w:ind w:left="-284"/>
        <w:jc w:val="both"/>
        <w:rPr>
          <w:rFonts w:ascii="Open Sans" w:eastAsia="Open Sans" w:hAnsi="Open Sans" w:cs="Open Sans"/>
        </w:rPr>
      </w:pPr>
    </w:p>
    <w:p w14:paraId="7DDBE071" w14:textId="77777777" w:rsidR="00890C1C" w:rsidRDefault="00000000" w:rsidP="002B4D9D">
      <w:pPr>
        <w:spacing w:line="276" w:lineRule="auto"/>
        <w:ind w:left="-28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73E5578" w14:textId="77777777" w:rsidR="00890C1C" w:rsidRDefault="00000000" w:rsidP="002B4D9D">
      <w:pPr>
        <w:shd w:val="clear" w:color="auto" w:fill="FFFFFF"/>
        <w:spacing w:line="276" w:lineRule="auto"/>
        <w:ind w:left="-28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D61D7B4" w14:textId="77777777" w:rsidR="00890C1C" w:rsidRDefault="00000000" w:rsidP="002B4D9D">
      <w:pPr>
        <w:shd w:val="clear" w:color="auto" w:fill="FFFFFF"/>
        <w:spacing w:line="276" w:lineRule="auto"/>
        <w:ind w:left="-284"/>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2530445A" w14:textId="0A26189E" w:rsidR="00890C1C" w:rsidRDefault="00000000" w:rsidP="002B4D9D">
      <w:pPr>
        <w:shd w:val="clear" w:color="auto" w:fill="FFFFFF"/>
        <w:spacing w:line="276" w:lineRule="auto"/>
        <w:ind w:left="-284"/>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620 66 29 26</w:t>
      </w:r>
    </w:p>
    <w:sectPr w:rsidR="00890C1C">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808B6" w14:textId="77777777" w:rsidR="00E57F46" w:rsidRDefault="00E57F46">
      <w:r>
        <w:separator/>
      </w:r>
    </w:p>
  </w:endnote>
  <w:endnote w:type="continuationSeparator" w:id="0">
    <w:p w14:paraId="286F4989" w14:textId="77777777" w:rsidR="00E57F46" w:rsidRDefault="00E5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330010-CB58-484F-B45D-5F95CBB1AE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217C725-4F15-4402-802A-87EEB8B75134}"/>
    <w:embedBold r:id="rId3" w:fontKey="{FBD53403-6247-487F-AF64-3A896CEFD0D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7E618C3-8969-464B-B18C-B25C9BC81EAE}"/>
  </w:font>
  <w:font w:name="Georgia">
    <w:panose1 w:val="02040502050405020303"/>
    <w:charset w:val="00"/>
    <w:family w:val="roman"/>
    <w:pitch w:val="variable"/>
    <w:sig w:usb0="00000287" w:usb1="00000000" w:usb2="00000000" w:usb3="00000000" w:csb0="0000009F" w:csb1="00000000"/>
    <w:embedRegular r:id="rId5" w:fontKey="{5E8961BF-0EAC-47BB-B393-F0899CC71828}"/>
    <w:embedItalic r:id="rId6" w:fontKey="{072AE63C-77DF-4126-B0E5-1AC1A10298D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A08A73E-2811-48A9-B834-47361BA1E630}"/>
    <w:embedBold r:id="rId8" w:fontKey="{95727CB6-AEAC-4642-8A12-568962328AA3}"/>
  </w:font>
  <w:font w:name="Open Sans Light">
    <w:charset w:val="00"/>
    <w:family w:val="swiss"/>
    <w:pitch w:val="variable"/>
    <w:sig w:usb0="E00002EF" w:usb1="4000205B" w:usb2="00000028" w:usb3="00000000" w:csb0="0000019F" w:csb1="00000000"/>
    <w:embedRegular r:id="rId9" w:fontKey="{24ACEFB8-FCE9-4AFD-B48A-D029F618B1E8}"/>
    <w:embedBold r:id="rId10" w:fontKey="{732639A3-8A6E-426D-914F-E907E99EE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C573" w14:textId="77777777" w:rsidR="00890C1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5C72B43" wp14:editId="74D3AE42">
          <wp:simplePos x="0" y="0"/>
          <wp:positionH relativeFrom="column">
            <wp:posOffset>-1068055</wp:posOffset>
          </wp:positionH>
          <wp:positionV relativeFrom="paragraph">
            <wp:posOffset>174608</wp:posOffset>
          </wp:positionV>
          <wp:extent cx="7670550" cy="451315"/>
          <wp:effectExtent l="0" t="0" r="0" b="0"/>
          <wp:wrapNone/>
          <wp:docPr id="2093790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8B72D" w14:textId="77777777" w:rsidR="00E57F46" w:rsidRDefault="00E57F46">
      <w:r>
        <w:separator/>
      </w:r>
    </w:p>
  </w:footnote>
  <w:footnote w:type="continuationSeparator" w:id="0">
    <w:p w14:paraId="358913AF" w14:textId="77777777" w:rsidR="00E57F46" w:rsidRDefault="00E57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44E87"/>
    <w:multiLevelType w:val="multilevel"/>
    <w:tmpl w:val="FA72A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3306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1C"/>
    <w:rsid w:val="002B4D9D"/>
    <w:rsid w:val="00890C1C"/>
    <w:rsid w:val="009A3DAC"/>
    <w:rsid w:val="00E57F46"/>
    <w:rsid w:val="00F0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18F1"/>
  <w15:docId w15:val="{C1A3F29F-3A46-447F-86C1-F6893C453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Projectes/2025/250702_Platges%20m&#233;s%20cares/fotocasa-Precios%20alquiler%20vivienda%20costa%20junio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Projectes/2025/250702_Platges%20m&#233;s%20cares/fotocasa-Precios%20alquiler%20vivienda%20costa%20junio20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alquiler 2025'!$C$2:$C$11</c:f>
              <c:strCache>
                <c:ptCount val="10"/>
                <c:pt idx="0">
                  <c:v>Calvià</c:v>
                </c:pt>
                <c:pt idx="1">
                  <c:v>Barcelona Capital</c:v>
                </c:pt>
                <c:pt idx="2">
                  <c:v>San Bartolomé de Tirajana</c:v>
                </c:pt>
                <c:pt idx="3">
                  <c:v>Laredo</c:v>
                </c:pt>
                <c:pt idx="4">
                  <c:v>Sitges</c:v>
                </c:pt>
                <c:pt idx="5">
                  <c:v>Donostia</c:v>
                </c:pt>
                <c:pt idx="6">
                  <c:v>Arona</c:v>
                </c:pt>
                <c:pt idx="7">
                  <c:v>Sanxenxo</c:v>
                </c:pt>
                <c:pt idx="8">
                  <c:v>Badalona</c:v>
                </c:pt>
                <c:pt idx="9">
                  <c:v>Palma de Mallorca</c:v>
                </c:pt>
              </c:strCache>
            </c:strRef>
          </c:cat>
          <c:val>
            <c:numRef>
              <c:f>'Datos alquiler 2025'!$H$2:$H$11</c:f>
              <c:numCache>
                <c:formatCode>_-* #,##0.0\ "€"_-;\-* #,##0.0\ "€"_-;_-* "-"??\ "€"_-;_-@_-</c:formatCode>
                <c:ptCount val="10"/>
                <c:pt idx="0">
                  <c:v>23.48</c:v>
                </c:pt>
                <c:pt idx="1">
                  <c:v>23.15</c:v>
                </c:pt>
                <c:pt idx="2">
                  <c:v>20.74</c:v>
                </c:pt>
                <c:pt idx="3">
                  <c:v>20.25</c:v>
                </c:pt>
                <c:pt idx="4">
                  <c:v>19.82</c:v>
                </c:pt>
                <c:pt idx="5">
                  <c:v>19.190000000000001</c:v>
                </c:pt>
                <c:pt idx="6">
                  <c:v>19.010000000000002</c:v>
                </c:pt>
                <c:pt idx="7">
                  <c:v>18.559999999999999</c:v>
                </c:pt>
                <c:pt idx="8">
                  <c:v>18.23</c:v>
                </c:pt>
                <c:pt idx="9">
                  <c:v>18.14</c:v>
                </c:pt>
              </c:numCache>
            </c:numRef>
          </c:val>
          <c:extLst>
            <c:ext xmlns:c16="http://schemas.microsoft.com/office/drawing/2014/chart" uri="{C3380CC4-5D6E-409C-BE32-E72D297353CC}">
              <c16:uniqueId val="{00000000-11B3-4E44-A847-2906CC339B0B}"/>
            </c:ext>
          </c:extLst>
        </c:ser>
        <c:dLbls>
          <c:showLegendKey val="0"/>
          <c:showVal val="0"/>
          <c:showCatName val="0"/>
          <c:showSerName val="0"/>
          <c:showPercent val="0"/>
          <c:showBubbleSize val="0"/>
        </c:dLbls>
        <c:gapWidth val="219"/>
        <c:overlap val="-27"/>
        <c:axId val="1662742624"/>
        <c:axId val="1662742144"/>
      </c:barChart>
      <c:catAx>
        <c:axId val="16627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662742144"/>
        <c:crosses val="autoZero"/>
        <c:auto val="1"/>
        <c:lblAlgn val="ctr"/>
        <c:lblOffset val="100"/>
        <c:noMultiLvlLbl val="0"/>
      </c:catAx>
      <c:valAx>
        <c:axId val="1662742144"/>
        <c:scaling>
          <c:orientation val="minMax"/>
        </c:scaling>
        <c:delete val="1"/>
        <c:axPos val="l"/>
        <c:numFmt formatCode="_-* #,##0.0\ &quot;€&quot;_-;\-* #,##0.0\ &quot;€&quot;_-;_-* &quot;-&quot;??\ &quot;€&quot;_-;_-@_-" sourceLinked="1"/>
        <c:majorTickMark val="none"/>
        <c:minorTickMark val="none"/>
        <c:tickLblPos val="nextTo"/>
        <c:crossAx val="1662742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alquiler 2025'!$C$84:$C$93</c:f>
              <c:strCache>
                <c:ptCount val="10"/>
                <c:pt idx="0">
                  <c:v>San Fernando</c:v>
                </c:pt>
                <c:pt idx="1">
                  <c:v>Motril</c:v>
                </c:pt>
                <c:pt idx="2">
                  <c:v>Huelva Capital</c:v>
                </c:pt>
                <c:pt idx="3">
                  <c:v>Castelló de la Plana</c:v>
                </c:pt>
                <c:pt idx="4">
                  <c:v>Roquetas de Mar</c:v>
                </c:pt>
                <c:pt idx="5">
                  <c:v>Algeciras</c:v>
                </c:pt>
                <c:pt idx="6">
                  <c:v>Pontevedra Capital</c:v>
                </c:pt>
                <c:pt idx="7">
                  <c:v>Vinaròs</c:v>
                </c:pt>
                <c:pt idx="8">
                  <c:v>Ferrol</c:v>
                </c:pt>
                <c:pt idx="9">
                  <c:v>Puerto Real</c:v>
                </c:pt>
              </c:strCache>
            </c:strRef>
          </c:cat>
          <c:val>
            <c:numRef>
              <c:f>'Datos alquiler 2025'!$H$84:$H$93</c:f>
              <c:numCache>
                <c:formatCode>_-* #,##0.0\ "€"_-;\-* #,##0.0\ "€"_-;_-* "-"??\ "€"_-;_-@_-</c:formatCode>
                <c:ptCount val="10"/>
                <c:pt idx="0">
                  <c:v>9.32</c:v>
                </c:pt>
                <c:pt idx="1">
                  <c:v>9.24</c:v>
                </c:pt>
                <c:pt idx="2">
                  <c:v>9.2200000000000006</c:v>
                </c:pt>
                <c:pt idx="3">
                  <c:v>9.11</c:v>
                </c:pt>
                <c:pt idx="4">
                  <c:v>8.9499999999999993</c:v>
                </c:pt>
                <c:pt idx="5">
                  <c:v>8.9499999999999993</c:v>
                </c:pt>
                <c:pt idx="6">
                  <c:v>8.59</c:v>
                </c:pt>
                <c:pt idx="7">
                  <c:v>8.57</c:v>
                </c:pt>
                <c:pt idx="8">
                  <c:v>8.4700000000000006</c:v>
                </c:pt>
                <c:pt idx="9">
                  <c:v>8.2899999999999991</c:v>
                </c:pt>
              </c:numCache>
            </c:numRef>
          </c:val>
          <c:extLst>
            <c:ext xmlns:c16="http://schemas.microsoft.com/office/drawing/2014/chart" uri="{C3380CC4-5D6E-409C-BE32-E72D297353CC}">
              <c16:uniqueId val="{00000000-4418-4721-B6DC-8412B0C1962B}"/>
            </c:ext>
          </c:extLst>
        </c:ser>
        <c:dLbls>
          <c:showLegendKey val="0"/>
          <c:showVal val="0"/>
          <c:showCatName val="0"/>
          <c:showSerName val="0"/>
          <c:showPercent val="0"/>
          <c:showBubbleSize val="0"/>
        </c:dLbls>
        <c:gapWidth val="219"/>
        <c:overlap val="-27"/>
        <c:axId val="1758927696"/>
        <c:axId val="1758926736"/>
      </c:barChart>
      <c:catAx>
        <c:axId val="175892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758926736"/>
        <c:crosses val="autoZero"/>
        <c:auto val="1"/>
        <c:lblAlgn val="ctr"/>
        <c:lblOffset val="100"/>
        <c:noMultiLvlLbl val="0"/>
      </c:catAx>
      <c:valAx>
        <c:axId val="1758926736"/>
        <c:scaling>
          <c:orientation val="minMax"/>
        </c:scaling>
        <c:delete val="1"/>
        <c:axPos val="l"/>
        <c:numFmt formatCode="_-* #,##0.0\ &quot;€&quot;_-;\-* #,##0.0\ &quot;€&quot;_-;_-* &quot;-&quot;??\ &quot;€&quot;_-;_-@_-" sourceLinked="1"/>
        <c:majorTickMark val="none"/>
        <c:minorTickMark val="none"/>
        <c:tickLblPos val="nextTo"/>
        <c:crossAx val="175892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gl3YrfNqm8iqC03bzc4Jq/6dQ==">CgMxLjAyCGguZ2pkZ3hzMgloLjJzOGV5bzE4AHIhMWtsWmxCdklfMXE5c3QxSzM0eG95em5QNllZUkd3YnRJ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1114</Words>
  <Characters>6130</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2025-07-14T11:17:00Z</dcterms:modified>
</cp:coreProperties>
</file>