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2.xml"/>
  <Override ContentType="application/vnd.ms-office.chartcolorstyle+xml" PartName="/word/charts/colors1.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theme+xml" PartName="/word/theme/theme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2.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-1080129</wp:posOffset>
            </wp:positionH>
            <wp:positionV relativeFrom="paragraph">
              <wp:posOffset>-654680</wp:posOffset>
            </wp:positionV>
            <wp:extent cx="7581265" cy="1019175"/>
            <wp:effectExtent b="0" l="0" r="0" t="0"/>
            <wp:wrapNone/>
            <wp:docPr id="20937902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81265" cy="1019175"/>
                    </a:xfrm>
                    <a:prstGeom prst="rect"/>
                    <a:ln/>
                  </pic:spPr>
                </pic:pic>
              </a:graphicData>
            </a:graphic>
          </wp:anchor>
        </w:drawing>
      </w:r>
    </w:p>
    <w:p w:rsidR="00000000" w:rsidDel="00000000" w:rsidP="00000000" w:rsidRDefault="00000000" w:rsidRPr="00000000" w14:paraId="00000002">
      <w:pPr>
        <w:jc w:val="right"/>
        <w:rPr>
          <w:rFonts w:ascii="National" w:cs="National" w:eastAsia="National" w:hAnsi="National"/>
          <w:color w:val="303ab2"/>
          <w:sz w:val="36"/>
          <w:szCs w:val="36"/>
        </w:rPr>
      </w:pPr>
      <w:r w:rsidDel="00000000" w:rsidR="00000000" w:rsidRPr="00000000">
        <w:rPr>
          <w:rtl w:val="0"/>
        </w:rPr>
      </w:r>
    </w:p>
    <w:p w:rsidR="00000000" w:rsidDel="00000000" w:rsidP="00000000" w:rsidRDefault="00000000" w:rsidRPr="00000000" w14:paraId="00000003">
      <w:pPr>
        <w:rPr>
          <w:rFonts w:ascii="National" w:cs="National" w:eastAsia="National" w:hAnsi="National"/>
          <w:color w:val="303ab2"/>
          <w:sz w:val="18"/>
          <w:szCs w:val="18"/>
        </w:rPr>
      </w:pPr>
      <w:r w:rsidDel="00000000" w:rsidR="00000000" w:rsidRPr="00000000">
        <w:rPr>
          <w:rtl w:val="0"/>
        </w:rPr>
      </w:r>
    </w:p>
    <w:p w:rsidR="00000000" w:rsidDel="00000000" w:rsidP="00000000" w:rsidRDefault="00000000" w:rsidRPr="00000000" w14:paraId="00000004">
      <w:pPr>
        <w:spacing w:line="276" w:lineRule="auto"/>
        <w:jc w:val="center"/>
        <w:rPr>
          <w:rFonts w:ascii="National" w:cs="National" w:eastAsia="National" w:hAnsi="National"/>
          <w:b w:val="1"/>
          <w:color w:val="1dbdc5"/>
          <w:sz w:val="30"/>
          <w:szCs w:val="30"/>
        </w:rPr>
      </w:pPr>
      <w:r w:rsidDel="00000000" w:rsidR="00000000" w:rsidRPr="00000000">
        <w:rPr>
          <w:rFonts w:ascii="National" w:cs="National" w:eastAsia="National" w:hAnsi="National"/>
          <w:b w:val="1"/>
          <w:color w:val="1dbdc5"/>
          <w:sz w:val="30"/>
          <w:szCs w:val="30"/>
          <w:rtl w:val="0"/>
        </w:rPr>
        <w:t xml:space="preserve">EL MERCADO INMOBILIARIO EN LA COSTA ESPAÑOLA</w:t>
      </w:r>
    </w:p>
    <w:p w:rsidR="00000000" w:rsidDel="00000000" w:rsidP="00000000" w:rsidRDefault="00000000" w:rsidRPr="00000000" w14:paraId="00000005">
      <w:pPr>
        <w:spacing w:line="276" w:lineRule="auto"/>
        <w:ind w:right="4"/>
        <w:jc w:val="center"/>
        <w:rPr>
          <w:rFonts w:ascii="Open Sans" w:cs="Open Sans" w:eastAsia="Open Sans" w:hAnsi="Open Sans"/>
          <w:color w:val="303ab2"/>
          <w:sz w:val="22"/>
          <w:szCs w:val="22"/>
        </w:rPr>
      </w:pPr>
      <w:r w:rsidDel="00000000" w:rsidR="00000000" w:rsidRPr="00000000">
        <w:rPr>
          <w:rFonts w:ascii="National" w:cs="National" w:eastAsia="National" w:hAnsi="National"/>
          <w:b w:val="1"/>
          <w:color w:val="303ab2"/>
          <w:sz w:val="46"/>
          <w:szCs w:val="46"/>
          <w:rtl w:val="0"/>
        </w:rPr>
        <w:t xml:space="preserve">Santa Eulària des Riu, Eivissa, Sant Antoni de Portmany y San Sebastián son los municipios costeros con las viviendas de compra más caras de España</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line="276" w:lineRule="auto"/>
        <w:ind w:left="720" w:right="283" w:hanging="360"/>
        <w:jc w:val="both"/>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Baleares, País Vasco y Cataluña concentran las localidades costeras con los precios más elevados de viviendas en propiedad</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line="276" w:lineRule="auto"/>
        <w:ind w:left="720" w:right="283" w:hanging="360"/>
        <w:jc w:val="both"/>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En el extremo opuesto, las poblaciones de Carballo y Narón (A Coruña), y de Lepe y Cartaya (Huelva) son las más asequibles para adquirir un apartamento en la costa</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line="276" w:lineRule="auto"/>
        <w:ind w:left="720" w:right="283" w:hanging="360"/>
        <w:jc w:val="both"/>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Una vivienda de 80 metros cuadrados supera los 500.000 euros en las ubicaciones costeras más caras, mientras que apenas llega a los 100.000 euros en las más baratas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ind w:left="720" w:firstLine="0"/>
        <w:jc w:val="both"/>
        <w:rPr>
          <w:rFonts w:ascii="Open Sans" w:cs="Open Sans" w:eastAsia="Open Sans" w:hAnsi="Open Sans"/>
          <w:color w:val="303ab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ind w:left="-284" w:firstLine="0"/>
        <w:jc w:val="both"/>
        <w:rPr>
          <w:rFonts w:ascii="Open Sans Light" w:cs="Open Sans Light" w:eastAsia="Open Sans Light" w:hAnsi="Open Sans Light"/>
          <w:b w:val="1"/>
          <w:color w:val="303ab2"/>
          <w:sz w:val="22"/>
          <w:szCs w:val="22"/>
        </w:rPr>
      </w:pPr>
      <w:r w:rsidDel="00000000" w:rsidR="00000000" w:rsidRPr="00000000">
        <w:rPr>
          <w:rFonts w:ascii="Open Sans Light" w:cs="Open Sans Light" w:eastAsia="Open Sans Light" w:hAnsi="Open Sans Light"/>
          <w:b w:val="1"/>
          <w:color w:val="303ab2"/>
          <w:sz w:val="22"/>
          <w:szCs w:val="22"/>
          <w:rtl w:val="0"/>
        </w:rPr>
        <w:t xml:space="preserve">Madrid, 02 de julio de 2025</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ind w:left="-284"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ind w:left="-284" w:firstLine="0"/>
        <w:jc w:val="both"/>
        <w:rPr>
          <w:rFonts w:ascii="Open Sans" w:cs="Open Sans" w:eastAsia="Open Sans" w:hAnsi="Open Sans"/>
        </w:rPr>
      </w:pPr>
      <w:r w:rsidDel="00000000" w:rsidR="00000000" w:rsidRPr="00000000">
        <w:rPr>
          <w:rFonts w:ascii="Open Sans" w:cs="Open Sans" w:eastAsia="Open Sans" w:hAnsi="Open Sans"/>
          <w:rtl w:val="0"/>
        </w:rPr>
        <w:t xml:space="preserve">Los municipios de Santa Eulària des Riu (8.530 euros por metro cuadrado), Eivissa (7.255 €/m2), Sant Antoni de Portmany (6.938 €/m2), todos ellos situados en Baleares, y Donostia – San Sebastián (6.924 €/m2), ubicado en el País Vasco, son las localidades costeras con los precios de la vivienda de compra más caros de España, </w:t>
      </w:r>
      <w:r w:rsidDel="00000000" w:rsidR="00000000" w:rsidRPr="00000000">
        <w:rPr>
          <w:rFonts w:ascii="Open Sans" w:cs="Open Sans" w:eastAsia="Open Sans" w:hAnsi="Open Sans"/>
          <w:b w:val="1"/>
          <w:rtl w:val="0"/>
        </w:rPr>
        <w:t xml:space="preserve">según los datos del Índice Inmobiliario Fotocasa correspondientes a junio de 2025</w:t>
      </w:r>
      <w:r w:rsidDel="00000000" w:rsidR="00000000" w:rsidRPr="00000000">
        <w:rPr>
          <w:rFonts w:ascii="Open Sans" w:cs="Open Sans" w:eastAsia="Open Sans" w:hAnsi="Open Sans"/>
          <w:rtl w:val="0"/>
        </w:rPr>
        <w:t xml:space="preserve">. A continuación, aparecen dos municipios baleares más, como son el caso de Sant Josep de sa Talaia (6.790 €/m2) y Calvià (6.421 €/m2), seguidos de otra localidad vasca como Zarautz (6.419 €/m2). Por debajo de la franja de los 6.000 euros por metro cuadrado, cierran este Top 10 dos municipios catalanes, Sitges (5.617 €/m2) y Barcelona capital (5.116 €/m2), junto con la localidad andaluza de Marbella (5.262 €/m2).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ind w:left="-284"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ind w:left="-284"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En todas estas poblaciones costeras, los precios han acumulado importantes crecimientos durante los últimos años</w:t>
      </w:r>
      <w:r w:rsidDel="00000000" w:rsidR="00000000" w:rsidRPr="00000000">
        <w:rPr>
          <w:rFonts w:ascii="Open Sans" w:cs="Open Sans" w:eastAsia="Open Sans" w:hAnsi="Open Sans"/>
          <w:rtl w:val="0"/>
        </w:rPr>
        <w:t xml:space="preserve">, por encima de los dos dígitos en muchos casos. Los incrementos más notables durante el último año se han dado en las localidades baleares de Santa Eulària des Riu (+46%), Sant Antoni de Portmany (+36%), y Sant Josep de sa Talaia (+20%). Además, en la mayoría de estas localidades el precio medio de un apartamento de 80 metros cuadrados supera el medio millón de euros, muy cerca de sus máximos históricos.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ind w:left="-284"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ind w:left="-284" w:firstLine="0"/>
        <w:jc w:val="center"/>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Ranking de las ciudades costeras con precios más altos (€/m2)</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ind w:left="-284"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ind w:left="-284" w:firstLine="0"/>
        <w:jc w:val="both"/>
        <w:rPr>
          <w:rFonts w:ascii="Open Sans" w:cs="Open Sans" w:eastAsia="Open Sans" w:hAnsi="Open Sans"/>
        </w:rPr>
      </w:pPr>
      <w:r w:rsidDel="00000000" w:rsidR="00000000" w:rsidRPr="00000000">
        <w:rPr/>
        <w:drawing>
          <wp:inline distB="0" distT="0" distL="0" distR="0">
            <wp:extent cx="5760720" cy="2786332"/>
            <wp:docPr id="2093790229"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ind w:left="-284"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spacing w:line="276" w:lineRule="auto"/>
        <w:ind w:left="-284" w:right="4" w:firstLine="0"/>
        <w:jc w:val="both"/>
        <w:rPr>
          <w:rFonts w:ascii="Open Sans" w:cs="Open Sans" w:eastAsia="Open Sans" w:hAnsi="Open Sans"/>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15">
      <w:pPr>
        <w:spacing w:line="276" w:lineRule="auto"/>
        <w:ind w:left="-284" w:right="141" w:firstLine="0"/>
        <w:jc w:val="both"/>
        <w:rPr>
          <w:b w:val="1"/>
        </w:rPr>
      </w:pPr>
      <w:r w:rsidDel="00000000" w:rsidR="00000000" w:rsidRPr="00000000">
        <w:rPr>
          <w:rFonts w:ascii="Open Sans" w:cs="Open Sans" w:eastAsia="Open Sans" w:hAnsi="Open Sans"/>
          <w:sz w:val="22"/>
          <w:szCs w:val="22"/>
          <w:rtl w:val="0"/>
        </w:rPr>
        <w:t xml:space="preserve">“Baleares es actualmente el mercado costero con mayor presión de demanda, fruto de la confluencia entre el interés nacional y una fuerte demanda internacional junto a un territorio limitado. El archipiélago concentra el podio de los precios más elevados, impulsado por compradores con alto poder adquisitivo, lo que consolida estos enclaves como destinos residenciales de lujo. Este fenómeno contrasta con otras áreas del litoral, como Galicia o la Andalucía occidental, donde aún es posible adquirir vivienda por menos de 100.000 euros. Esta diferencia refleja las profundas diferencias estructurales de las viviendas en la costa condicionadas por la intensidad del turismo, el atractivo inversor y el poder adquisitivo de la demanda en cada territorio”, </w:t>
      </w:r>
      <w:r w:rsidDel="00000000" w:rsidR="00000000" w:rsidRPr="00000000">
        <w:rPr>
          <w:rFonts w:ascii="Open Sans" w:cs="Open Sans" w:eastAsia="Open Sans" w:hAnsi="Open Sans"/>
          <w:b w:val="1"/>
          <w:sz w:val="22"/>
          <w:szCs w:val="22"/>
          <w:rtl w:val="0"/>
        </w:rPr>
        <w:t xml:space="preserve">comenta María Matos, directora de Estudios y portavoz de </w:t>
      </w:r>
      <w:hyperlink r:id="rId9">
        <w:r w:rsidDel="00000000" w:rsidR="00000000" w:rsidRPr="00000000">
          <w:rPr>
            <w:rFonts w:ascii="Open Sans" w:cs="Open Sans" w:eastAsia="Open Sans" w:hAnsi="Open Sans"/>
            <w:b w:val="1"/>
            <w:color w:val="1155cc"/>
            <w:sz w:val="22"/>
            <w:szCs w:val="22"/>
            <w:u w:val="single"/>
            <w:rtl w:val="0"/>
          </w:rPr>
          <w:t xml:space="preserve">Fotocasa</w:t>
        </w:r>
      </w:hyperlink>
      <w:r w:rsidDel="00000000" w:rsidR="00000000" w:rsidRPr="00000000">
        <w:rPr>
          <w:rFonts w:ascii="Open Sans" w:cs="Open Sans" w:eastAsia="Open Sans" w:hAnsi="Open Sans"/>
          <w:b w:val="1"/>
          <w:sz w:val="22"/>
          <w:szCs w:val="22"/>
          <w:rtl w:val="0"/>
        </w:rPr>
        <w:t xml:space="preserve">. </w:t>
      </w:r>
      <w:r w:rsidDel="00000000" w:rsidR="00000000" w:rsidRPr="00000000">
        <w:rPr>
          <w:rtl w:val="0"/>
        </w:rPr>
      </w:r>
    </w:p>
    <w:p w:rsidR="00000000" w:rsidDel="00000000" w:rsidP="00000000" w:rsidRDefault="00000000" w:rsidRPr="00000000" w14:paraId="00000016">
      <w:pPr>
        <w:spacing w:line="276" w:lineRule="auto"/>
        <w:ind w:left="-284" w:right="4" w:firstLine="0"/>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ind w:left="-284" w:firstLine="0"/>
        <w:jc w:val="both"/>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Galicia y Andalucía concentran las localidades costeras más asequibles</w:t>
      </w:r>
    </w:p>
    <w:p w:rsidR="00000000" w:rsidDel="00000000" w:rsidP="00000000" w:rsidRDefault="00000000" w:rsidRPr="00000000" w14:paraId="00000018">
      <w:pPr>
        <w:spacing w:line="276" w:lineRule="auto"/>
        <w:ind w:left="-284" w:right="4" w:firstLine="0"/>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ind w:left="-284" w:firstLine="0"/>
        <w:jc w:val="both"/>
        <w:rPr>
          <w:rFonts w:ascii="Open Sans" w:cs="Open Sans" w:eastAsia="Open Sans" w:hAnsi="Open Sans"/>
        </w:rPr>
      </w:pPr>
      <w:r w:rsidDel="00000000" w:rsidR="00000000" w:rsidRPr="00000000">
        <w:rPr>
          <w:rFonts w:ascii="Open Sans" w:cs="Open Sans" w:eastAsia="Open Sans" w:hAnsi="Open Sans"/>
          <w:rtl w:val="0"/>
        </w:rPr>
        <w:t xml:space="preserve">En el extremo opuesto, </w:t>
      </w:r>
      <w:r w:rsidDel="00000000" w:rsidR="00000000" w:rsidRPr="00000000">
        <w:rPr>
          <w:rFonts w:ascii="Open Sans" w:cs="Open Sans" w:eastAsia="Open Sans" w:hAnsi="Open Sans"/>
          <w:b w:val="1"/>
          <w:rtl w:val="0"/>
        </w:rPr>
        <w:t xml:space="preserve">entre las localidades costeras más asequibles, predominan poblaciones andaluzas, gallegas y del este peninsular</w:t>
      </w:r>
      <w:r w:rsidDel="00000000" w:rsidR="00000000" w:rsidRPr="00000000">
        <w:rPr>
          <w:rFonts w:ascii="Open Sans" w:cs="Open Sans" w:eastAsia="Open Sans" w:hAnsi="Open Sans"/>
          <w:rtl w:val="0"/>
        </w:rPr>
        <w:t xml:space="preserve">. Así, la población costera con un precio más bajo de la vivienda en propiedad es Cartaya, ubicada en Huelva, con una media de 911 euros por metro cuadrado. A continuación, aparecen los municipios coruñeses de Narón (1.056 €/m2), Carballo (1.145 €/m2), y Ferrol (1.169 €/m2), y la también onubense localidad de Lepe (1.099 €/m2), así como las poblaciones de Burriana (1.154€/m2), en Castellón, y Amposta (1.167 €/m2), en Tarragona. Completan este Top 10 de poblaciones costeras más baratas los municipios de Adra (1.234 €/m2), en Almería, Viveiro (1.336€/m2), en Lugo, y Algeciras (1.401 €/m2), en Cádiz.</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ind w:left="-284"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ind w:left="-284" w:firstLine="0"/>
        <w:jc w:val="both"/>
        <w:rPr>
          <w:rFonts w:ascii="Open Sans" w:cs="Open Sans" w:eastAsia="Open Sans" w:hAnsi="Open Sans"/>
        </w:rPr>
      </w:pPr>
      <w:r w:rsidDel="00000000" w:rsidR="00000000" w:rsidRPr="00000000">
        <w:rPr>
          <w:rFonts w:ascii="Open Sans" w:cs="Open Sans" w:eastAsia="Open Sans" w:hAnsi="Open Sans"/>
          <w:rtl w:val="0"/>
        </w:rPr>
        <w:t xml:space="preserve">En este caso, exceptuando los casos de Algeciras y Viveiro, </w:t>
      </w:r>
      <w:r w:rsidDel="00000000" w:rsidR="00000000" w:rsidRPr="00000000">
        <w:rPr>
          <w:rFonts w:ascii="Open Sans" w:cs="Open Sans" w:eastAsia="Open Sans" w:hAnsi="Open Sans"/>
          <w:b w:val="1"/>
          <w:rtl w:val="0"/>
        </w:rPr>
        <w:t xml:space="preserve">el coste de un apartamento de 80 metros cuadrados en estas ciudades de la costa española no supera los 100.000 euros</w:t>
      </w:r>
      <w:r w:rsidDel="00000000" w:rsidR="00000000" w:rsidRPr="00000000">
        <w:rPr>
          <w:rFonts w:ascii="Open Sans" w:cs="Open Sans" w:eastAsia="Open Sans" w:hAnsi="Open Sans"/>
          <w:rtl w:val="0"/>
        </w:rPr>
        <w:t xml:space="preserve">. También se trata de localidades que han registrado incrementos de precios más moderados en los últimos años. No obstante, existen casos como los de Algeciras, Ferrol y Burriana en los que el precio interanual de una vivienda ha crecido por encima del 13% en los últimos doce meses.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ind w:left="-284"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ind w:left="-284" w:firstLine="0"/>
        <w:jc w:val="center"/>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Ranking de las ciudades costeras con precios más bajos (€/m2)</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ind w:left="-284"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ind w:left="-284" w:firstLine="0"/>
        <w:jc w:val="both"/>
        <w:rPr>
          <w:rFonts w:ascii="Open Sans" w:cs="Open Sans" w:eastAsia="Open Sans" w:hAnsi="Open Sans"/>
        </w:rPr>
      </w:pPr>
      <w:r w:rsidDel="00000000" w:rsidR="00000000" w:rsidRPr="00000000">
        <w:rPr/>
        <w:drawing>
          <wp:inline distB="0" distT="0" distL="0" distR="0">
            <wp:extent cx="5760720" cy="2500630"/>
            <wp:docPr id="2093790228" name=""/>
            <a:graphic>
              <a:graphicData uri="http://schemas.openxmlformats.org/drawingml/2006/chart">
                <c:chart r:id="rId10"/>
              </a:graphicData>
            </a:graphic>
          </wp:inline>
        </w:drawing>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0">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3">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8">
      <w:pPr>
        <w:spacing w:line="276" w:lineRule="auto"/>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A">
      <w:pPr>
        <w:spacing w:line="276" w:lineRule="auto"/>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Fotocasa</w:t>
      </w:r>
    </w:p>
    <w:p w:rsidR="00000000" w:rsidDel="00000000" w:rsidP="00000000" w:rsidRDefault="00000000" w:rsidRPr="00000000" w14:paraId="0000002B">
      <w:pP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Portal inmobiliario que cuenta con inmuebles de segunda mano, promociones de obra nueva y viviendas de alquiler. Cada mes genera un tráfico de 34 millones de visitas (75% a través de dispositivos móviles). Mensualmente elabora el </w:t>
      </w:r>
      <w:hyperlink r:id="rId11">
        <w:r w:rsidDel="00000000" w:rsidR="00000000" w:rsidRPr="00000000">
          <w:rPr>
            <w:rFonts w:ascii="Open Sans" w:cs="Open Sans" w:eastAsia="Open Sans" w:hAnsi="Open Sans"/>
            <w:color w:val="0000ff"/>
            <w:sz w:val="22"/>
            <w:szCs w:val="22"/>
            <w:u w:val="single"/>
            <w:rtl w:val="0"/>
          </w:rPr>
          <w:t xml:space="preserve">índice inmobiliario Fotocasa</w:t>
        </w:r>
      </w:hyperlink>
      <w:r w:rsidDel="00000000" w:rsidR="00000000" w:rsidRPr="00000000">
        <w:rPr>
          <w:rFonts w:ascii="Open Sans" w:cs="Open Sans" w:eastAsia="Open Sans" w:hAnsi="Open Sans"/>
          <w:sz w:val="22"/>
          <w:szCs w:val="22"/>
          <w:rtl w:val="0"/>
        </w:rPr>
        <w:t xml:space="preserve">, un informe de referencia sobre la evolución del precio medio de la vivienda en España, tanto en venta como en alquiler. </w:t>
      </w:r>
    </w:p>
    <w:p w:rsidR="00000000" w:rsidDel="00000000" w:rsidP="00000000" w:rsidRDefault="00000000" w:rsidRPr="00000000" w14:paraId="0000002C">
      <w:pP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Toda nuestra información la puedes encontrar en nuestra </w:t>
      </w:r>
      <w:hyperlink r:id="rId12">
        <w:r w:rsidDel="00000000" w:rsidR="00000000" w:rsidRPr="00000000">
          <w:rPr>
            <w:rFonts w:ascii="Open Sans" w:cs="Open Sans" w:eastAsia="Open Sans" w:hAnsi="Open Sans"/>
            <w:color w:val="0000ff"/>
            <w:sz w:val="22"/>
            <w:szCs w:val="22"/>
            <w:u w:val="single"/>
            <w:rtl w:val="0"/>
          </w:rPr>
          <w:t xml:space="preserve">Sala de Prensa</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02D">
      <w:pPr>
        <w:shd w:fill="ffffff" w:val="clear"/>
        <w:spacing w:after="280" w:before="280" w:line="276" w:lineRule="auto"/>
        <w:jc w:val="both"/>
        <w:rPr>
          <w:rFonts w:ascii="Open Sans" w:cs="Open Sans" w:eastAsia="Open Sans" w:hAnsi="Open Sans"/>
          <w:sz w:val="22"/>
          <w:szCs w:val="22"/>
        </w:rPr>
      </w:pPr>
      <w:bookmarkStart w:colFirst="0" w:colLast="0" w:name="_heading=h.2s8eyo1" w:id="1"/>
      <w:bookmarkEnd w:id="1"/>
      <w:hyperlink r:id="rId13">
        <w:r w:rsidDel="00000000" w:rsidR="00000000" w:rsidRPr="00000000">
          <w:rPr>
            <w:rFonts w:ascii="Open Sans" w:cs="Open Sans" w:eastAsia="Open Sans" w:hAnsi="Open Sans"/>
            <w:color w:val="0000ff"/>
            <w:sz w:val="22"/>
            <w:szCs w:val="22"/>
            <w:u w:val="single"/>
            <w:rtl w:val="0"/>
          </w:rPr>
          <w:t xml:space="preserve">Más información sobre Fotocasa</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02E">
      <w:pPr>
        <w:spacing w:line="276" w:lineRule="auto"/>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Adevinta</w:t>
      </w:r>
    </w:p>
    <w:p w:rsidR="00000000" w:rsidDel="00000000" w:rsidP="00000000" w:rsidRDefault="00000000" w:rsidRPr="00000000" w14:paraId="0000002F">
      <w:pPr>
        <w:spacing w:after="200" w:before="143" w:lineRule="auto"/>
        <w:jc w:val="both"/>
        <w:rPr>
          <w:rFonts w:ascii="Open Sans" w:cs="Open Sans" w:eastAsia="Open Sans" w:hAnsi="Open Sans"/>
        </w:rPr>
      </w:pPr>
      <w:r w:rsidDel="00000000" w:rsidR="00000000" w:rsidRPr="00000000">
        <w:rPr>
          <w:rFonts w:ascii="Open Sans" w:cs="Open Sans" w:eastAsia="Open Sans" w:hAnsi="Open Sans"/>
          <w:sz w:val="22"/>
          <w:szCs w:val="22"/>
          <w:rtl w:val="0"/>
        </w:rPr>
        <w:t xml:space="preserve">Adevinta es un grupo de empresas líder en marketplaces digitales y una de las principales empresas del sector tecnológico del país, con más de 18 millones de usuarios únicos al mes en sus plataformas de los sectores inmobiliario (</w:t>
      </w:r>
      <w:hyperlink r:id="rId14">
        <w:r w:rsidDel="00000000" w:rsidR="00000000" w:rsidRPr="00000000">
          <w:rPr>
            <w:rFonts w:ascii="Open Sans" w:cs="Open Sans" w:eastAsia="Open Sans" w:hAnsi="Open Sans"/>
            <w:color w:val="1155cc"/>
            <w:sz w:val="22"/>
            <w:szCs w:val="22"/>
            <w:u w:val="single"/>
            <w:rtl w:val="0"/>
          </w:rPr>
          <w:t xml:space="preserve">Fotocasa</w:t>
        </w:r>
      </w:hyperlink>
      <w:r w:rsidDel="00000000" w:rsidR="00000000" w:rsidRPr="00000000">
        <w:rPr>
          <w:rFonts w:ascii="Open Sans" w:cs="Open Sans" w:eastAsia="Open Sans" w:hAnsi="Open Sans"/>
          <w:color w:val="231f20"/>
          <w:sz w:val="22"/>
          <w:szCs w:val="22"/>
          <w:rtl w:val="0"/>
        </w:rPr>
        <w:t xml:space="preserve"> </w:t>
      </w:r>
      <w:r w:rsidDel="00000000" w:rsidR="00000000" w:rsidRPr="00000000">
        <w:rPr>
          <w:rFonts w:ascii="Open Sans" w:cs="Open Sans" w:eastAsia="Open Sans" w:hAnsi="Open Sans"/>
          <w:sz w:val="22"/>
          <w:szCs w:val="22"/>
          <w:rtl w:val="0"/>
        </w:rPr>
        <w:t xml:space="preserve">y</w:t>
      </w:r>
      <w:r w:rsidDel="00000000" w:rsidR="00000000" w:rsidRPr="00000000">
        <w:rPr>
          <w:rFonts w:ascii="Open Sans" w:cs="Open Sans" w:eastAsia="Open Sans" w:hAnsi="Open Sans"/>
          <w:color w:val="231f20"/>
          <w:sz w:val="22"/>
          <w:szCs w:val="22"/>
          <w:rtl w:val="0"/>
        </w:rPr>
        <w:t xml:space="preserve"> </w:t>
      </w:r>
      <w:hyperlink r:id="rId15">
        <w:r w:rsidDel="00000000" w:rsidR="00000000" w:rsidRPr="00000000">
          <w:rPr>
            <w:rFonts w:ascii="Open Sans" w:cs="Open Sans" w:eastAsia="Open Sans" w:hAnsi="Open Sans"/>
            <w:color w:val="1155cc"/>
            <w:sz w:val="22"/>
            <w:szCs w:val="22"/>
            <w:u w:val="single"/>
            <w:rtl w:val="0"/>
          </w:rPr>
          <w:t xml:space="preserve">habitaclia</w:t>
        </w:r>
      </w:hyperlink>
      <w:r w:rsidDel="00000000" w:rsidR="00000000" w:rsidRPr="00000000">
        <w:rPr>
          <w:rFonts w:ascii="Open Sans" w:cs="Open Sans" w:eastAsia="Open Sans" w:hAnsi="Open Sans"/>
          <w:sz w:val="22"/>
          <w:szCs w:val="22"/>
          <w:rtl w:val="0"/>
        </w:rPr>
        <w:t xml:space="preserve">), empleo (</w:t>
      </w:r>
      <w:hyperlink r:id="rId16">
        <w:r w:rsidDel="00000000" w:rsidR="00000000" w:rsidRPr="00000000">
          <w:rPr>
            <w:rFonts w:ascii="Open Sans" w:cs="Open Sans" w:eastAsia="Open Sans" w:hAnsi="Open Sans"/>
            <w:color w:val="1155cc"/>
            <w:sz w:val="22"/>
            <w:szCs w:val="22"/>
            <w:u w:val="single"/>
            <w:rtl w:val="0"/>
          </w:rPr>
          <w:t xml:space="preserve">InfoJobs</w:t>
        </w:r>
      </w:hyperlink>
      <w:r w:rsidDel="00000000" w:rsidR="00000000" w:rsidRPr="00000000">
        <w:rPr>
          <w:rFonts w:ascii="Open Sans" w:cs="Open Sans" w:eastAsia="Open Sans" w:hAnsi="Open Sans"/>
          <w:sz w:val="22"/>
          <w:szCs w:val="22"/>
          <w:rtl w:val="0"/>
        </w:rPr>
        <w:t xml:space="preserve">), motor (</w:t>
      </w:r>
      <w:hyperlink r:id="rId17">
        <w:r w:rsidDel="00000000" w:rsidR="00000000" w:rsidRPr="00000000">
          <w:rPr>
            <w:rFonts w:ascii="Open Sans" w:cs="Open Sans" w:eastAsia="Open Sans" w:hAnsi="Open Sans"/>
            <w:color w:val="1155cc"/>
            <w:sz w:val="22"/>
            <w:szCs w:val="22"/>
            <w:u w:val="single"/>
            <w:rtl w:val="0"/>
          </w:rPr>
          <w:t xml:space="preserve">coches.net</w:t>
        </w:r>
      </w:hyperlink>
      <w:r w:rsidDel="00000000" w:rsidR="00000000" w:rsidRPr="00000000">
        <w:rPr>
          <w:rFonts w:ascii="Open Sans" w:cs="Open Sans" w:eastAsia="Open Sans" w:hAnsi="Open Sans"/>
          <w:color w:val="231f20"/>
          <w:sz w:val="22"/>
          <w:szCs w:val="22"/>
          <w:rtl w:val="0"/>
        </w:rPr>
        <w:t xml:space="preserve"> </w:t>
      </w:r>
      <w:r w:rsidDel="00000000" w:rsidR="00000000" w:rsidRPr="00000000">
        <w:rPr>
          <w:rFonts w:ascii="Open Sans" w:cs="Open Sans" w:eastAsia="Open Sans" w:hAnsi="Open Sans"/>
          <w:sz w:val="22"/>
          <w:szCs w:val="22"/>
          <w:rtl w:val="0"/>
        </w:rPr>
        <w:t xml:space="preserve">y</w:t>
      </w:r>
      <w:r w:rsidDel="00000000" w:rsidR="00000000" w:rsidRPr="00000000">
        <w:rPr>
          <w:rFonts w:ascii="Open Sans" w:cs="Open Sans" w:eastAsia="Open Sans" w:hAnsi="Open Sans"/>
          <w:color w:val="231f20"/>
          <w:sz w:val="22"/>
          <w:szCs w:val="22"/>
          <w:rtl w:val="0"/>
        </w:rPr>
        <w:t xml:space="preserve"> </w:t>
      </w:r>
      <w:hyperlink r:id="rId18">
        <w:r w:rsidDel="00000000" w:rsidR="00000000" w:rsidRPr="00000000">
          <w:rPr>
            <w:rFonts w:ascii="Open Sans" w:cs="Open Sans" w:eastAsia="Open Sans" w:hAnsi="Open Sans"/>
            <w:color w:val="1155cc"/>
            <w:sz w:val="22"/>
            <w:szCs w:val="22"/>
            <w:u w:val="single"/>
            <w:rtl w:val="0"/>
          </w:rPr>
          <w:t xml:space="preserve">motos.net</w:t>
        </w:r>
      </w:hyperlink>
      <w:r w:rsidDel="00000000" w:rsidR="00000000" w:rsidRPr="00000000">
        <w:rPr>
          <w:rFonts w:ascii="Open Sans" w:cs="Open Sans" w:eastAsia="Open Sans" w:hAnsi="Open Sans"/>
          <w:sz w:val="22"/>
          <w:szCs w:val="22"/>
          <w:rtl w:val="0"/>
        </w:rPr>
        <w:t xml:space="preserve">) y compraventa de artículos de segunda mano (</w:t>
      </w:r>
      <w:hyperlink r:id="rId19">
        <w:r w:rsidDel="00000000" w:rsidR="00000000" w:rsidRPr="00000000">
          <w:rPr>
            <w:rFonts w:ascii="Open Sans" w:cs="Open Sans" w:eastAsia="Open Sans" w:hAnsi="Open Sans"/>
            <w:color w:val="1155cc"/>
            <w:sz w:val="22"/>
            <w:szCs w:val="22"/>
            <w:u w:val="single"/>
            <w:rtl w:val="0"/>
          </w:rPr>
          <w:t xml:space="preserve">Milanuncios</w:t>
        </w:r>
      </w:hyperlink>
      <w:r w:rsidDel="00000000" w:rsidR="00000000" w:rsidRPr="00000000">
        <w:rPr>
          <w:rFonts w:ascii="Open Sans" w:cs="Open Sans" w:eastAsia="Open Sans" w:hAnsi="Open Sans"/>
          <w:sz w:val="22"/>
          <w:szCs w:val="22"/>
          <w:rtl w:val="0"/>
        </w:rPr>
        <w:t xml:space="preserve">).</w:t>
      </w:r>
      <w:r w:rsidDel="00000000" w:rsidR="00000000" w:rsidRPr="00000000">
        <w:rPr>
          <w:rtl w:val="0"/>
        </w:rPr>
      </w:r>
    </w:p>
    <w:p w:rsidR="00000000" w:rsidDel="00000000" w:rsidP="00000000" w:rsidRDefault="00000000" w:rsidRPr="00000000" w14:paraId="00000030">
      <w:pPr>
        <w:spacing w:after="200" w:before="143"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Los negocios de Adevinta han evolucionado del papel al online a lo largo de más de 40 años de trayectoria en España, convirtiéndose en referentes de Internet. Con sede en Barcelona, la compañía cuenta con una plantilla de más de 1.000 personas comprometidas con fomentar un cambio positivo en el mundo a través de tecnología innovadora, otorgando una nueva oportunidad a quienes la están buscando y dando a las cosas una segunda vida.</w:t>
      </w:r>
    </w:p>
    <w:p w:rsidR="00000000" w:rsidDel="00000000" w:rsidP="00000000" w:rsidRDefault="00000000" w:rsidRPr="00000000" w14:paraId="00000031">
      <w:pPr>
        <w:spacing w:after="200" w:before="143"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Adevinta tiene presencia mundial en 10 países. El conjunto de sus plataformas locales recibe un promedio de 2.500 millones de visitas cada mes. </w:t>
      </w:r>
    </w:p>
    <w:p w:rsidR="00000000" w:rsidDel="00000000" w:rsidP="00000000" w:rsidRDefault="00000000" w:rsidRPr="00000000" w14:paraId="00000032">
      <w:pPr>
        <w:spacing w:after="200" w:before="143" w:lineRule="auto"/>
        <w:jc w:val="both"/>
        <w:rPr/>
      </w:pPr>
      <w:r w:rsidDel="00000000" w:rsidR="00000000" w:rsidRPr="00000000">
        <w:rPr>
          <w:rFonts w:ascii="Open Sans" w:cs="Open Sans" w:eastAsia="Open Sans" w:hAnsi="Open Sans"/>
          <w:sz w:val="22"/>
          <w:szCs w:val="22"/>
          <w:rtl w:val="0"/>
        </w:rPr>
        <w:t xml:space="preserve">Más información en </w:t>
      </w:r>
      <w:hyperlink r:id="rId20">
        <w:r w:rsidDel="00000000" w:rsidR="00000000" w:rsidRPr="00000000">
          <w:rPr>
            <w:rFonts w:ascii="Open Sans" w:cs="Open Sans" w:eastAsia="Open Sans" w:hAnsi="Open Sans"/>
            <w:color w:val="1155cc"/>
            <w:sz w:val="22"/>
            <w:szCs w:val="22"/>
            <w:u w:val="single"/>
            <w:rtl w:val="0"/>
          </w:rPr>
          <w:t xml:space="preserve">adevinta.es</w:t>
        </w:r>
      </w:hyperlink>
      <w:r w:rsidDel="00000000" w:rsidR="00000000" w:rsidRPr="00000000">
        <w:rPr>
          <w:rtl w:val="0"/>
        </w:rPr>
      </w:r>
    </w:p>
    <w:p w:rsidR="00000000" w:rsidDel="00000000" w:rsidP="00000000" w:rsidRDefault="00000000" w:rsidRPr="00000000" w14:paraId="00000033">
      <w:pPr>
        <w:spacing w:after="200" w:before="143"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4">
      <w:pPr>
        <w:spacing w:line="276" w:lineRule="auto"/>
        <w:rPr>
          <w:rFonts w:ascii="Open Sans Light" w:cs="Open Sans Light" w:eastAsia="Open Sans Light" w:hAnsi="Open Sans Light"/>
          <w:b w:val="1"/>
          <w:color w:val="303ab2"/>
          <w:sz w:val="22"/>
          <w:szCs w:val="22"/>
        </w:rPr>
      </w:pPr>
      <w:r w:rsidDel="00000000" w:rsidR="00000000" w:rsidRPr="00000000">
        <w:rPr>
          <w:rFonts w:ascii="Open Sans Light" w:cs="Open Sans Light" w:eastAsia="Open Sans Light" w:hAnsi="Open Sans Light"/>
          <w:b w:val="1"/>
          <w:color w:val="303ab2"/>
          <w:sz w:val="22"/>
          <w:szCs w:val="22"/>
          <w:rtl w:val="0"/>
        </w:rPr>
        <w:t xml:space="preserve">Departamento Comunicación Fotocasa</w:t>
      </w:r>
    </w:p>
    <w:p w:rsidR="00000000" w:rsidDel="00000000" w:rsidP="00000000" w:rsidRDefault="00000000" w:rsidRPr="00000000" w14:paraId="00000035">
      <w:pPr>
        <w:shd w:fill="ffffff" w:val="clear"/>
        <w:spacing w:line="276" w:lineRule="auto"/>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Anaïs López</w:t>
      </w:r>
    </w:p>
    <w:p w:rsidR="00000000" w:rsidDel="00000000" w:rsidP="00000000" w:rsidRDefault="00000000" w:rsidRPr="00000000" w14:paraId="00000036">
      <w:pPr>
        <w:shd w:fill="ffffff" w:val="clear"/>
        <w:spacing w:line="276" w:lineRule="auto"/>
        <w:rPr>
          <w:rFonts w:ascii="Open Sans" w:cs="Open Sans" w:eastAsia="Open Sans" w:hAnsi="Open Sans"/>
          <w:color w:val="0000ff"/>
          <w:sz w:val="22"/>
          <w:szCs w:val="22"/>
          <w:u w:val="single"/>
        </w:rPr>
      </w:pPr>
      <w:hyperlink r:id="rId21">
        <w:r w:rsidDel="00000000" w:rsidR="00000000" w:rsidRPr="00000000">
          <w:rPr>
            <w:rFonts w:ascii="Open Sans" w:cs="Open Sans" w:eastAsia="Open Sans" w:hAnsi="Open Sans"/>
            <w:color w:val="0000ff"/>
            <w:sz w:val="22"/>
            <w:szCs w:val="22"/>
            <w:u w:val="single"/>
            <w:rtl w:val="0"/>
          </w:rPr>
          <w:t xml:space="preserve">comunicacion@fotocasa.es</w:t>
        </w:r>
      </w:hyperlink>
      <w:r w:rsidDel="00000000" w:rsidR="00000000" w:rsidRPr="00000000">
        <w:rPr>
          <w:rtl w:val="0"/>
        </w:rPr>
      </w:r>
    </w:p>
    <w:p w:rsidR="00000000" w:rsidDel="00000000" w:rsidP="00000000" w:rsidRDefault="00000000" w:rsidRPr="00000000" w14:paraId="00000037">
      <w:pPr>
        <w:shd w:fill="ffffff" w:val="clear"/>
        <w:spacing w:line="276" w:lineRule="auto"/>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620 66 29 26</w:t>
      </w:r>
    </w:p>
    <w:p w:rsidR="00000000" w:rsidDel="00000000" w:rsidP="00000000" w:rsidRDefault="00000000" w:rsidRPr="00000000" w14:paraId="00000038">
      <w:pPr>
        <w:spacing w:line="276" w:lineRule="auto"/>
        <w:ind w:left="-284" w:firstLine="0"/>
        <w:jc w:val="right"/>
        <w:rPr>
          <w:rFonts w:ascii="Open Sans" w:cs="Open Sans" w:eastAsia="Open Sans" w:hAnsi="Open Sans"/>
          <w:color w:val="000000"/>
          <w:sz w:val="22"/>
          <w:szCs w:val="22"/>
        </w:rPr>
      </w:pPr>
      <w:r w:rsidDel="00000000" w:rsidR="00000000" w:rsidRPr="00000000">
        <w:rPr>
          <w:rtl w:val="0"/>
        </w:rPr>
      </w:r>
    </w:p>
    <w:sectPr>
      <w:footerReference r:id="rId22" w:type="default"/>
      <w:pgSz w:h="16840" w:w="11900" w:orient="portrait"/>
      <w:pgMar w:bottom="1417" w:top="1417" w:left="1701" w:right="112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ational"/>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-1068054</wp:posOffset>
          </wp:positionH>
          <wp:positionV relativeFrom="paragraph">
            <wp:posOffset>174608</wp:posOffset>
          </wp:positionV>
          <wp:extent cx="7670550" cy="451315"/>
          <wp:effectExtent b="0" l="0" r="0" t="0"/>
          <wp:wrapNone/>
          <wp:docPr id="209379023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70550" cy="45131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table" w:styleId="TableNormal7" w:customStyle="1">
    <w:name w:val="Table Normal7"/>
    <w:tblPr>
      <w:tblCellMar>
        <w:top w:w="0.0" w:type="dxa"/>
        <w:left w:w="0.0" w:type="dxa"/>
        <w:bottom w:w="0.0" w:type="dxa"/>
        <w:right w:w="0.0" w:type="dxa"/>
      </w:tblCellMar>
    </w:tblPr>
  </w:style>
  <w:style w:type="table" w:styleId="TableNormal8" w:customStyle="1">
    <w:name w:val="Table Normal8"/>
    <w:tblPr>
      <w:tblCellMar>
        <w:top w:w="0.0" w:type="dxa"/>
        <w:left w:w="0.0" w:type="dxa"/>
        <w:bottom w:w="0.0" w:type="dxa"/>
        <w:right w:w="0.0" w:type="dxa"/>
      </w:tblCellMar>
    </w:tblPr>
  </w:style>
  <w:style w:type="table" w:styleId="TableNormal9" w:customStyle="1">
    <w:name w:val="Table Normal9"/>
    <w:tblPr>
      <w:tblCellMar>
        <w:top w:w="0.0" w:type="dxa"/>
        <w:left w:w="0.0" w:type="dxa"/>
        <w:bottom w:w="0.0" w:type="dxa"/>
        <w:right w:w="0.0" w:type="dxa"/>
      </w:tblCellMar>
    </w:tblPr>
  </w:style>
  <w:style w:type="table" w:styleId="TableNormal10" w:customStyle="1">
    <w:name w:val="Table Normal10"/>
    <w:tblPr>
      <w:tblCellMar>
        <w:top w:w="0.0" w:type="dxa"/>
        <w:left w:w="0.0" w:type="dxa"/>
        <w:bottom w:w="0.0" w:type="dxa"/>
        <w:right w:w="0.0" w:type="dxa"/>
      </w:tblCellMar>
    </w:tblPr>
  </w:style>
  <w:style w:type="table" w:styleId="TableNormal11" w:customStyle="1">
    <w:name w:val="Table Normal11"/>
    <w:tblPr>
      <w:tblCellMar>
        <w:top w:w="0.0" w:type="dxa"/>
        <w:left w:w="0.0" w:type="dxa"/>
        <w:bottom w:w="0.0" w:type="dxa"/>
        <w:right w:w="0.0" w:type="dxa"/>
      </w:tblCellMar>
    </w:tblPr>
  </w:style>
  <w:style w:type="table" w:styleId="a" w:customStyle="1">
    <w:basedOn w:val="TableNormal11"/>
    <w:tblPr>
      <w:tblStyleRowBandSize w:val="1"/>
      <w:tblStyleColBandSize w:val="1"/>
      <w:tblCellMar>
        <w:left w:w="115.0" w:type="dxa"/>
        <w:right w:w="115.0" w:type="dxa"/>
      </w:tblCellMar>
    </w:tblPr>
    <w:tcPr>
      <w:shd w:color="auto" w:fill="ededed"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a5a5a5"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a5a5a5"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a5a5a5"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a5a5a5" w:val="clear"/>
      </w:tcPr>
    </w:tblStylePr>
    <w:tblStylePr w:type="band1Vert">
      <w:tblPr/>
      <w:tcPr>
        <w:shd w:color="auto" w:fill="dbdbdb" w:val="clear"/>
      </w:tcPr>
    </w:tblStylePr>
    <w:tblStylePr w:type="band1Horz">
      <w:tblPr/>
      <w:tcPr>
        <w:shd w:color="auto" w:fill="dbdbdb" w:val="clear"/>
      </w:tcPr>
    </w:tblStylePr>
  </w:style>
  <w:style w:type="table" w:styleId="a0" w:customStyle="1">
    <w:basedOn w:val="TableNormal11"/>
    <w:tblPr>
      <w:tblStyleRowBandSize w:val="1"/>
      <w:tblStyleColBandSize w:val="1"/>
      <w:tblCellMar>
        <w:left w:w="115.0" w:type="dxa"/>
        <w:right w:w="115.0" w:type="dxa"/>
      </w:tblCellMar>
    </w:tblPr>
    <w:tcPr>
      <w:shd w:color="auto" w:fill="ededed"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a5a5a5"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a5a5a5"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a5a5a5"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a5a5a5" w:val="clear"/>
      </w:tcPr>
    </w:tblStylePr>
    <w:tblStylePr w:type="band1Vert">
      <w:tblPr/>
      <w:tcPr>
        <w:shd w:color="auto" w:fill="dbdbdb" w:val="clear"/>
      </w:tcPr>
    </w:tblStylePr>
    <w:tblStylePr w:type="band1Horz">
      <w:tblPr/>
      <w:tcPr>
        <w:shd w:color="auto" w:fill="dbdbdb" w:val="clear"/>
      </w:tcPr>
    </w:tblStylePr>
  </w:style>
  <w:style w:type="character" w:styleId="Hipervnculo">
    <w:name w:val="Hyperlink"/>
    <w:basedOn w:val="Fuentedeprrafopredeter"/>
    <w:uiPriority w:val="99"/>
    <w:unhideWhenUsed w:val="1"/>
    <w:rsid w:val="00FE7DB6"/>
    <w:rPr>
      <w:color w:val="0000ff" w:themeColor="hyperlink"/>
      <w:u w:val="single"/>
    </w:rPr>
  </w:style>
  <w:style w:type="character" w:styleId="Mencinsinresolver">
    <w:name w:val="Unresolved Mention"/>
    <w:basedOn w:val="Fuentedeprrafopredeter"/>
    <w:uiPriority w:val="99"/>
    <w:semiHidden w:val="1"/>
    <w:unhideWhenUsed w:val="1"/>
    <w:rsid w:val="00FE7DB6"/>
    <w:rPr>
      <w:color w:val="605e5c"/>
      <w:shd w:color="auto" w:fill="e1dfdd" w:val="clear"/>
    </w:rPr>
  </w:style>
  <w:style w:type="paragraph" w:styleId="NormalWeb">
    <w:name w:val="Normal (Web)"/>
    <w:basedOn w:val="Normal"/>
    <w:uiPriority w:val="99"/>
    <w:semiHidden w:val="1"/>
    <w:unhideWhenUsed w:val="1"/>
    <w:rsid w:val="003D48F5"/>
    <w:pPr>
      <w:spacing w:after="100" w:afterAutospacing="1" w:before="100" w:beforeAutospacing="1"/>
    </w:pPr>
    <w:rPr>
      <w:rFonts w:ascii="Times New Roman" w:cs="Times New Roman" w:eastAsia="Times New Roman" w:hAnsi="Times New Roman"/>
      <w:lang w:val="es-ES"/>
    </w:rPr>
  </w:style>
  <w:style w:type="paragraph" w:styleId="Textocomentario">
    <w:name w:val="annotation text"/>
    <w:basedOn w:val="Normal"/>
    <w:link w:val="TextocomentarioCar"/>
    <w:uiPriority w:val="99"/>
    <w:unhideWhenUsed w:val="1"/>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val="1"/>
    <w:unhideWhenUsed w:val="1"/>
    <w:rPr>
      <w:sz w:val="16"/>
      <w:szCs w:val="16"/>
    </w:rPr>
  </w:style>
  <w:style w:type="character" w:styleId="normaltextrun" w:customStyle="1">
    <w:name w:val="normaltextrun"/>
    <w:basedOn w:val="Fuentedeprrafopredeter"/>
    <w:rsid w:val="00A35D58"/>
  </w:style>
  <w:style w:type="table" w:styleId="Tablaconcuadrcula">
    <w:name w:val="Table Grid"/>
    <w:basedOn w:val="Tablanormal"/>
    <w:uiPriority w:val="39"/>
    <w:rsid w:val="00A35D58"/>
    <w:rPr>
      <w:rFonts w:asciiTheme="minorHAnsi" w:cstheme="minorBidi" w:eastAsiaTheme="minorHAnsi" w:hAnsiTheme="minorHAnsi"/>
      <w:kern w:val="2"/>
      <w:sz w:val="22"/>
      <w:szCs w:val="22"/>
      <w:lang w:eastAsia="en-US"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1" w:customStyle="1">
    <w:basedOn w:val="TableNormal8"/>
    <w:rPr>
      <w:rFonts w:ascii="Cambria" w:cs="Cambria" w:eastAsia="Cambria" w:hAnsi="Cambria"/>
      <w:sz w:val="22"/>
      <w:szCs w:val="22"/>
    </w:rPr>
    <w:tblPr>
      <w:tblStyleRowBandSize w:val="1"/>
      <w:tblStyleColBandSize w:val="1"/>
      <w:tblCellMar>
        <w:left w:w="108.0" w:type="dxa"/>
        <w:right w:w="108.0" w:type="dxa"/>
      </w:tblCellMar>
    </w:tblPr>
  </w:style>
  <w:style w:type="table" w:styleId="a2" w:customStyle="1">
    <w:basedOn w:val="TableNormal8"/>
    <w:rPr>
      <w:rFonts w:ascii="Cambria" w:cs="Cambria" w:eastAsia="Cambria" w:hAnsi="Cambria"/>
      <w:sz w:val="22"/>
      <w:szCs w:val="22"/>
    </w:rPr>
    <w:tblPr>
      <w:tblStyleRowBandSize w:val="1"/>
      <w:tblStyleColBandSize w:val="1"/>
      <w:tblCellMar>
        <w:left w:w="108.0" w:type="dxa"/>
        <w:right w:w="108.0" w:type="dxa"/>
      </w:tblCellMar>
    </w:tblPr>
  </w:style>
  <w:style w:type="paragraph" w:styleId="Asuntodelcomentario">
    <w:name w:val="annotation subject"/>
    <w:basedOn w:val="Textocomentario"/>
    <w:next w:val="Textocomentario"/>
    <w:link w:val="AsuntodelcomentarioCar"/>
    <w:uiPriority w:val="99"/>
    <w:semiHidden w:val="1"/>
    <w:unhideWhenUsed w:val="1"/>
    <w:rsid w:val="00534008"/>
    <w:rPr>
      <w:b w:val="1"/>
      <w:bCs w:val="1"/>
    </w:rPr>
  </w:style>
  <w:style w:type="character" w:styleId="AsuntodelcomentarioCar" w:customStyle="1">
    <w:name w:val="Asunto del comentario Car"/>
    <w:basedOn w:val="TextocomentarioCar"/>
    <w:link w:val="Asuntodelcomentario"/>
    <w:uiPriority w:val="99"/>
    <w:semiHidden w:val="1"/>
    <w:rsid w:val="00534008"/>
    <w:rPr>
      <w:b w:val="1"/>
      <w:bCs w:val="1"/>
      <w:sz w:val="20"/>
      <w:szCs w:val="20"/>
    </w:rPr>
  </w:style>
  <w:style w:type="paragraph" w:styleId="Prrafodelista">
    <w:name w:val="List Paragraph"/>
    <w:basedOn w:val="Normal"/>
    <w:uiPriority w:val="34"/>
    <w:qFormat w:val="1"/>
    <w:rsid w:val="004C397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adevinta.es" TargetMode="External"/><Relationship Id="rId11" Type="http://schemas.openxmlformats.org/officeDocument/2006/relationships/hyperlink" Target="https://www.fotocasa.es/indice/" TargetMode="External"/><Relationship Id="rId22" Type="http://schemas.openxmlformats.org/officeDocument/2006/relationships/footer" Target="footer1.xml"/><Relationship Id="rId10" Type="http://schemas.openxmlformats.org/officeDocument/2006/relationships/chart" Target="charts/chart1.xml"/><Relationship Id="rId21" Type="http://schemas.openxmlformats.org/officeDocument/2006/relationships/hyperlink" Target="mailto:comunicacion@fotocasa.es" TargetMode="External"/><Relationship Id="rId13" Type="http://schemas.openxmlformats.org/officeDocument/2006/relationships/hyperlink" Target="https://www.fotocasa.es/es/quienes-somos/" TargetMode="External"/><Relationship Id="rId12" Type="http://schemas.openxmlformats.org/officeDocument/2006/relationships/hyperlink" Target="http://prensa.fotocasa.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otocasa.es/es/" TargetMode="External"/><Relationship Id="rId15" Type="http://schemas.openxmlformats.org/officeDocument/2006/relationships/hyperlink" Target="https://www.habitaclia.com/" TargetMode="External"/><Relationship Id="rId14" Type="http://schemas.openxmlformats.org/officeDocument/2006/relationships/hyperlink" Target="https://www.fotocasa.es/es/" TargetMode="External"/><Relationship Id="rId17" Type="http://schemas.openxmlformats.org/officeDocument/2006/relationships/hyperlink" Target="https://www.coches.net/" TargetMode="External"/><Relationship Id="rId16" Type="http://schemas.openxmlformats.org/officeDocument/2006/relationships/hyperlink" Target="https://www.infojobs.net/" TargetMode="External"/><Relationship Id="rId5" Type="http://schemas.openxmlformats.org/officeDocument/2006/relationships/styles" Target="styles.xml"/><Relationship Id="rId19" Type="http://schemas.openxmlformats.org/officeDocument/2006/relationships/hyperlink" Target="https://www.milanuncios.com/" TargetMode="External"/><Relationship Id="rId6" Type="http://schemas.openxmlformats.org/officeDocument/2006/relationships/customXml" Target="../customXML/item1.xml"/><Relationship Id="rId18" Type="http://schemas.openxmlformats.org/officeDocument/2006/relationships/hyperlink" Target="https://motos.coches.net/" TargetMode="External"/><Relationship Id="rId7" Type="http://schemas.openxmlformats.org/officeDocument/2006/relationships/image" Target="media/image1.png"/><Relationship Id="rId8" Type="http://schemas.openxmlformats.org/officeDocument/2006/relationships/chart" Target="charts/chart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Asus\Downloads\fotocasa-Precios%20vivienda%20costa%20junio2025.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Asus\Downloads\fotocasa-Precios%20vivienda%20costa%20junio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 2025'!$C$174:$C$183</c:f>
              <c:strCache>
                <c:ptCount val="10"/>
                <c:pt idx="0">
                  <c:v>Algeciras</c:v>
                </c:pt>
                <c:pt idx="1">
                  <c:v>Viveiro</c:v>
                </c:pt>
                <c:pt idx="2">
                  <c:v>Adra</c:v>
                </c:pt>
                <c:pt idx="3">
                  <c:v>Ferrol</c:v>
                </c:pt>
                <c:pt idx="4">
                  <c:v>Amposta</c:v>
                </c:pt>
                <c:pt idx="5">
                  <c:v>Burriana / Borriana</c:v>
                </c:pt>
                <c:pt idx="6">
                  <c:v>Carballo</c:v>
                </c:pt>
                <c:pt idx="7">
                  <c:v>Lepe</c:v>
                </c:pt>
                <c:pt idx="8">
                  <c:v>Narón</c:v>
                </c:pt>
                <c:pt idx="9">
                  <c:v>Cartaya</c:v>
                </c:pt>
              </c:strCache>
            </c:strRef>
          </c:cat>
          <c:val>
            <c:numRef>
              <c:f>'Datos 2025'!$I$174:$I$183</c:f>
              <c:numCache>
                <c:formatCode>_-* #,##0\ "€"_-;\-* #,##0\ "€"_-;_-* "-"??\ "€"_-;_-@_-</c:formatCode>
                <c:ptCount val="10"/>
                <c:pt idx="0">
                  <c:v>1401.19</c:v>
                </c:pt>
                <c:pt idx="1">
                  <c:v>1336.18</c:v>
                </c:pt>
                <c:pt idx="2">
                  <c:v>1233.94</c:v>
                </c:pt>
                <c:pt idx="3">
                  <c:v>1168.97</c:v>
                </c:pt>
                <c:pt idx="4">
                  <c:v>1166.93</c:v>
                </c:pt>
                <c:pt idx="5">
                  <c:v>1153.71</c:v>
                </c:pt>
                <c:pt idx="6">
                  <c:v>1145.46</c:v>
                </c:pt>
                <c:pt idx="7">
                  <c:v>1099.1400000000001</c:v>
                </c:pt>
                <c:pt idx="8">
                  <c:v>1055.7</c:v>
                </c:pt>
                <c:pt idx="9">
                  <c:v>911.17</c:v>
                </c:pt>
              </c:numCache>
            </c:numRef>
          </c:val>
          <c:extLst>
            <c:ext xmlns:c16="http://schemas.microsoft.com/office/drawing/2014/chart" uri="{C3380CC4-5D6E-409C-BE32-E72D297353CC}">
              <c16:uniqueId val="{00000000-EE0E-4F02-9EB1-B6C22FAB57CC}"/>
            </c:ext>
          </c:extLst>
        </c:ser>
        <c:dLbls>
          <c:showLegendKey val="0"/>
          <c:showVal val="0"/>
          <c:showCatName val="0"/>
          <c:showSerName val="0"/>
          <c:showPercent val="0"/>
          <c:showBubbleSize val="0"/>
        </c:dLbls>
        <c:gapWidth val="219"/>
        <c:overlap val="-27"/>
        <c:axId val="1662469792"/>
        <c:axId val="1662474592"/>
      </c:barChart>
      <c:catAx>
        <c:axId val="166246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s-ES"/>
          </a:p>
        </c:txPr>
        <c:crossAx val="1662474592"/>
        <c:crosses val="autoZero"/>
        <c:auto val="1"/>
        <c:lblAlgn val="ctr"/>
        <c:lblOffset val="100"/>
        <c:noMultiLvlLbl val="0"/>
      </c:catAx>
      <c:valAx>
        <c:axId val="1662474592"/>
        <c:scaling>
          <c:orientation val="minMax"/>
        </c:scaling>
        <c:delete val="1"/>
        <c:axPos val="l"/>
        <c:numFmt formatCode="_-* #,##0\ &quot;€&quot;_-;\-* #,##0\ &quot;€&quot;_-;_-* &quot;-&quot;??\ &quot;€&quot;_-;_-@_-" sourceLinked="1"/>
        <c:majorTickMark val="none"/>
        <c:minorTickMark val="none"/>
        <c:tickLblPos val="nextTo"/>
        <c:crossAx val="1662469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 2025'!$C$2:$C$11</c:f>
              <c:strCache>
                <c:ptCount val="10"/>
                <c:pt idx="0">
                  <c:v>Santa Eulària des Riu</c:v>
                </c:pt>
                <c:pt idx="1">
                  <c:v>Eivissa</c:v>
                </c:pt>
                <c:pt idx="2">
                  <c:v>Sant Antoni de Portmany</c:v>
                </c:pt>
                <c:pt idx="3">
                  <c:v>Donostia - San Sebastián</c:v>
                </c:pt>
                <c:pt idx="4">
                  <c:v>Sant Josep de sa Talaia</c:v>
                </c:pt>
                <c:pt idx="5">
                  <c:v>Calvià</c:v>
                </c:pt>
                <c:pt idx="6">
                  <c:v>Zarautz</c:v>
                </c:pt>
                <c:pt idx="7">
                  <c:v>Sitges</c:v>
                </c:pt>
                <c:pt idx="8">
                  <c:v>Marbella</c:v>
                </c:pt>
                <c:pt idx="9">
                  <c:v>Barcelona Capital</c:v>
                </c:pt>
              </c:strCache>
            </c:strRef>
          </c:cat>
          <c:val>
            <c:numRef>
              <c:f>'Datos 2025'!$I$2:$I$11</c:f>
              <c:numCache>
                <c:formatCode>_-* #,##0\ "€"_-;\-* #,##0\ "€"_-;_-* "-"??\ "€"_-;_-@_-</c:formatCode>
                <c:ptCount val="10"/>
                <c:pt idx="0">
                  <c:v>8530.1</c:v>
                </c:pt>
                <c:pt idx="1">
                  <c:v>7254.92</c:v>
                </c:pt>
                <c:pt idx="2">
                  <c:v>6937.82</c:v>
                </c:pt>
                <c:pt idx="3">
                  <c:v>6923.61</c:v>
                </c:pt>
                <c:pt idx="4">
                  <c:v>6790.14</c:v>
                </c:pt>
                <c:pt idx="5">
                  <c:v>6421.47</c:v>
                </c:pt>
                <c:pt idx="6">
                  <c:v>6418.92</c:v>
                </c:pt>
                <c:pt idx="7">
                  <c:v>5617.18</c:v>
                </c:pt>
                <c:pt idx="8">
                  <c:v>5261.88</c:v>
                </c:pt>
                <c:pt idx="9">
                  <c:v>5116.45</c:v>
                </c:pt>
              </c:numCache>
            </c:numRef>
          </c:val>
          <c:extLst>
            <c:ext xmlns:c16="http://schemas.microsoft.com/office/drawing/2014/chart" uri="{C3380CC4-5D6E-409C-BE32-E72D297353CC}">
              <c16:uniqueId val="{00000000-91BB-4808-B76A-D4EB01EF890F}"/>
            </c:ext>
          </c:extLst>
        </c:ser>
        <c:dLbls>
          <c:showLegendKey val="0"/>
          <c:showVal val="0"/>
          <c:showCatName val="0"/>
          <c:showSerName val="0"/>
          <c:showPercent val="0"/>
          <c:showBubbleSize val="0"/>
        </c:dLbls>
        <c:gapWidth val="219"/>
        <c:overlap val="-27"/>
        <c:axId val="1662469792"/>
        <c:axId val="1662474592"/>
      </c:barChart>
      <c:catAx>
        <c:axId val="166246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s-ES"/>
          </a:p>
        </c:txPr>
        <c:crossAx val="1662474592"/>
        <c:crosses val="autoZero"/>
        <c:auto val="1"/>
        <c:lblAlgn val="ctr"/>
        <c:lblOffset val="100"/>
        <c:noMultiLvlLbl val="0"/>
      </c:catAx>
      <c:valAx>
        <c:axId val="1662474592"/>
        <c:scaling>
          <c:orientation val="minMax"/>
        </c:scaling>
        <c:delete val="1"/>
        <c:axPos val="l"/>
        <c:numFmt formatCode="_-* #,##0\ &quot;€&quot;_-;\-* #,##0\ &quot;€&quot;_-;_-* &quot;-&quot;??\ &quot;€&quot;_-;_-@_-" sourceLinked="1"/>
        <c:majorTickMark val="none"/>
        <c:minorTickMark val="none"/>
        <c:tickLblPos val="nextTo"/>
        <c:crossAx val="1662469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tn1o0DfVOO+GmUmkhoBqzh0sQ==">CgMxLjAyCGguZ2pkZ3hzMgloLjJzOGV5bzE4AHIhMUpialJqMW0zNTA0bEJNWnEzVjRKN2x4bWJsLWpGdmh1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2024-02-06T13:46:00Z</dcterms:created>
</cp:coreProperties>
</file>