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9FBEA" w14:textId="77777777" w:rsidR="0078406B" w:rsidRDefault="00000000">
      <w:r>
        <w:rPr>
          <w:noProof/>
        </w:rPr>
        <w:drawing>
          <wp:anchor distT="0" distB="0" distL="114300" distR="114300" simplePos="0" relativeHeight="251658240" behindDoc="0" locked="0" layoutInCell="1" hidden="0" allowOverlap="1" wp14:anchorId="09F415DB" wp14:editId="73F72C40">
            <wp:simplePos x="0" y="0"/>
            <wp:positionH relativeFrom="column">
              <wp:posOffset>-1080117</wp:posOffset>
            </wp:positionH>
            <wp:positionV relativeFrom="paragraph">
              <wp:posOffset>-654666</wp:posOffset>
            </wp:positionV>
            <wp:extent cx="7581265" cy="101917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7D230C6" w14:textId="77777777" w:rsidR="0078406B" w:rsidRDefault="0078406B">
      <w:pPr>
        <w:jc w:val="right"/>
        <w:rPr>
          <w:rFonts w:ascii="National" w:eastAsia="National" w:hAnsi="National" w:cs="National"/>
          <w:color w:val="303AB2"/>
          <w:sz w:val="36"/>
          <w:szCs w:val="36"/>
        </w:rPr>
      </w:pPr>
    </w:p>
    <w:p w14:paraId="55A60401" w14:textId="77777777" w:rsidR="0078406B" w:rsidRDefault="0078406B">
      <w:pPr>
        <w:jc w:val="center"/>
        <w:rPr>
          <w:rFonts w:ascii="National" w:eastAsia="National" w:hAnsi="National" w:cs="National"/>
          <w:b/>
          <w:color w:val="1DBDC5"/>
          <w:sz w:val="34"/>
          <w:szCs w:val="34"/>
        </w:rPr>
      </w:pPr>
    </w:p>
    <w:p w14:paraId="5CF47FBD" w14:textId="77777777" w:rsidR="0078406B" w:rsidRDefault="00000000">
      <w:pPr>
        <w:jc w:val="center"/>
        <w:rPr>
          <w:rFonts w:ascii="National" w:eastAsia="National" w:hAnsi="National" w:cs="National"/>
          <w:b/>
          <w:color w:val="1DBDC5"/>
          <w:sz w:val="32"/>
          <w:szCs w:val="32"/>
        </w:rPr>
      </w:pPr>
      <w:r>
        <w:rPr>
          <w:rFonts w:ascii="National" w:eastAsia="National" w:hAnsi="National" w:cs="National"/>
          <w:b/>
          <w:color w:val="1DBDC5"/>
          <w:sz w:val="32"/>
          <w:szCs w:val="32"/>
        </w:rPr>
        <w:t>RADIOGRAFÍA DEL MERCADO DE LA VIVIENDA EN 2025</w:t>
      </w:r>
    </w:p>
    <w:p w14:paraId="2AD56CA6" w14:textId="77777777" w:rsidR="0078406B"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El 82% de los propietarios en España posee únicamente una sola vivienda</w:t>
      </w:r>
    </w:p>
    <w:p w14:paraId="58B5E0DD" w14:textId="77777777" w:rsidR="0078406B" w:rsidRDefault="0078406B">
      <w:pPr>
        <w:jc w:val="center"/>
        <w:rPr>
          <w:rFonts w:ascii="Open Sans" w:eastAsia="Open Sans" w:hAnsi="Open Sans" w:cs="Open Sans"/>
          <w:color w:val="303AB2"/>
        </w:rPr>
      </w:pPr>
    </w:p>
    <w:p w14:paraId="54805FD7" w14:textId="77777777" w:rsidR="0078406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Solamente un 4% de los propietarios inmobiliarios en España tienen tres viviendas o más</w:t>
      </w:r>
    </w:p>
    <w:p w14:paraId="5BE9A7FA" w14:textId="77777777" w:rsidR="0078406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97% de estos propietarios de un inmueble utiliza su vivienda como residencia habitual, siendo muy residuales (3%) el resto de los usos</w:t>
      </w:r>
    </w:p>
    <w:p w14:paraId="2DDDF8BD" w14:textId="77777777" w:rsidR="0078406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porcentaje de propietarios de múltiples viviendas aumenta significativamente con la edad</w:t>
      </w:r>
    </w:p>
    <w:p w14:paraId="379C391C" w14:textId="77777777" w:rsidR="0078406B" w:rsidRDefault="0078406B">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7F47C7D3" w14:textId="77777777" w:rsidR="0078406B"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10 de julio de 2025</w:t>
      </w:r>
    </w:p>
    <w:p w14:paraId="7FC9F5FD" w14:textId="77777777" w:rsidR="0078406B" w:rsidRDefault="0078406B">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01EEF35C" w14:textId="77777777" w:rsidR="0078406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82% de los propietarios de una vivienda en España poseen únicamente un solo inmueble. Además, el 97% de ellos utiliza esta vivienda como residencia habitual, siendo muy residuales (3%) el resto de los usos. Concretamente, quienes mantienen vacía su única propiedad o la destinan a segunda residencia o alquiler representan solamente el 1% de los casos, respectivamente. </w:t>
      </w:r>
      <w:r>
        <w:rPr>
          <w:rFonts w:ascii="Open Sans" w:eastAsia="Open Sans" w:hAnsi="Open Sans" w:cs="Open Sans"/>
          <w:b/>
        </w:rPr>
        <w:t>Estas son algunas de las principales conclusiones que refleja el informe “</w:t>
      </w:r>
      <w:hyperlink r:id="rId9">
        <w:r>
          <w:rPr>
            <w:rFonts w:ascii="Open Sans" w:eastAsia="Open Sans" w:hAnsi="Open Sans" w:cs="Open Sans"/>
            <w:b/>
            <w:i/>
            <w:color w:val="0000FF"/>
            <w:u w:val="single"/>
          </w:rPr>
          <w:t>Radiografía de la vivienda en el primer semestre de 2025</w:t>
        </w:r>
      </w:hyperlink>
      <w:hyperlink r:id="rId10">
        <w:r>
          <w:rPr>
            <w:rFonts w:ascii="Open Sans" w:eastAsia="Open Sans" w:hAnsi="Open Sans" w:cs="Open Sans"/>
            <w:b/>
            <w:color w:val="0000FF"/>
            <w:u w:val="single"/>
          </w:rPr>
          <w:t> </w:t>
        </w:r>
      </w:hyperlink>
      <w:r>
        <w:rPr>
          <w:rFonts w:ascii="Open Sans" w:eastAsia="Open Sans" w:hAnsi="Open Sans" w:cs="Open Sans"/>
          <w:b/>
          <w:i/>
        </w:rPr>
        <w:t xml:space="preserve">“ </w:t>
      </w:r>
      <w:r>
        <w:rPr>
          <w:rFonts w:ascii="Open Sans" w:eastAsia="Open Sans" w:hAnsi="Open Sans" w:cs="Open Sans"/>
          <w:b/>
        </w:rPr>
        <w:t>realizado por </w:t>
      </w:r>
      <w:hyperlink r:id="rId11">
        <w:r>
          <w:rPr>
            <w:rFonts w:ascii="Open Sans" w:eastAsia="Open Sans" w:hAnsi="Open Sans" w:cs="Open Sans"/>
            <w:b/>
            <w:color w:val="0000FF"/>
            <w:u w:val="single"/>
          </w:rPr>
          <w:t>Fotocasa Research</w:t>
        </w:r>
      </w:hyperlink>
      <w:r>
        <w:rPr>
          <w:rFonts w:ascii="Open Sans" w:eastAsia="Open Sans" w:hAnsi="Open Sans" w:cs="Open Sans"/>
        </w:rPr>
        <w:t>.</w:t>
      </w:r>
    </w:p>
    <w:p w14:paraId="46FABB0E" w14:textId="77777777" w:rsidR="0078406B" w:rsidRDefault="0078406B">
      <w:pPr>
        <w:pBdr>
          <w:top w:val="nil"/>
          <w:left w:val="nil"/>
          <w:bottom w:val="nil"/>
          <w:right w:val="nil"/>
          <w:between w:val="nil"/>
        </w:pBdr>
        <w:spacing w:line="276" w:lineRule="auto"/>
        <w:jc w:val="both"/>
        <w:rPr>
          <w:rFonts w:ascii="Open Sans" w:eastAsia="Open Sans" w:hAnsi="Open Sans" w:cs="Open Sans"/>
        </w:rPr>
      </w:pPr>
    </w:p>
    <w:p w14:paraId="1BE6EF7E" w14:textId="77777777" w:rsidR="0078406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se analiza la porción de propietarios de múltiples viviendas que existe en el mercado inmobiliario español, las cifras con relación a los usos de estos inmuebles difieren de las citadas inicialmente. Así, se observa que </w:t>
      </w:r>
      <w:r>
        <w:rPr>
          <w:rFonts w:ascii="Open Sans" w:eastAsia="Open Sans" w:hAnsi="Open Sans" w:cs="Open Sans"/>
          <w:b/>
        </w:rPr>
        <w:t>el 14% de los propietarios posee dos viviendas</w:t>
      </w:r>
      <w:r>
        <w:rPr>
          <w:rFonts w:ascii="Open Sans" w:eastAsia="Open Sans" w:hAnsi="Open Sans" w:cs="Open Sans"/>
        </w:rPr>
        <w:t xml:space="preserve"> y que el 96% de ellos utiliza alguna de estas como residencia habitual. Por otro lado, el 58% de los propietarios de dos viviendas tiene algún inmueble destinado a segunda residencia, mientras que un 29% se decantan por el alquiler a terceros. El 6% de esta tipología de propietarios mantiene vacía alguna de sus viviendas.</w:t>
      </w:r>
    </w:p>
    <w:p w14:paraId="057E725E" w14:textId="77777777" w:rsidR="0078406B" w:rsidRDefault="0078406B">
      <w:pPr>
        <w:pBdr>
          <w:top w:val="nil"/>
          <w:left w:val="nil"/>
          <w:bottom w:val="nil"/>
          <w:right w:val="nil"/>
          <w:between w:val="nil"/>
        </w:pBdr>
        <w:spacing w:line="276" w:lineRule="auto"/>
        <w:jc w:val="both"/>
        <w:rPr>
          <w:rFonts w:ascii="Open Sans" w:eastAsia="Open Sans" w:hAnsi="Open Sans" w:cs="Open Sans"/>
        </w:rPr>
      </w:pPr>
    </w:p>
    <w:p w14:paraId="5EF63F76" w14:textId="77777777" w:rsidR="0078406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Lógicamente, a medida que aumenta el número de viviendas que tiene un propietario, sus usos también se diversifican con mayor intensidad. Según los datos de </w:t>
      </w:r>
      <w:hyperlink r:id="rId12">
        <w:r>
          <w:rPr>
            <w:rFonts w:ascii="Open Sans" w:eastAsia="Open Sans" w:hAnsi="Open Sans" w:cs="Open Sans"/>
            <w:b/>
            <w:color w:val="0000FF"/>
            <w:u w:val="single"/>
          </w:rPr>
          <w:t>Fotocasa Research</w:t>
        </w:r>
      </w:hyperlink>
      <w:r>
        <w:rPr>
          <w:rFonts w:ascii="Open Sans" w:eastAsia="Open Sans" w:hAnsi="Open Sans" w:cs="Open Sans"/>
        </w:rPr>
        <w:t xml:space="preserve">, </w:t>
      </w:r>
      <w:r>
        <w:rPr>
          <w:rFonts w:ascii="Open Sans" w:eastAsia="Open Sans" w:hAnsi="Open Sans" w:cs="Open Sans"/>
          <w:b/>
        </w:rPr>
        <w:t xml:space="preserve">un 4% de los propietarios en España tienen tres </w:t>
      </w:r>
      <w:r>
        <w:rPr>
          <w:rFonts w:ascii="Open Sans" w:eastAsia="Open Sans" w:hAnsi="Open Sans" w:cs="Open Sans"/>
          <w:b/>
        </w:rPr>
        <w:lastRenderedPageBreak/>
        <w:t>viviendas o más</w:t>
      </w:r>
      <w:r>
        <w:rPr>
          <w:rFonts w:ascii="Open Sans" w:eastAsia="Open Sans" w:hAnsi="Open Sans" w:cs="Open Sans"/>
        </w:rPr>
        <w:t>, y el 98% de ellos utiliza alguno de estos inmuebles como residencia habitual. Con relación al resto de usos, un 58% de esta tipología de propietarios tiene alguno de sus inmuebles como segunda residencia, mientras que el 60% lo destina al alquiler. Por último, un 26% de estos propietarios de tres o más viviendas tiene alguna de estas vacía.</w:t>
      </w:r>
    </w:p>
    <w:p w14:paraId="27ED7E5D" w14:textId="77777777" w:rsidR="0078406B" w:rsidRDefault="0078406B">
      <w:pPr>
        <w:pBdr>
          <w:top w:val="nil"/>
          <w:left w:val="nil"/>
          <w:bottom w:val="nil"/>
          <w:right w:val="nil"/>
          <w:between w:val="nil"/>
        </w:pBdr>
        <w:spacing w:line="276" w:lineRule="auto"/>
        <w:jc w:val="both"/>
        <w:rPr>
          <w:rFonts w:ascii="Open Sans" w:eastAsia="Open Sans" w:hAnsi="Open Sans" w:cs="Open Sans"/>
        </w:rPr>
      </w:pPr>
    </w:p>
    <w:p w14:paraId="5D159039" w14:textId="77777777" w:rsidR="0078406B" w:rsidRDefault="00000000">
      <w:pPr>
        <w:pBdr>
          <w:top w:val="nil"/>
          <w:left w:val="nil"/>
          <w:bottom w:val="nil"/>
          <w:right w:val="nil"/>
          <w:between w:val="nil"/>
        </w:pBdr>
        <w:spacing w:line="276" w:lineRule="auto"/>
        <w:jc w:val="center"/>
        <w:rPr>
          <w:rFonts w:ascii="Open Sans" w:eastAsia="Open Sans" w:hAnsi="Open Sans" w:cs="Open Sans"/>
        </w:rPr>
      </w:pPr>
      <w:r>
        <w:rPr>
          <w:noProof/>
        </w:rPr>
        <w:drawing>
          <wp:inline distT="0" distB="0" distL="0" distR="0" wp14:anchorId="6C698E34" wp14:editId="288163F1">
            <wp:extent cx="5765605" cy="2966120"/>
            <wp:effectExtent l="0" t="0" r="0" b="0"/>
            <wp:docPr id="2066816620" name="image4.png" descr="Imatge que conté text, captura de pantalla, Font, nombre&#10;&#10;Pot ser que el contingut generat per IA no sigui correcte."/>
            <wp:cNvGraphicFramePr/>
            <a:graphic xmlns:a="http://schemas.openxmlformats.org/drawingml/2006/main">
              <a:graphicData uri="http://schemas.openxmlformats.org/drawingml/2006/picture">
                <pic:pic xmlns:pic="http://schemas.openxmlformats.org/drawingml/2006/picture">
                  <pic:nvPicPr>
                    <pic:cNvPr id="0" name="image4.png" descr="Imatge que conté text, captura de pantalla, Font, nombre&#10;&#10;Pot ser que el contingut generat per IA no sigui correcte."/>
                    <pic:cNvPicPr preferRelativeResize="0"/>
                  </pic:nvPicPr>
                  <pic:blipFill>
                    <a:blip r:embed="rId13"/>
                    <a:srcRect/>
                    <a:stretch>
                      <a:fillRect/>
                    </a:stretch>
                  </pic:blipFill>
                  <pic:spPr>
                    <a:xfrm>
                      <a:off x="0" y="0"/>
                      <a:ext cx="5765605" cy="2966120"/>
                    </a:xfrm>
                    <a:prstGeom prst="rect">
                      <a:avLst/>
                    </a:prstGeom>
                    <a:ln/>
                  </pic:spPr>
                </pic:pic>
              </a:graphicData>
            </a:graphic>
          </wp:inline>
        </w:drawing>
      </w:r>
    </w:p>
    <w:p w14:paraId="1F4ABDC4" w14:textId="77777777" w:rsidR="0078406B" w:rsidRDefault="0078406B">
      <w:pPr>
        <w:pBdr>
          <w:top w:val="nil"/>
          <w:left w:val="nil"/>
          <w:bottom w:val="nil"/>
          <w:right w:val="nil"/>
          <w:between w:val="nil"/>
        </w:pBdr>
        <w:spacing w:line="276" w:lineRule="auto"/>
        <w:jc w:val="both"/>
        <w:rPr>
          <w:rFonts w:ascii="Open Sans" w:eastAsia="Open Sans" w:hAnsi="Open Sans" w:cs="Open Sans"/>
        </w:rPr>
      </w:pPr>
    </w:p>
    <w:p w14:paraId="115EC0A1" w14:textId="77777777" w:rsidR="0078406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“Solo el 18% de los propietarios tiene dos o más viviendas, y son precisamente ellos, pequeños propietarios particulares, quienes sostienen el escaso parque de alquiler disponible en nuestro país. El resto, más del 80% solo tiene una vivienda en la que en la mayoría de los casos reside. Esto demuestra que la propiedad está en manos de ciudadanos particulares y no de grandes tenedores. Otro punto relevante es el porcentaje de viviendas vacías que existe entre los propietarios. Si estas viviendas estuvieran en condiciones de ser habitadas, y si se ofreciese la seguridad jurídica y económica adecuada, podrían plantearse destinarlas al alquiler y ampliar el parque existente”, explica </w:t>
      </w:r>
      <w:r>
        <w:rPr>
          <w:rFonts w:ascii="Open Sans" w:eastAsia="Open Sans" w:hAnsi="Open Sans" w:cs="Open Sans"/>
          <w:b/>
        </w:rPr>
        <w:t xml:space="preserve">María Matos, directora de Estudios y portavoz de </w:t>
      </w:r>
      <w:hyperlink r:id="rId14">
        <w:r>
          <w:rPr>
            <w:rFonts w:ascii="Open Sans" w:eastAsia="Open Sans" w:hAnsi="Open Sans" w:cs="Open Sans"/>
            <w:b/>
            <w:color w:val="1155CC"/>
            <w:u w:val="single"/>
          </w:rPr>
          <w:t>Fotocasa</w:t>
        </w:r>
      </w:hyperlink>
      <w:r>
        <w:rPr>
          <w:rFonts w:ascii="Open Sans" w:eastAsia="Open Sans" w:hAnsi="Open Sans" w:cs="Open Sans"/>
        </w:rPr>
        <w:t>.</w:t>
      </w:r>
    </w:p>
    <w:p w14:paraId="7B108B58" w14:textId="77777777" w:rsidR="0078406B" w:rsidRDefault="0078406B">
      <w:pPr>
        <w:pBdr>
          <w:top w:val="nil"/>
          <w:left w:val="nil"/>
          <w:bottom w:val="nil"/>
          <w:right w:val="nil"/>
          <w:between w:val="nil"/>
        </w:pBdr>
        <w:spacing w:line="276" w:lineRule="auto"/>
        <w:jc w:val="both"/>
        <w:rPr>
          <w:rFonts w:ascii="Open Sans" w:eastAsia="Open Sans" w:hAnsi="Open Sans" w:cs="Open Sans"/>
        </w:rPr>
      </w:pPr>
    </w:p>
    <w:p w14:paraId="44BEAB46" w14:textId="77777777" w:rsidR="0078406B"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El porcentaje de propietarios múltiples aumenta con la edad</w:t>
      </w:r>
    </w:p>
    <w:p w14:paraId="61BD8374" w14:textId="77777777" w:rsidR="0078406B" w:rsidRDefault="0078406B">
      <w:pPr>
        <w:spacing w:line="276" w:lineRule="auto"/>
        <w:jc w:val="both"/>
        <w:rPr>
          <w:rFonts w:ascii="National" w:eastAsia="National" w:hAnsi="National" w:cs="National"/>
          <w:b/>
          <w:color w:val="303AB2"/>
          <w:sz w:val="32"/>
          <w:szCs w:val="32"/>
        </w:rPr>
      </w:pPr>
    </w:p>
    <w:p w14:paraId="3E68EFFA" w14:textId="77777777" w:rsidR="0078406B" w:rsidRDefault="00000000">
      <w:pPr>
        <w:spacing w:line="276" w:lineRule="auto"/>
        <w:jc w:val="both"/>
        <w:rPr>
          <w:rFonts w:ascii="Open Sans" w:eastAsia="Open Sans" w:hAnsi="Open Sans" w:cs="Open Sans"/>
        </w:rPr>
      </w:pPr>
      <w:r>
        <w:rPr>
          <w:rFonts w:ascii="Open Sans" w:eastAsia="Open Sans" w:hAnsi="Open Sans" w:cs="Open Sans"/>
        </w:rPr>
        <w:t xml:space="preserve">Por ciclo vital y por nivel de renta, el porcentaje de propietarios múltiples de vivienda incrementa significativamente con la edad. Por ejemplo, </w:t>
      </w:r>
      <w:r>
        <w:rPr>
          <w:rFonts w:ascii="Open Sans" w:eastAsia="Open Sans" w:hAnsi="Open Sans" w:cs="Open Sans"/>
          <w:b/>
        </w:rPr>
        <w:t>entre los propietarios de las franjas de edad más jóvenes (menores de 35 años), la gran mayoría (92%) tiene únicamente un inmueble en posesión</w:t>
      </w:r>
      <w:r>
        <w:rPr>
          <w:rFonts w:ascii="Open Sans" w:eastAsia="Open Sans" w:hAnsi="Open Sans" w:cs="Open Sans"/>
        </w:rPr>
        <w:t xml:space="preserve">. Esta cifra se va </w:t>
      </w:r>
      <w:r>
        <w:rPr>
          <w:rFonts w:ascii="Open Sans" w:eastAsia="Open Sans" w:hAnsi="Open Sans" w:cs="Open Sans"/>
        </w:rPr>
        <w:lastRenderedPageBreak/>
        <w:t>reduciendo progresivamente a medida que aumenta la edad, hasta llegar a la franja más senior de la población, puesto que solo el 78% de los propietarios mayores de 55 años tiene únicamente una vivienda en propiedad. Por consiguiente, las tasas de propietarios múltiples son más grandes en esta cohorte de mayor edad: un 17% de los propietarios de más de 55 años tienen dos viviendas, y el 5% poseen tres o más inmuebles. En sentido contrario, los porcentajes de multipropietarios menores de 35 años es muy inferior. Con todo, el uso prioritario que le dan los propietarios a sus viviendas es de forma muy mayoritaria el de residencia habitual.</w:t>
      </w:r>
    </w:p>
    <w:p w14:paraId="5ACB26CE" w14:textId="77777777" w:rsidR="0078406B" w:rsidRDefault="0078406B">
      <w:pPr>
        <w:spacing w:line="276" w:lineRule="auto"/>
        <w:jc w:val="both"/>
        <w:rPr>
          <w:rFonts w:ascii="Open Sans" w:eastAsia="Open Sans" w:hAnsi="Open Sans" w:cs="Open Sans"/>
        </w:rPr>
      </w:pPr>
    </w:p>
    <w:p w14:paraId="3E9C96A3" w14:textId="77777777" w:rsidR="0078406B" w:rsidRDefault="00000000">
      <w:pPr>
        <w:spacing w:line="276" w:lineRule="auto"/>
        <w:jc w:val="center"/>
        <w:rPr>
          <w:rFonts w:ascii="National" w:eastAsia="National" w:hAnsi="National" w:cs="National"/>
          <w:b/>
          <w:color w:val="303AB2"/>
          <w:sz w:val="32"/>
          <w:szCs w:val="32"/>
        </w:rPr>
      </w:pPr>
      <w:r>
        <w:rPr>
          <w:noProof/>
        </w:rPr>
        <w:drawing>
          <wp:inline distT="0" distB="0" distL="0" distR="0" wp14:anchorId="06E3E28E" wp14:editId="6F77186E">
            <wp:extent cx="5723209" cy="2889174"/>
            <wp:effectExtent l="0" t="0" r="0" b="0"/>
            <wp:docPr id="2066816618" name="image3.png" descr="Imatge que conté text, captura de pantalla, Trama, línia&#10;&#10;Pot ser que el contingut generat per IA no sigui correcte."/>
            <wp:cNvGraphicFramePr/>
            <a:graphic xmlns:a="http://schemas.openxmlformats.org/drawingml/2006/main">
              <a:graphicData uri="http://schemas.openxmlformats.org/drawingml/2006/picture">
                <pic:pic xmlns:pic="http://schemas.openxmlformats.org/drawingml/2006/picture">
                  <pic:nvPicPr>
                    <pic:cNvPr id="0" name="image3.png" descr="Imatge que conté text, captura de pantalla, Trama, línia&#10;&#10;Pot ser que el contingut generat per IA no sigui correcte."/>
                    <pic:cNvPicPr preferRelativeResize="0"/>
                  </pic:nvPicPr>
                  <pic:blipFill>
                    <a:blip r:embed="rId15"/>
                    <a:srcRect/>
                    <a:stretch>
                      <a:fillRect/>
                    </a:stretch>
                  </pic:blipFill>
                  <pic:spPr>
                    <a:xfrm>
                      <a:off x="0" y="0"/>
                      <a:ext cx="5723209" cy="2889174"/>
                    </a:xfrm>
                    <a:prstGeom prst="rect">
                      <a:avLst/>
                    </a:prstGeom>
                    <a:ln/>
                  </pic:spPr>
                </pic:pic>
              </a:graphicData>
            </a:graphic>
          </wp:inline>
        </w:drawing>
      </w:r>
    </w:p>
    <w:p w14:paraId="184BB0FA" w14:textId="77777777" w:rsidR="0078406B" w:rsidRDefault="0078406B">
      <w:pPr>
        <w:spacing w:line="276" w:lineRule="auto"/>
        <w:jc w:val="both"/>
        <w:rPr>
          <w:rFonts w:ascii="National" w:eastAsia="National" w:hAnsi="National" w:cs="National"/>
          <w:b/>
          <w:color w:val="303AB2"/>
          <w:sz w:val="32"/>
          <w:szCs w:val="32"/>
        </w:rPr>
      </w:pPr>
    </w:p>
    <w:p w14:paraId="2AD11E6B" w14:textId="77777777" w:rsidR="0078406B" w:rsidRDefault="0078406B">
      <w:pPr>
        <w:pBdr>
          <w:top w:val="nil"/>
          <w:left w:val="nil"/>
          <w:bottom w:val="nil"/>
          <w:right w:val="nil"/>
          <w:between w:val="nil"/>
        </w:pBdr>
        <w:spacing w:line="276" w:lineRule="auto"/>
        <w:jc w:val="center"/>
        <w:rPr>
          <w:rFonts w:ascii="Open Sans" w:eastAsia="Open Sans" w:hAnsi="Open Sans" w:cs="Open Sans"/>
        </w:rPr>
      </w:pPr>
    </w:p>
    <w:p w14:paraId="3388C02B" w14:textId="77777777" w:rsidR="0078406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último, si se analiza el fenómeno de la propiedad múltiple de viviendas a nivel territorial, se observa que </w:t>
      </w:r>
      <w:r>
        <w:rPr>
          <w:rFonts w:ascii="Open Sans" w:eastAsia="Open Sans" w:hAnsi="Open Sans" w:cs="Open Sans"/>
          <w:b/>
        </w:rPr>
        <w:t>los grandes mercados inmobiliarios presentan cifras muy parecidas a la media nacional, con la única excepción de la Comunidad de Madrid</w:t>
      </w:r>
      <w:r>
        <w:rPr>
          <w:rFonts w:ascii="Open Sans" w:eastAsia="Open Sans" w:hAnsi="Open Sans" w:cs="Open Sans"/>
        </w:rPr>
        <w:t>. Así, tanto Cataluña (85%), como Andalucía (85%) o la Comunidad Valenciana (84%) presentan tasas muy cercanas al promedio español en referencia al porcentaje de propietarios que tienen un único inmueble. Por el contrario, en la Comunidad de Madrid esta cifra se reduce al 70%, siendo mayor que en otras autonomías el porcentaje de propietarios de dos (22%) o de tres o más (8%) viviendas.</w:t>
      </w:r>
    </w:p>
    <w:p w14:paraId="20410E89" w14:textId="77777777" w:rsidR="0078406B" w:rsidRDefault="0078406B">
      <w:pPr>
        <w:spacing w:line="276" w:lineRule="auto"/>
        <w:jc w:val="right"/>
        <w:rPr>
          <w:rFonts w:ascii="Open Sans Light" w:eastAsia="Open Sans Light" w:hAnsi="Open Sans Light" w:cs="Open Sans Light"/>
          <w:b/>
          <w:color w:val="303AB2"/>
        </w:rPr>
      </w:pPr>
    </w:p>
    <w:p w14:paraId="7AD75A3C" w14:textId="77777777" w:rsidR="0078406B" w:rsidRDefault="0078406B">
      <w:pPr>
        <w:spacing w:line="276" w:lineRule="auto"/>
        <w:jc w:val="right"/>
        <w:rPr>
          <w:rFonts w:ascii="Open Sans Light" w:eastAsia="Open Sans Light" w:hAnsi="Open Sans Light" w:cs="Open Sans Light"/>
          <w:b/>
          <w:color w:val="303AB2"/>
        </w:rPr>
      </w:pPr>
    </w:p>
    <w:p w14:paraId="32ADA00A" w14:textId="77777777" w:rsidR="0078406B" w:rsidRDefault="0078406B">
      <w:pPr>
        <w:spacing w:line="276" w:lineRule="auto"/>
        <w:jc w:val="right"/>
        <w:rPr>
          <w:rFonts w:ascii="Open Sans Light" w:eastAsia="Open Sans Light" w:hAnsi="Open Sans Light" w:cs="Open Sans Light"/>
          <w:b/>
          <w:color w:val="303AB2"/>
        </w:rPr>
      </w:pPr>
    </w:p>
    <w:p w14:paraId="6A9361E7" w14:textId="77777777" w:rsidR="0078406B"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331FC431" w14:textId="77777777" w:rsidR="0078406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4B66D81" w14:textId="77777777" w:rsidR="0078406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4593E8AC" w14:textId="77777777" w:rsidR="0078406B"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5651DD28" w14:textId="77777777" w:rsidR="0078406B"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1D9E3D19" w14:textId="77777777" w:rsidR="0078406B"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3">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5A9A9B55" w14:textId="77777777" w:rsidR="0078406B"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845EF02" w14:textId="77777777" w:rsidR="0078406B"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2DEF057B" w14:textId="77777777" w:rsidR="0078406B" w:rsidRDefault="00000000">
      <w:pPr>
        <w:spacing w:before="143" w:after="200"/>
        <w:jc w:val="both"/>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45B20CEF" w14:textId="77777777" w:rsidR="0078406B" w:rsidRDefault="0078406B">
      <w:pPr>
        <w:spacing w:before="143" w:after="200"/>
        <w:jc w:val="both"/>
        <w:rPr>
          <w:rFonts w:ascii="Open Sans" w:eastAsia="Open Sans" w:hAnsi="Open Sans" w:cs="Open Sans"/>
        </w:rPr>
      </w:pPr>
    </w:p>
    <w:p w14:paraId="5AA71114" w14:textId="77777777" w:rsidR="0078406B"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6470774" w14:textId="77777777" w:rsidR="0078406B"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DF5C926" w14:textId="77777777" w:rsidR="0078406B" w:rsidRDefault="00000000">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5932B91B" w14:textId="77777777" w:rsidR="0078406B"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78406B">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E754A" w14:textId="77777777" w:rsidR="00FE19FF" w:rsidRDefault="00FE19FF">
      <w:r>
        <w:separator/>
      </w:r>
    </w:p>
  </w:endnote>
  <w:endnote w:type="continuationSeparator" w:id="0">
    <w:p w14:paraId="77F9A277" w14:textId="77777777" w:rsidR="00FE19FF" w:rsidRDefault="00FE1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0C0CE3E-0B6A-40B0-89A7-5BD3174AE28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B77D96F-835C-4D72-AB43-B6D992114DB5}"/>
    <w:embedBold r:id="rId3" w:fontKey="{05CC507B-CF53-454E-A638-0C85C8AFC53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82D6012-B70E-44CC-B5F6-0893CE82A802}"/>
  </w:font>
  <w:font w:name="Georgia">
    <w:panose1 w:val="02040502050405020303"/>
    <w:charset w:val="00"/>
    <w:family w:val="roman"/>
    <w:pitch w:val="variable"/>
    <w:sig w:usb0="00000287" w:usb1="00000000" w:usb2="00000000" w:usb3="00000000" w:csb0="0000009F" w:csb1="00000000"/>
    <w:embedRegular r:id="rId5" w:fontKey="{2C2EC0FB-A1D0-4CDD-8E1E-C8B95DCBA393}"/>
    <w:embedItalic r:id="rId6" w:fontKey="{2E21E6CA-D8E2-4951-963E-EE712424943D}"/>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FE719268-FF03-44BF-AB3F-253BFD10621F}"/>
    <w:embedBold r:id="rId8" w:fontKey="{95DFFDAB-E25F-4A76-A804-F467E6298742}"/>
    <w:embedBoldItalic r:id="rId9" w:fontKey="{72B48947-C657-4684-82AE-DAF4FF626FB0}"/>
  </w:font>
  <w:font w:name="Open Sans Light">
    <w:charset w:val="00"/>
    <w:family w:val="swiss"/>
    <w:pitch w:val="variable"/>
    <w:sig w:usb0="E00002EF" w:usb1="4000205B" w:usb2="00000028" w:usb3="00000000" w:csb0="0000019F" w:csb1="00000000"/>
    <w:embedRegular r:id="rId10" w:fontKey="{6168D1C5-0CAA-4607-A6EC-51E29E275399}"/>
    <w:embedBold r:id="rId11" w:fontKey="{5C98BB13-214F-4C22-BA63-7E2011E9CD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CA97A" w14:textId="77777777" w:rsidR="0078406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0BA2EEC" wp14:editId="51A6DEBD">
          <wp:simplePos x="0" y="0"/>
          <wp:positionH relativeFrom="column">
            <wp:posOffset>-1068041</wp:posOffset>
          </wp:positionH>
          <wp:positionV relativeFrom="paragraph">
            <wp:posOffset>174608</wp:posOffset>
          </wp:positionV>
          <wp:extent cx="7670550" cy="451315"/>
          <wp:effectExtent l="0" t="0" r="0" b="0"/>
          <wp:wrapNone/>
          <wp:docPr id="20668166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6EE81" w14:textId="77777777" w:rsidR="00FE19FF" w:rsidRDefault="00FE19FF">
      <w:r>
        <w:separator/>
      </w:r>
    </w:p>
  </w:footnote>
  <w:footnote w:type="continuationSeparator" w:id="0">
    <w:p w14:paraId="16B04508" w14:textId="77777777" w:rsidR="00FE19FF" w:rsidRDefault="00FE19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F6583E"/>
    <w:multiLevelType w:val="multilevel"/>
    <w:tmpl w:val="F1C6F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2393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06B"/>
    <w:rsid w:val="00160347"/>
    <w:rsid w:val="0060631F"/>
    <w:rsid w:val="0078406B"/>
    <w:rsid w:val="00FE19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1B5F2"/>
  <w15:docId w15:val="{391FA398-2602-43B3-B850-78E57CEC5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fotocasa.es/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hyperlink" Target="https://research.fotocasa.es/" TargetMode="External"/><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infojob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milanuncios.com/" TargetMode="External"/><Relationship Id="rId28" Type="http://schemas.openxmlformats.org/officeDocument/2006/relationships/theme" Target="theme/theme1.xml"/><Relationship Id="rId10" Type="http://schemas.openxmlformats.org/officeDocument/2006/relationships/hyperlink" Target="https://s36216.pcdn.co/wp-content/uploads/2025/05/radiografia-mercado-vivienda-primer-semestre2025.pdf"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s36216.pcdn.co/wp-content/uploads/2025/05/radiografia-mercado-vivienda-primer-semestre2025.pdf" TargetMode="External"/><Relationship Id="rId14" Type="http://schemas.openxmlformats.org/officeDocument/2006/relationships/hyperlink" Target="https://www.fotocasa.es" TargetMode="External"/><Relationship Id="rId22" Type="http://schemas.openxmlformats.org/officeDocument/2006/relationships/hyperlink" Target="https://motos.coches.ne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pDHupA9+gMxP7PzowpZMgkjEUw==">CgMxLjAyCWguMnM4ZXlvMTgAciExOHhwOHdkWW4tRWZWbVAzSVVPUEJNbmNsWDRUd1FYdG8=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1087</Words>
  <Characters>5980</Characters>
  <Application>Microsoft Office Word</Application>
  <DocSecurity>0</DocSecurity>
  <Lines>49</Lines>
  <Paragraphs>14</Paragraphs>
  <ScaleCrop>false</ScaleCrop>
  <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2</cp:revision>
  <dcterms:created xsi:type="dcterms:W3CDTF">2024-02-06T13:46:00Z</dcterms:created>
  <dcterms:modified xsi:type="dcterms:W3CDTF">2025-07-02T20:44:00Z</dcterms:modified>
</cp:coreProperties>
</file>