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727F3" w14:textId="77777777" w:rsidR="00AF3466" w:rsidRDefault="00000000">
      <w:r>
        <w:rPr>
          <w:noProof/>
        </w:rPr>
        <w:drawing>
          <wp:anchor distT="0" distB="0" distL="114300" distR="114300" simplePos="0" relativeHeight="251658240" behindDoc="0" locked="0" layoutInCell="1" hidden="0" allowOverlap="1" wp14:anchorId="687FF74E" wp14:editId="103F5942">
            <wp:simplePos x="0" y="0"/>
            <wp:positionH relativeFrom="column">
              <wp:posOffset>-1080117</wp:posOffset>
            </wp:positionH>
            <wp:positionV relativeFrom="paragraph">
              <wp:posOffset>-654666</wp:posOffset>
            </wp:positionV>
            <wp:extent cx="7581265" cy="1019175"/>
            <wp:effectExtent l="0" t="0" r="0" b="0"/>
            <wp:wrapNone/>
            <wp:docPr id="20668166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404884C" w14:textId="77777777" w:rsidR="00AF3466" w:rsidRDefault="00AF3466">
      <w:pPr>
        <w:jc w:val="right"/>
        <w:rPr>
          <w:rFonts w:ascii="National" w:eastAsia="National" w:hAnsi="National" w:cs="National"/>
          <w:color w:val="303AB2"/>
          <w:sz w:val="36"/>
          <w:szCs w:val="36"/>
        </w:rPr>
      </w:pPr>
    </w:p>
    <w:p w14:paraId="3CED781E" w14:textId="77777777" w:rsidR="00AF3466" w:rsidRDefault="00AF3466">
      <w:pPr>
        <w:jc w:val="center"/>
        <w:rPr>
          <w:rFonts w:ascii="National" w:eastAsia="National" w:hAnsi="National" w:cs="National"/>
          <w:b/>
          <w:color w:val="1DBDC5"/>
          <w:sz w:val="34"/>
          <w:szCs w:val="34"/>
        </w:rPr>
      </w:pPr>
    </w:p>
    <w:p w14:paraId="7D25ECB0" w14:textId="77777777" w:rsidR="00AF3466"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ANÁLISIS DEL MERCADO INMOBILIARIO EN ANDALUCÍA</w:t>
      </w:r>
    </w:p>
    <w:p w14:paraId="32F61B51" w14:textId="77777777" w:rsidR="00AF3466" w:rsidRPr="002A6BC3" w:rsidRDefault="00000000">
      <w:pPr>
        <w:jc w:val="center"/>
        <w:rPr>
          <w:rFonts w:ascii="National" w:eastAsia="National" w:hAnsi="National" w:cs="National"/>
          <w:b/>
          <w:color w:val="303AB2"/>
          <w:sz w:val="46"/>
          <w:szCs w:val="46"/>
        </w:rPr>
      </w:pPr>
      <w:r w:rsidRPr="002A6BC3">
        <w:rPr>
          <w:rFonts w:ascii="National" w:eastAsia="National" w:hAnsi="National" w:cs="National"/>
          <w:b/>
          <w:color w:val="303AB2"/>
          <w:sz w:val="46"/>
          <w:szCs w:val="46"/>
        </w:rPr>
        <w:t>El precio de la vivienda de compra en la ciudad de Málaga se encuentra en máximos y está un 49% por encima del precio de la burbuja inmobiliaria</w:t>
      </w:r>
    </w:p>
    <w:p w14:paraId="2682C42D" w14:textId="77777777" w:rsidR="00AF3466" w:rsidRDefault="00AF3466">
      <w:pPr>
        <w:jc w:val="center"/>
        <w:rPr>
          <w:rFonts w:ascii="Open Sans" w:eastAsia="Open Sans" w:hAnsi="Open Sans" w:cs="Open Sans"/>
          <w:color w:val="303AB2"/>
        </w:rPr>
      </w:pPr>
    </w:p>
    <w:p w14:paraId="01ACAC59" w14:textId="77777777" w:rsidR="00AF346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precio de un piso estándar de 80 metros cuadrados supera actualmente los 330.000 euros, mientras que hace diez años costaba 125.000 euros</w:t>
      </w:r>
    </w:p>
    <w:p w14:paraId="585C7612" w14:textId="77777777" w:rsidR="00AF346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ciudad andaluza cuenta con un mercado con valoraciones históricamente muy elevadas, que se sitúan un 53% por encima de la media nacional</w:t>
      </w:r>
    </w:p>
    <w:p w14:paraId="6E2A8308" w14:textId="77777777" w:rsidR="00AF3466" w:rsidRDefault="00AF3466">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2E1B5282" w14:textId="77777777" w:rsidR="002A6BC3" w:rsidRDefault="002A6BC3">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6FF1A95D" w14:textId="77777777" w:rsidR="00AF3466"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14 de agosto de 2025</w:t>
      </w:r>
    </w:p>
    <w:p w14:paraId="24FB3E83" w14:textId="77777777" w:rsidR="00AF3466" w:rsidRDefault="00AF3466">
      <w:pPr>
        <w:pBdr>
          <w:top w:val="nil"/>
          <w:left w:val="nil"/>
          <w:bottom w:val="nil"/>
          <w:right w:val="nil"/>
          <w:between w:val="nil"/>
        </w:pBdr>
        <w:spacing w:line="276" w:lineRule="auto"/>
        <w:jc w:val="both"/>
        <w:rPr>
          <w:rFonts w:ascii="Open Sans" w:eastAsia="Open Sans" w:hAnsi="Open Sans" w:cs="Open Sans"/>
        </w:rPr>
      </w:pPr>
    </w:p>
    <w:p w14:paraId="5599E674" w14:textId="77777777" w:rsidR="00AF346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Con motivo de la Feria de Málaga, el portal inmobiliario </w:t>
      </w:r>
      <w:hyperlink r:id="rId9">
        <w:r>
          <w:rPr>
            <w:rFonts w:ascii="Open Sans" w:eastAsia="Open Sans" w:hAnsi="Open Sans" w:cs="Open Sans"/>
            <w:b/>
            <w:color w:val="1155CC"/>
            <w:u w:val="single"/>
          </w:rPr>
          <w:t>Fotocasa</w:t>
        </w:r>
      </w:hyperlink>
      <w:r>
        <w:rPr>
          <w:rFonts w:ascii="Open Sans" w:eastAsia="Open Sans" w:hAnsi="Open Sans" w:cs="Open Sans"/>
        </w:rPr>
        <w:t xml:space="preserve"> ha elaborado un análisis especial de cómo ha evolucionado el precio de la vivienda de segunda mano en la ciudad de Málaga. Del análisis se desprende que Málaga capital ha alcanzado en la actualidad su máximo histórico. Concretamente, </w:t>
      </w:r>
      <w:r>
        <w:rPr>
          <w:rFonts w:ascii="Open Sans" w:eastAsia="Open Sans" w:hAnsi="Open Sans" w:cs="Open Sans"/>
          <w:b/>
        </w:rPr>
        <w:t>en julio de 2025 (último dato de la serie histórica) esta ciudad andaluza ha registrado un precio del metro cuadrado de 4.145 euros de media</w:t>
      </w:r>
      <w:r>
        <w:rPr>
          <w:rFonts w:ascii="Open Sans" w:eastAsia="Open Sans" w:hAnsi="Open Sans" w:cs="Open Sans"/>
        </w:rPr>
        <w:t xml:space="preserve">, una cifra que no se había alcanzado nunca y que supera con creces las valoraciones del boom inmobiliario en España de la primera mitad de la década del 2000. En el pico máximo de aquella época, situado en abril de 2007, el precio medio en Málaga capital llegó a los 2.778 €/m2. Esto significa que en la actualidad el mercado de la vivienda en propiedad en esta ciudad andaluza se ha encarecido un 49% en comparación con momento más álgido de la burbuja inmobiliaria, </w:t>
      </w:r>
      <w:r>
        <w:rPr>
          <w:rFonts w:ascii="Open Sans" w:eastAsia="Open Sans" w:hAnsi="Open Sans" w:cs="Open Sans"/>
          <w:b/>
        </w:rPr>
        <w:t xml:space="preserve">según datos del portal inmobiliario </w:t>
      </w:r>
      <w:hyperlink r:id="rId10">
        <w:r>
          <w:rPr>
            <w:rFonts w:ascii="Open Sans" w:eastAsia="Open Sans" w:hAnsi="Open Sans" w:cs="Open Sans"/>
            <w:b/>
            <w:color w:val="0000FF"/>
            <w:u w:val="single"/>
          </w:rPr>
          <w:t>Fotocasa</w:t>
        </w:r>
      </w:hyperlink>
      <w:r>
        <w:rPr>
          <w:rFonts w:ascii="Open Sans" w:eastAsia="Open Sans" w:hAnsi="Open Sans" w:cs="Open Sans"/>
        </w:rPr>
        <w:t>.</w:t>
      </w:r>
    </w:p>
    <w:p w14:paraId="0C2AD932" w14:textId="77777777" w:rsidR="00AF3466" w:rsidRDefault="00AF3466">
      <w:pPr>
        <w:pBdr>
          <w:top w:val="nil"/>
          <w:left w:val="nil"/>
          <w:bottom w:val="nil"/>
          <w:right w:val="nil"/>
          <w:between w:val="nil"/>
        </w:pBdr>
        <w:spacing w:line="276" w:lineRule="auto"/>
        <w:jc w:val="both"/>
        <w:rPr>
          <w:rFonts w:ascii="Open Sans" w:eastAsia="Open Sans" w:hAnsi="Open Sans" w:cs="Open Sans"/>
        </w:rPr>
      </w:pPr>
    </w:p>
    <w:p w14:paraId="05A669C2" w14:textId="22E0DEE0" w:rsidR="00AF3466" w:rsidRDefault="00E33212">
      <w:pPr>
        <w:pBdr>
          <w:top w:val="nil"/>
          <w:left w:val="nil"/>
          <w:bottom w:val="nil"/>
          <w:right w:val="nil"/>
          <w:between w:val="nil"/>
        </w:pBdr>
        <w:spacing w:line="276" w:lineRule="auto"/>
        <w:jc w:val="both"/>
        <w:rPr>
          <w:rFonts w:ascii="Open Sans" w:eastAsia="Open Sans" w:hAnsi="Open Sans" w:cs="Open Sans"/>
          <w:highlight w:val="yellow"/>
        </w:rPr>
      </w:pPr>
      <w:r w:rsidRPr="00E33212">
        <w:rPr>
          <w:rFonts w:ascii="Open Sans" w:eastAsia="Open Sans" w:hAnsi="Open Sans" w:cs="Open Sans"/>
        </w:rPr>
        <w:t xml:space="preserve">“Málaga se ha consolidado como uno de los mercados residenciales más dinámicos y tensionados de toda España. El hecho de que el precio actual de la vivienda esté un 49% por encima del pico de la burbuja inmobiliaria de 2007 es muy significativo y refleja un cambio estructural en la demanda y en el </w:t>
      </w:r>
      <w:r w:rsidRPr="00E33212">
        <w:rPr>
          <w:rFonts w:ascii="Open Sans" w:eastAsia="Open Sans" w:hAnsi="Open Sans" w:cs="Open Sans"/>
        </w:rPr>
        <w:lastRenderedPageBreak/>
        <w:t>posicionamiento de la ciudad dentro del mercado nacional e internacional</w:t>
      </w:r>
      <w:r>
        <w:rPr>
          <w:rFonts w:ascii="Open Sans" w:eastAsia="Open Sans" w:hAnsi="Open Sans" w:cs="Open Sans"/>
        </w:rPr>
        <w:t xml:space="preserve">. </w:t>
      </w:r>
      <w:r w:rsidRPr="00E33212">
        <w:rPr>
          <w:rFonts w:ascii="Open Sans" w:eastAsia="Open Sans" w:hAnsi="Open Sans" w:cs="Open Sans"/>
        </w:rPr>
        <w:t>Este crecimiento tan acelerado se debe, entre otras razones, a una fuerte presión compradora, tanto nacional como extranjera, una oferta limitada de vivienda nueva y una alta demanda en zonas céntricas y costeras con gran valor turístico y de inversión</w:t>
      </w:r>
      <w:r>
        <w:rPr>
          <w:rFonts w:ascii="Open Sans" w:eastAsia="Open Sans" w:hAnsi="Open Sans" w:cs="Open Sans"/>
        </w:rPr>
        <w:t xml:space="preserve">. </w:t>
      </w:r>
      <w:r w:rsidRPr="00E33212">
        <w:rPr>
          <w:rFonts w:ascii="Open Sans" w:eastAsia="Open Sans" w:hAnsi="Open Sans" w:cs="Open Sans"/>
        </w:rPr>
        <w:t>Además, Málaga ha experimentado un profundo proceso de transformación urbana, económica y cultural en los últimos años, que la ha convertido en un polo de atracción para el teletrabajo, la inversión internacional y el turismo residencial</w:t>
      </w:r>
      <w:r>
        <w:rPr>
          <w:rFonts w:ascii="Open Sans" w:eastAsia="Open Sans" w:hAnsi="Open Sans" w:cs="Open Sans"/>
        </w:rPr>
        <w:t xml:space="preserve">”, </w:t>
      </w:r>
      <w:r w:rsidRPr="00E33212">
        <w:rPr>
          <w:rFonts w:ascii="Open Sans" w:eastAsia="Open Sans" w:hAnsi="Open Sans" w:cs="Open Sans"/>
          <w:b/>
          <w:bCs/>
        </w:rPr>
        <w:t xml:space="preserve">explica María Matos, directora de Estudios de </w:t>
      </w:r>
      <w:hyperlink r:id="rId11">
        <w:r>
          <w:rPr>
            <w:rFonts w:ascii="Open Sans" w:eastAsia="Open Sans" w:hAnsi="Open Sans" w:cs="Open Sans"/>
            <w:b/>
            <w:color w:val="0000FF"/>
            <w:u w:val="single"/>
          </w:rPr>
          <w:t>Fotocasa</w:t>
        </w:r>
      </w:hyperlink>
      <w:r>
        <w:t>.</w:t>
      </w:r>
    </w:p>
    <w:p w14:paraId="5C33DEAA" w14:textId="77777777" w:rsidR="00AF3466" w:rsidRDefault="00AF3466">
      <w:pPr>
        <w:pBdr>
          <w:top w:val="nil"/>
          <w:left w:val="nil"/>
          <w:bottom w:val="nil"/>
          <w:right w:val="nil"/>
          <w:between w:val="nil"/>
        </w:pBdr>
        <w:spacing w:line="276" w:lineRule="auto"/>
        <w:jc w:val="both"/>
        <w:rPr>
          <w:rFonts w:ascii="Open Sans" w:eastAsia="Open Sans" w:hAnsi="Open Sans" w:cs="Open Sans"/>
        </w:rPr>
      </w:pPr>
    </w:p>
    <w:p w14:paraId="4CF1F985" w14:textId="77777777" w:rsidR="00AF346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Asimismo, si se comparan los datos actuales con el punto más bajo de la serie histórica, registrado en mayo de 2015, cuando el precio por metro cuadrado de un inmueble en propiedad era de 1.572 €/m2, las diferencias con el contexto actual todavía son más notables. </w:t>
      </w:r>
      <w:r>
        <w:rPr>
          <w:rFonts w:ascii="Open Sans" w:eastAsia="Open Sans" w:hAnsi="Open Sans" w:cs="Open Sans"/>
          <w:b/>
        </w:rPr>
        <w:t>La citada cifra de julio de 2025 (4.145 euros por metro cuadrado para una vivienda de compra) es un 163% superior a la registrada hace prácticamente una década</w:t>
      </w:r>
      <w:r>
        <w:rPr>
          <w:rFonts w:ascii="Open Sans" w:eastAsia="Open Sans" w:hAnsi="Open Sans" w:cs="Open Sans"/>
        </w:rPr>
        <w:t xml:space="preserve">. </w:t>
      </w:r>
    </w:p>
    <w:p w14:paraId="1A13E827" w14:textId="77777777" w:rsidR="002A6BC3" w:rsidRDefault="002A6BC3">
      <w:pPr>
        <w:pBdr>
          <w:top w:val="nil"/>
          <w:left w:val="nil"/>
          <w:bottom w:val="nil"/>
          <w:right w:val="nil"/>
          <w:between w:val="nil"/>
        </w:pBdr>
        <w:spacing w:line="276" w:lineRule="auto"/>
        <w:jc w:val="both"/>
        <w:rPr>
          <w:rFonts w:ascii="Open Sans" w:eastAsia="Open Sans" w:hAnsi="Open Sans" w:cs="Open Sans"/>
        </w:rPr>
      </w:pPr>
    </w:p>
    <w:p w14:paraId="20BAB8FD" w14:textId="77777777" w:rsidR="002A6BC3" w:rsidRDefault="002A6BC3" w:rsidP="002A6BC3">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De esta manera, </w:t>
      </w:r>
      <w:r>
        <w:rPr>
          <w:rFonts w:ascii="Open Sans" w:eastAsia="Open Sans" w:hAnsi="Open Sans" w:cs="Open Sans"/>
          <w:b/>
        </w:rPr>
        <w:t>el precio de un piso estándar de 80 metros cuadrados en Málaga ha pasado de 125.740 euros en mayo de 2015 a 331.609 euros en julio de 2025</w:t>
      </w:r>
      <w:r>
        <w:rPr>
          <w:rFonts w:ascii="Open Sans" w:eastAsia="Open Sans" w:hAnsi="Open Sans" w:cs="Open Sans"/>
        </w:rPr>
        <w:t>. Si se realiza el mismo símil con la mencionada época de mayor auge del mercado de la vivienda durante el boom inmobiliario del 2000, se deduce que, en abril de 2007, un piso de 80 metros cuadrados en Málaga tenía un precio de 222.232 euros.</w:t>
      </w:r>
    </w:p>
    <w:p w14:paraId="74C0BA5F" w14:textId="77777777" w:rsidR="002A6BC3" w:rsidRDefault="002A6BC3">
      <w:pPr>
        <w:pBdr>
          <w:top w:val="nil"/>
          <w:left w:val="nil"/>
          <w:bottom w:val="nil"/>
          <w:right w:val="nil"/>
          <w:between w:val="nil"/>
        </w:pBdr>
        <w:spacing w:line="276" w:lineRule="auto"/>
        <w:jc w:val="both"/>
        <w:rPr>
          <w:rFonts w:ascii="Open Sans" w:eastAsia="Open Sans" w:hAnsi="Open Sans" w:cs="Open Sans"/>
        </w:rPr>
      </w:pPr>
    </w:p>
    <w:p w14:paraId="5D7B0A4B" w14:textId="1EA5F79C" w:rsidR="002A6BC3" w:rsidRDefault="002A6BC3" w:rsidP="002A6BC3">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Teniendo en cuenta el </w:t>
      </w:r>
      <w:r>
        <w:rPr>
          <w:rFonts w:ascii="Open Sans" w:eastAsia="Open Sans" w:hAnsi="Open Sans" w:cs="Open Sans"/>
        </w:rPr>
        <w:t xml:space="preserve">siguiente </w:t>
      </w:r>
      <w:r>
        <w:rPr>
          <w:rFonts w:ascii="Open Sans" w:eastAsia="Open Sans" w:hAnsi="Open Sans" w:cs="Open Sans"/>
        </w:rPr>
        <w:t xml:space="preserve">gráfico, se puede observar que el mercado de la vivienda de compraventa malagueño ha experimentado durante los últimos años incrementos interanuales de precios muy sensibles, con subidas que han superado incluso el 20%. Exactamente, </w:t>
      </w:r>
      <w:r>
        <w:rPr>
          <w:rFonts w:ascii="Open Sans" w:eastAsia="Open Sans" w:hAnsi="Open Sans" w:cs="Open Sans"/>
          <w:b/>
        </w:rPr>
        <w:t>se han registrado incrementos anuales continuados de las valoraciones desde junio de 2021</w:t>
      </w:r>
      <w:r>
        <w:rPr>
          <w:rFonts w:ascii="Open Sans" w:eastAsia="Open Sans" w:hAnsi="Open Sans" w:cs="Open Sans"/>
        </w:rPr>
        <w:t xml:space="preserve">, justo tras la crisis provocada por la pandemia. </w:t>
      </w:r>
    </w:p>
    <w:p w14:paraId="3630EF8D" w14:textId="77777777" w:rsidR="002A6BC3" w:rsidRDefault="002A6BC3" w:rsidP="002A6BC3">
      <w:pPr>
        <w:pBdr>
          <w:top w:val="nil"/>
          <w:left w:val="nil"/>
          <w:bottom w:val="nil"/>
          <w:right w:val="nil"/>
          <w:between w:val="nil"/>
        </w:pBdr>
        <w:spacing w:line="276" w:lineRule="auto"/>
        <w:jc w:val="both"/>
        <w:rPr>
          <w:rFonts w:ascii="Open Sans" w:eastAsia="Open Sans" w:hAnsi="Open Sans" w:cs="Open Sans"/>
        </w:rPr>
      </w:pPr>
    </w:p>
    <w:p w14:paraId="54E5E123" w14:textId="77777777" w:rsidR="002A6BC3" w:rsidRDefault="002A6BC3">
      <w:pPr>
        <w:pBdr>
          <w:top w:val="nil"/>
          <w:left w:val="nil"/>
          <w:bottom w:val="nil"/>
          <w:right w:val="nil"/>
          <w:between w:val="nil"/>
        </w:pBdr>
        <w:spacing w:line="276" w:lineRule="auto"/>
        <w:jc w:val="both"/>
        <w:rPr>
          <w:rFonts w:ascii="Open Sans" w:eastAsia="Open Sans" w:hAnsi="Open Sans" w:cs="Open Sans"/>
        </w:rPr>
      </w:pPr>
    </w:p>
    <w:p w14:paraId="43B55363" w14:textId="77777777" w:rsidR="00AF3466" w:rsidRDefault="00AF3466">
      <w:pPr>
        <w:pBdr>
          <w:top w:val="nil"/>
          <w:left w:val="nil"/>
          <w:bottom w:val="nil"/>
          <w:right w:val="nil"/>
          <w:between w:val="nil"/>
        </w:pBdr>
        <w:spacing w:line="276" w:lineRule="auto"/>
        <w:jc w:val="both"/>
        <w:rPr>
          <w:rFonts w:ascii="Open Sans" w:eastAsia="Open Sans" w:hAnsi="Open Sans" w:cs="Open Sans"/>
        </w:rPr>
      </w:pPr>
    </w:p>
    <w:p w14:paraId="7D8B445F" w14:textId="77777777" w:rsidR="002A6BC3" w:rsidRDefault="002A6BC3">
      <w:pPr>
        <w:pBdr>
          <w:top w:val="nil"/>
          <w:left w:val="nil"/>
          <w:bottom w:val="nil"/>
          <w:right w:val="nil"/>
          <w:between w:val="nil"/>
        </w:pBdr>
        <w:spacing w:line="276" w:lineRule="auto"/>
        <w:jc w:val="both"/>
        <w:rPr>
          <w:rFonts w:ascii="Open Sans" w:eastAsia="Open Sans" w:hAnsi="Open Sans" w:cs="Open Sans"/>
        </w:rPr>
      </w:pPr>
    </w:p>
    <w:p w14:paraId="1E844E06" w14:textId="77777777" w:rsidR="002A6BC3" w:rsidRDefault="002A6BC3">
      <w:pPr>
        <w:pBdr>
          <w:top w:val="nil"/>
          <w:left w:val="nil"/>
          <w:bottom w:val="nil"/>
          <w:right w:val="nil"/>
          <w:between w:val="nil"/>
        </w:pBdr>
        <w:spacing w:line="276" w:lineRule="auto"/>
        <w:jc w:val="both"/>
        <w:rPr>
          <w:rFonts w:ascii="Open Sans" w:eastAsia="Open Sans" w:hAnsi="Open Sans" w:cs="Open Sans"/>
        </w:rPr>
      </w:pPr>
    </w:p>
    <w:p w14:paraId="4E543760" w14:textId="77777777" w:rsidR="002A6BC3" w:rsidRDefault="002A6BC3">
      <w:pPr>
        <w:pBdr>
          <w:top w:val="nil"/>
          <w:left w:val="nil"/>
          <w:bottom w:val="nil"/>
          <w:right w:val="nil"/>
          <w:between w:val="nil"/>
        </w:pBdr>
        <w:spacing w:line="276" w:lineRule="auto"/>
        <w:jc w:val="both"/>
        <w:rPr>
          <w:rFonts w:ascii="Open Sans" w:eastAsia="Open Sans" w:hAnsi="Open Sans" w:cs="Open Sans"/>
        </w:rPr>
      </w:pPr>
    </w:p>
    <w:p w14:paraId="37CB7554" w14:textId="77777777" w:rsidR="002A6BC3" w:rsidRDefault="002A6BC3">
      <w:pPr>
        <w:pBdr>
          <w:top w:val="nil"/>
          <w:left w:val="nil"/>
          <w:bottom w:val="nil"/>
          <w:right w:val="nil"/>
          <w:between w:val="nil"/>
        </w:pBdr>
        <w:spacing w:line="276" w:lineRule="auto"/>
        <w:jc w:val="both"/>
        <w:rPr>
          <w:rFonts w:ascii="Open Sans" w:eastAsia="Open Sans" w:hAnsi="Open Sans" w:cs="Open Sans"/>
        </w:rPr>
      </w:pPr>
    </w:p>
    <w:p w14:paraId="1E4CCC3E" w14:textId="77777777" w:rsidR="00AF3466" w:rsidRDefault="00000000">
      <w:pPr>
        <w:spacing w:line="276" w:lineRule="auto"/>
        <w:jc w:val="center"/>
        <w:rPr>
          <w:rFonts w:ascii="National" w:eastAsia="National" w:hAnsi="National" w:cs="National"/>
          <w:b/>
          <w:color w:val="303AB2"/>
          <w:sz w:val="28"/>
          <w:szCs w:val="28"/>
        </w:rPr>
      </w:pPr>
      <w:r>
        <w:rPr>
          <w:rFonts w:ascii="National" w:eastAsia="National" w:hAnsi="National" w:cs="National"/>
          <w:b/>
          <w:color w:val="303AB2"/>
          <w:sz w:val="28"/>
          <w:szCs w:val="28"/>
        </w:rPr>
        <w:lastRenderedPageBreak/>
        <w:t>Variación interanual del precio de compraventa en Málaga (%)</w:t>
      </w:r>
    </w:p>
    <w:p w14:paraId="034420BF" w14:textId="77777777" w:rsidR="00AF3466" w:rsidRDefault="00AF3466">
      <w:pPr>
        <w:pBdr>
          <w:top w:val="nil"/>
          <w:left w:val="nil"/>
          <w:bottom w:val="nil"/>
          <w:right w:val="nil"/>
          <w:between w:val="nil"/>
        </w:pBdr>
        <w:spacing w:line="276" w:lineRule="auto"/>
        <w:jc w:val="both"/>
        <w:rPr>
          <w:rFonts w:ascii="Open Sans" w:eastAsia="Open Sans" w:hAnsi="Open Sans" w:cs="Open Sans"/>
        </w:rPr>
      </w:pPr>
    </w:p>
    <w:p w14:paraId="67A8F808" w14:textId="77777777" w:rsidR="00AF3466"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694FFE5C" wp14:editId="3CDDF0E7">
            <wp:extent cx="5886450" cy="3531870"/>
            <wp:effectExtent l="0" t="0" r="0" b="0"/>
            <wp:docPr id="2066816617" name="Gráfico 2066816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403109" w14:textId="77777777" w:rsidR="00AF3466" w:rsidRDefault="00AF3466">
      <w:pPr>
        <w:pBdr>
          <w:top w:val="nil"/>
          <w:left w:val="nil"/>
          <w:bottom w:val="nil"/>
          <w:right w:val="nil"/>
          <w:between w:val="nil"/>
        </w:pBdr>
        <w:spacing w:line="276" w:lineRule="auto"/>
        <w:jc w:val="both"/>
        <w:rPr>
          <w:rFonts w:ascii="Open Sans" w:eastAsia="Open Sans" w:hAnsi="Open Sans" w:cs="Open Sans"/>
        </w:rPr>
      </w:pPr>
    </w:p>
    <w:p w14:paraId="4961B834" w14:textId="77777777" w:rsidR="00AF3466" w:rsidRDefault="00AF3466">
      <w:pPr>
        <w:pBdr>
          <w:top w:val="nil"/>
          <w:left w:val="nil"/>
          <w:bottom w:val="nil"/>
          <w:right w:val="nil"/>
          <w:between w:val="nil"/>
        </w:pBdr>
        <w:spacing w:line="276" w:lineRule="auto"/>
        <w:jc w:val="both"/>
        <w:rPr>
          <w:rFonts w:ascii="Open Sans" w:eastAsia="Open Sans" w:hAnsi="Open Sans" w:cs="Open Sans"/>
        </w:rPr>
      </w:pPr>
    </w:p>
    <w:p w14:paraId="44E48905" w14:textId="4DBD541E" w:rsidR="00AF346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 se excluye este periodo marcado por el coronavirus, la vivienda en propiedad en esta ciudad ha vivido una escalada ininterrumpida de precios desde mediados de 2015. Esto ha provocado que, </w:t>
      </w:r>
      <w:r>
        <w:rPr>
          <w:rFonts w:ascii="Open Sans" w:eastAsia="Open Sans" w:hAnsi="Open Sans" w:cs="Open Sans"/>
          <w:b/>
        </w:rPr>
        <w:t>en la actualidad, Málaga cuente con un mercado con valoraciones históricamente muy elevadas, que se sitúan un 53% por encima de la media nacional</w:t>
      </w:r>
      <w:r>
        <w:rPr>
          <w:rFonts w:ascii="Open Sans" w:eastAsia="Open Sans" w:hAnsi="Open Sans" w:cs="Open Sans"/>
        </w:rPr>
        <w:t xml:space="preserve">. Con todo, </w:t>
      </w:r>
      <w:r w:rsidR="002A6BC3">
        <w:rPr>
          <w:rFonts w:ascii="Open Sans" w:eastAsia="Open Sans" w:hAnsi="Open Sans" w:cs="Open Sans"/>
        </w:rPr>
        <w:t>aun</w:t>
      </w:r>
      <w:r>
        <w:rPr>
          <w:rFonts w:ascii="Open Sans" w:eastAsia="Open Sans" w:hAnsi="Open Sans" w:cs="Open Sans"/>
        </w:rPr>
        <w:t xml:space="preserve"> siendo todavía muy elevadas (cercanos al 10%), las subidas interanuales de precios se han empezado a moderar este 2025.</w:t>
      </w:r>
    </w:p>
    <w:p w14:paraId="0E694E66" w14:textId="77777777" w:rsidR="00AF3466" w:rsidRDefault="00AF3466">
      <w:pPr>
        <w:pBdr>
          <w:top w:val="nil"/>
          <w:left w:val="nil"/>
          <w:bottom w:val="nil"/>
          <w:right w:val="nil"/>
          <w:between w:val="nil"/>
        </w:pBdr>
        <w:spacing w:line="276" w:lineRule="auto"/>
        <w:jc w:val="both"/>
        <w:rPr>
          <w:rFonts w:ascii="Open Sans" w:eastAsia="Open Sans" w:hAnsi="Open Sans" w:cs="Open Sans"/>
        </w:rPr>
      </w:pPr>
    </w:p>
    <w:p w14:paraId="78F160C3" w14:textId="77777777" w:rsidR="00AF3466" w:rsidRDefault="00AF3466">
      <w:pPr>
        <w:pBdr>
          <w:top w:val="nil"/>
          <w:left w:val="nil"/>
          <w:bottom w:val="nil"/>
          <w:right w:val="nil"/>
          <w:between w:val="nil"/>
        </w:pBdr>
        <w:spacing w:line="276" w:lineRule="auto"/>
        <w:jc w:val="both"/>
        <w:rPr>
          <w:rFonts w:ascii="Open Sans" w:eastAsia="Open Sans" w:hAnsi="Open Sans" w:cs="Open Sans"/>
        </w:rPr>
      </w:pPr>
    </w:p>
    <w:p w14:paraId="5F1A2481" w14:textId="77777777" w:rsidR="00AF3466" w:rsidRDefault="00AF3466">
      <w:pPr>
        <w:pBdr>
          <w:top w:val="nil"/>
          <w:left w:val="nil"/>
          <w:bottom w:val="nil"/>
          <w:right w:val="nil"/>
          <w:between w:val="nil"/>
        </w:pBdr>
        <w:spacing w:line="276" w:lineRule="auto"/>
        <w:jc w:val="both"/>
        <w:rPr>
          <w:rFonts w:ascii="Open Sans" w:eastAsia="Open Sans" w:hAnsi="Open Sans" w:cs="Open Sans"/>
        </w:rPr>
      </w:pPr>
    </w:p>
    <w:p w14:paraId="08F758E2" w14:textId="77777777" w:rsidR="00AF3466"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14199EC9" w14:textId="77777777" w:rsidR="00AF346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35ED3FD7" w14:textId="77777777" w:rsidR="00AF346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69B6E522" w14:textId="77777777" w:rsidR="00AF3466" w:rsidRDefault="00000000">
      <w:pPr>
        <w:shd w:val="clear" w:color="auto" w:fill="FFFFFF"/>
        <w:spacing w:before="280" w:after="280" w:line="276" w:lineRule="auto"/>
        <w:jc w:val="both"/>
        <w:rPr>
          <w:rFonts w:ascii="Open Sans" w:eastAsia="Open Sans" w:hAnsi="Open Sans" w:cs="Open Sans"/>
          <w:sz w:val="22"/>
          <w:szCs w:val="22"/>
        </w:rPr>
      </w:pPr>
      <w:r>
        <w:lastRenderedPageBreak/>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288134E0" w14:textId="77777777" w:rsidR="00AF3466"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7FD641F3" w14:textId="77777777" w:rsidR="00AF3466"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59ACF98B" w14:textId="77777777" w:rsidR="00AF3466"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5BEE237C" w14:textId="77777777" w:rsidR="00AF3466"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59D42BA7" w14:textId="77777777" w:rsidR="00AF3466" w:rsidRDefault="00000000">
      <w:pPr>
        <w:spacing w:before="143" w:after="200"/>
        <w:jc w:val="both"/>
      </w:pPr>
      <w:r>
        <w:rPr>
          <w:rFonts w:ascii="Open Sans" w:eastAsia="Open Sans" w:hAnsi="Open Sans" w:cs="Open Sans"/>
          <w:sz w:val="22"/>
          <w:szCs w:val="22"/>
        </w:rPr>
        <w:t xml:space="preserve">Más información en </w:t>
      </w:r>
      <w:hyperlink r:id="rId20">
        <w:r>
          <w:rPr>
            <w:rFonts w:ascii="Open Sans" w:eastAsia="Open Sans" w:hAnsi="Open Sans" w:cs="Open Sans"/>
            <w:color w:val="1155CC"/>
            <w:sz w:val="22"/>
            <w:szCs w:val="22"/>
            <w:u w:val="single"/>
          </w:rPr>
          <w:t>adevinta.es</w:t>
        </w:r>
      </w:hyperlink>
    </w:p>
    <w:p w14:paraId="3B9B9D2E" w14:textId="77777777" w:rsidR="00AF3466" w:rsidRDefault="00AF3466">
      <w:pPr>
        <w:spacing w:before="143" w:after="200"/>
        <w:jc w:val="both"/>
        <w:rPr>
          <w:rFonts w:ascii="Open Sans" w:eastAsia="Open Sans" w:hAnsi="Open Sans" w:cs="Open Sans"/>
        </w:rPr>
      </w:pPr>
    </w:p>
    <w:p w14:paraId="5BE9BCAF" w14:textId="77777777" w:rsidR="00AF3466"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0F870A6" w14:textId="77777777" w:rsidR="00AF3466"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4606596F" w14:textId="77777777" w:rsidR="00AF3466" w:rsidRDefault="00000000">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7CA1DBF3" w14:textId="77777777" w:rsidR="00AF3466"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AF3466">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FAC19" w14:textId="77777777" w:rsidR="00784AB7" w:rsidRDefault="00784AB7">
      <w:r>
        <w:separator/>
      </w:r>
    </w:p>
  </w:endnote>
  <w:endnote w:type="continuationSeparator" w:id="0">
    <w:p w14:paraId="5754AA4C" w14:textId="77777777" w:rsidR="00784AB7" w:rsidRDefault="00784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F648138-24DF-4D18-9DD9-E2D60AEE018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D6E6427-2CA7-456F-B832-0EB8CCE1582D}"/>
    <w:embedBold r:id="rId3" w:fontKey="{FC238B5A-D758-4780-8721-FE40826E65E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4858AD9-DDD8-42F9-A9E9-9E2CAD20A6C9}"/>
  </w:font>
  <w:font w:name="Georgia">
    <w:panose1 w:val="02040502050405020303"/>
    <w:charset w:val="00"/>
    <w:family w:val="roman"/>
    <w:pitch w:val="variable"/>
    <w:sig w:usb0="00000287" w:usb1="00000000" w:usb2="00000000" w:usb3="00000000" w:csb0="0000009F" w:csb1="00000000"/>
    <w:embedRegular r:id="rId5" w:fontKey="{99567794-4B7E-49EC-821A-3FC588C88224}"/>
    <w:embedItalic r:id="rId6" w:fontKey="{9747656D-39A8-42EC-9066-82616A9BE29A}"/>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B54D4A40-8EDA-47E1-A333-C0EA304B721C}"/>
    <w:embedBold r:id="rId8" w:fontKey="{149BDBBA-4D2E-4B97-90FD-7EFBAFA77441}"/>
  </w:font>
  <w:font w:name="Open Sans Light">
    <w:charset w:val="00"/>
    <w:family w:val="swiss"/>
    <w:pitch w:val="variable"/>
    <w:sig w:usb0="E00002EF" w:usb1="4000205B" w:usb2="00000028" w:usb3="00000000" w:csb0="0000019F" w:csb1="00000000"/>
    <w:embedRegular r:id="rId9" w:fontKey="{2AE775F0-F99C-44EF-B1DE-698ED2EF18EF}"/>
    <w:embedBold r:id="rId10" w:fontKey="{0B7D899C-0440-4445-87D9-DCAA79594A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006F1" w14:textId="77777777" w:rsidR="00AF3466"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403DECF0" wp14:editId="22B7907A">
          <wp:simplePos x="0" y="0"/>
          <wp:positionH relativeFrom="column">
            <wp:posOffset>-1068041</wp:posOffset>
          </wp:positionH>
          <wp:positionV relativeFrom="paragraph">
            <wp:posOffset>174608</wp:posOffset>
          </wp:positionV>
          <wp:extent cx="7670550" cy="451315"/>
          <wp:effectExtent l="0" t="0" r="0" b="0"/>
          <wp:wrapNone/>
          <wp:docPr id="20668166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033CC" w14:textId="77777777" w:rsidR="00784AB7" w:rsidRDefault="00784AB7">
      <w:r>
        <w:separator/>
      </w:r>
    </w:p>
  </w:footnote>
  <w:footnote w:type="continuationSeparator" w:id="0">
    <w:p w14:paraId="253625C8" w14:textId="77777777" w:rsidR="00784AB7" w:rsidRDefault="00784A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8B0CB8"/>
    <w:multiLevelType w:val="multilevel"/>
    <w:tmpl w:val="69A8B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6694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466"/>
    <w:rsid w:val="002A6BC3"/>
    <w:rsid w:val="00784AB7"/>
    <w:rsid w:val="00AF3466"/>
    <w:rsid w:val="00E33212"/>
    <w:rsid w:val="00FA5F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07957"/>
  <w15:docId w15:val="{62398CDD-034E-4C84-8224-A6921D7A3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5">
    <w:name w:val="5"/>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www.infojobs.net/"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tocasa.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ntTable" Target="fontTable.xml"/><Relationship Id="rId10" Type="http://schemas.openxmlformats.org/officeDocument/2006/relationships/hyperlink" Target="http://www.fotocasa.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prensa.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5f733b000be7bd91/Documents/Projectes/2025/2025T2/250505_Pitch%20Andalusia/fotocasa-Hist&#243;rico%20M&#225;laga%20capital%20venta%20y%20alquiler-julio%2020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'VENTA MÁLAGA CAPITAL'!$A$13:$A$247</c:f>
              <c:numCache>
                <c:formatCode>m/d/yyyy</c:formatCode>
                <c:ptCount val="235"/>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pt idx="221">
                  <c:v>45444</c:v>
                </c:pt>
                <c:pt idx="222">
                  <c:v>45474</c:v>
                </c:pt>
                <c:pt idx="223">
                  <c:v>45505</c:v>
                </c:pt>
                <c:pt idx="224">
                  <c:v>45536</c:v>
                </c:pt>
                <c:pt idx="225">
                  <c:v>45566</c:v>
                </c:pt>
                <c:pt idx="226">
                  <c:v>45597</c:v>
                </c:pt>
                <c:pt idx="227">
                  <c:v>45627</c:v>
                </c:pt>
                <c:pt idx="228">
                  <c:v>45658</c:v>
                </c:pt>
                <c:pt idx="229">
                  <c:v>45689</c:v>
                </c:pt>
                <c:pt idx="230">
                  <c:v>45717</c:v>
                </c:pt>
                <c:pt idx="231">
                  <c:v>45748</c:v>
                </c:pt>
                <c:pt idx="232">
                  <c:v>45778</c:v>
                </c:pt>
                <c:pt idx="233">
                  <c:v>45809</c:v>
                </c:pt>
                <c:pt idx="234">
                  <c:v>45839</c:v>
                </c:pt>
              </c:numCache>
            </c:numRef>
          </c:cat>
          <c:val>
            <c:numRef>
              <c:f>'VENTA MÁLAGA CAPITAL'!$E$13:$E$247</c:f>
              <c:numCache>
                <c:formatCode>#,##0.0"%"</c:formatCode>
                <c:ptCount val="235"/>
                <c:pt idx="0">
                  <c:v>17.368177640151906</c:v>
                </c:pt>
                <c:pt idx="1">
                  <c:v>14.746546186249265</c:v>
                </c:pt>
                <c:pt idx="2">
                  <c:v>13.360118461160763</c:v>
                </c:pt>
                <c:pt idx="3">
                  <c:v>15.183374469542255</c:v>
                </c:pt>
                <c:pt idx="4">
                  <c:v>10.801636546820426</c:v>
                </c:pt>
                <c:pt idx="5">
                  <c:v>13.382864481092582</c:v>
                </c:pt>
                <c:pt idx="6">
                  <c:v>13.837503633138892</c:v>
                </c:pt>
                <c:pt idx="7">
                  <c:v>13.29294759337305</c:v>
                </c:pt>
                <c:pt idx="8">
                  <c:v>12.192283685413674</c:v>
                </c:pt>
                <c:pt idx="9">
                  <c:v>7.9207276956595019</c:v>
                </c:pt>
                <c:pt idx="10">
                  <c:v>6.5742490374509854</c:v>
                </c:pt>
                <c:pt idx="11">
                  <c:v>4.2158134413203596</c:v>
                </c:pt>
                <c:pt idx="12">
                  <c:v>6.2735374833037483</c:v>
                </c:pt>
                <c:pt idx="13">
                  <c:v>7.5696156030482076</c:v>
                </c:pt>
                <c:pt idx="14">
                  <c:v>6.6587109714222548</c:v>
                </c:pt>
                <c:pt idx="15">
                  <c:v>6.4570778285514718</c:v>
                </c:pt>
                <c:pt idx="16">
                  <c:v>2.7153835892192779</c:v>
                </c:pt>
                <c:pt idx="17">
                  <c:v>0.69833404595047721</c:v>
                </c:pt>
                <c:pt idx="18">
                  <c:v>-1.1062386238497091</c:v>
                </c:pt>
                <c:pt idx="19">
                  <c:v>-1.9016033839776125</c:v>
                </c:pt>
                <c:pt idx="20">
                  <c:v>-2.0182584091853473</c:v>
                </c:pt>
                <c:pt idx="21">
                  <c:v>-1.6312202119657004</c:v>
                </c:pt>
                <c:pt idx="22">
                  <c:v>-2.5614506370384316</c:v>
                </c:pt>
                <c:pt idx="23">
                  <c:v>-3.2430794486199788</c:v>
                </c:pt>
                <c:pt idx="24">
                  <c:v>-3.88999907908959</c:v>
                </c:pt>
                <c:pt idx="25">
                  <c:v>-4.7908153316376545</c:v>
                </c:pt>
                <c:pt idx="26">
                  <c:v>-5.7045924097208767</c:v>
                </c:pt>
                <c:pt idx="27">
                  <c:v>-7.210286977100977</c:v>
                </c:pt>
                <c:pt idx="28">
                  <c:v>-6.8420971900295608</c:v>
                </c:pt>
                <c:pt idx="29">
                  <c:v>-6.5514375018639655</c:v>
                </c:pt>
                <c:pt idx="30">
                  <c:v>-6.1244752739739177</c:v>
                </c:pt>
                <c:pt idx="31">
                  <c:v>-6.960651023503539</c:v>
                </c:pt>
                <c:pt idx="32">
                  <c:v>-6.9201667833484359</c:v>
                </c:pt>
                <c:pt idx="33">
                  <c:v>-6.8922252818942713</c:v>
                </c:pt>
                <c:pt idx="34">
                  <c:v>-7.1228029733618081</c:v>
                </c:pt>
                <c:pt idx="35">
                  <c:v>-6.5573310269505303</c:v>
                </c:pt>
                <c:pt idx="36">
                  <c:v>-6.4439171776092596</c:v>
                </c:pt>
                <c:pt idx="37">
                  <c:v>-6.7858037497540158</c:v>
                </c:pt>
                <c:pt idx="38">
                  <c:v>-7.7796190003290189</c:v>
                </c:pt>
                <c:pt idx="39">
                  <c:v>-8.4338440757174116</c:v>
                </c:pt>
                <c:pt idx="40">
                  <c:v>-8.8284727657200186</c:v>
                </c:pt>
                <c:pt idx="41">
                  <c:v>-9.09811650092729</c:v>
                </c:pt>
                <c:pt idx="42">
                  <c:v>-8.9934059785083953</c:v>
                </c:pt>
                <c:pt idx="43">
                  <c:v>-9.8298057245900914</c:v>
                </c:pt>
                <c:pt idx="44">
                  <c:v>-10.712778259545896</c:v>
                </c:pt>
                <c:pt idx="45">
                  <c:v>-11.695411592845495</c:v>
                </c:pt>
                <c:pt idx="46">
                  <c:v>-11.356842480916118</c:v>
                </c:pt>
                <c:pt idx="47">
                  <c:v>-9.8000726363939634</c:v>
                </c:pt>
                <c:pt idx="48">
                  <c:v>-8.0775647412463023</c:v>
                </c:pt>
                <c:pt idx="49">
                  <c:v>-7.562153621102496</c:v>
                </c:pt>
                <c:pt idx="50">
                  <c:v>-5.4943862103179031</c:v>
                </c:pt>
                <c:pt idx="51">
                  <c:v>-5.0217625849644287</c:v>
                </c:pt>
                <c:pt idx="52">
                  <c:v>-3.7453921088317355</c:v>
                </c:pt>
                <c:pt idx="53">
                  <c:v>-3.2875814631061484</c:v>
                </c:pt>
                <c:pt idx="54">
                  <c:v>-2.2485214821769794</c:v>
                </c:pt>
                <c:pt idx="55">
                  <c:v>-1.7506316909807196</c:v>
                </c:pt>
                <c:pt idx="56">
                  <c:v>-0.30351854985001259</c:v>
                </c:pt>
                <c:pt idx="57">
                  <c:v>0.53891148320632798</c:v>
                </c:pt>
                <c:pt idx="58">
                  <c:v>1.134960117330075</c:v>
                </c:pt>
                <c:pt idx="59">
                  <c:v>-1.0694753356967124</c:v>
                </c:pt>
                <c:pt idx="60">
                  <c:v>-3.4057337330349768</c:v>
                </c:pt>
                <c:pt idx="61">
                  <c:v>-3.854752894995328</c:v>
                </c:pt>
                <c:pt idx="62">
                  <c:v>-3.3504263960014824</c:v>
                </c:pt>
                <c:pt idx="63">
                  <c:v>-3.0645631366370218</c:v>
                </c:pt>
                <c:pt idx="64">
                  <c:v>-4.451246110631935</c:v>
                </c:pt>
                <c:pt idx="65">
                  <c:v>-4.6709239766228317</c:v>
                </c:pt>
                <c:pt idx="66">
                  <c:v>-3.6216036493619708</c:v>
                </c:pt>
                <c:pt idx="67">
                  <c:v>-1.8541418832395906</c:v>
                </c:pt>
                <c:pt idx="68">
                  <c:v>-3.6341531298688778</c:v>
                </c:pt>
                <c:pt idx="69">
                  <c:v>-4.2520008836945173</c:v>
                </c:pt>
                <c:pt idx="70">
                  <c:v>-5.4201700441914857</c:v>
                </c:pt>
                <c:pt idx="71">
                  <c:v>-5.8495246474381535</c:v>
                </c:pt>
                <c:pt idx="72">
                  <c:v>-6.1550269649476741</c:v>
                </c:pt>
                <c:pt idx="73">
                  <c:v>-7.1095334356957025</c:v>
                </c:pt>
                <c:pt idx="74">
                  <c:v>-8.9645835509309713</c:v>
                </c:pt>
                <c:pt idx="75">
                  <c:v>-7.0871646366740704</c:v>
                </c:pt>
                <c:pt idx="76">
                  <c:v>-6.8733481145324742</c:v>
                </c:pt>
                <c:pt idx="77">
                  <c:v>-6.5246712929252997</c:v>
                </c:pt>
                <c:pt idx="78">
                  <c:v>-9.6062744380417406</c:v>
                </c:pt>
                <c:pt idx="79">
                  <c:v>-12.195294499522124</c:v>
                </c:pt>
                <c:pt idx="80">
                  <c:v>-10.844343948031687</c:v>
                </c:pt>
                <c:pt idx="81">
                  <c:v>-11.589273680999035</c:v>
                </c:pt>
                <c:pt idx="82">
                  <c:v>-11.692364780692554</c:v>
                </c:pt>
                <c:pt idx="83">
                  <c:v>-12.695955608723953</c:v>
                </c:pt>
                <c:pt idx="84">
                  <c:v>-9.9802960875198359</c:v>
                </c:pt>
                <c:pt idx="85">
                  <c:v>-10.62285078167362</c:v>
                </c:pt>
                <c:pt idx="86">
                  <c:v>-9.8831663380231198</c:v>
                </c:pt>
                <c:pt idx="87">
                  <c:v>-11.847097351935432</c:v>
                </c:pt>
                <c:pt idx="88">
                  <c:v>-10.634652764174968</c:v>
                </c:pt>
                <c:pt idx="89">
                  <c:v>-12.296319567267345</c:v>
                </c:pt>
                <c:pt idx="90">
                  <c:v>-11.529763666156956</c:v>
                </c:pt>
                <c:pt idx="91">
                  <c:v>-10.653912283334776</c:v>
                </c:pt>
                <c:pt idx="92">
                  <c:v>-9.9189005772159611</c:v>
                </c:pt>
                <c:pt idx="93">
                  <c:v>-7.1426152608214055</c:v>
                </c:pt>
                <c:pt idx="94">
                  <c:v>-6.916545880010827</c:v>
                </c:pt>
                <c:pt idx="95">
                  <c:v>-5.0259824165376994</c:v>
                </c:pt>
                <c:pt idx="96">
                  <c:v>-6.1055671657853861</c:v>
                </c:pt>
                <c:pt idx="97">
                  <c:v>-5.8505083592244826</c:v>
                </c:pt>
                <c:pt idx="98">
                  <c:v>-5.8395721294985385</c:v>
                </c:pt>
                <c:pt idx="99">
                  <c:v>-5.3115985471658744</c:v>
                </c:pt>
                <c:pt idx="100">
                  <c:v>-6.8906432537946705</c:v>
                </c:pt>
                <c:pt idx="101">
                  <c:v>-6.8002521926379895</c:v>
                </c:pt>
                <c:pt idx="102">
                  <c:v>-5.6982812084796608</c:v>
                </c:pt>
                <c:pt idx="103">
                  <c:v>-4.4949711949769044</c:v>
                </c:pt>
                <c:pt idx="104">
                  <c:v>-4.8637437156694325</c:v>
                </c:pt>
                <c:pt idx="105">
                  <c:v>-6.8994338864505345</c:v>
                </c:pt>
                <c:pt idx="106">
                  <c:v>-6.1155918627699872</c:v>
                </c:pt>
                <c:pt idx="107">
                  <c:v>-6.6286608211800324</c:v>
                </c:pt>
                <c:pt idx="108">
                  <c:v>-7.7303832120138249</c:v>
                </c:pt>
                <c:pt idx="109">
                  <c:v>-6.582287900048045</c:v>
                </c:pt>
                <c:pt idx="110">
                  <c:v>-7.4053868715408981</c:v>
                </c:pt>
                <c:pt idx="111">
                  <c:v>-7.4968031772912225</c:v>
                </c:pt>
                <c:pt idx="112">
                  <c:v>-5.1256836456305415</c:v>
                </c:pt>
                <c:pt idx="113">
                  <c:v>-1.8889438913202494</c:v>
                </c:pt>
                <c:pt idx="114">
                  <c:v>0.25731689623731402</c:v>
                </c:pt>
                <c:pt idx="115">
                  <c:v>0.54517321471747593</c:v>
                </c:pt>
                <c:pt idx="116">
                  <c:v>1.1110551097015309</c:v>
                </c:pt>
                <c:pt idx="117">
                  <c:v>2.3938929883977833</c:v>
                </c:pt>
                <c:pt idx="118">
                  <c:v>2.5300711343649862</c:v>
                </c:pt>
                <c:pt idx="119">
                  <c:v>4.5434392603448837</c:v>
                </c:pt>
                <c:pt idx="120">
                  <c:v>5.7874975647130178</c:v>
                </c:pt>
                <c:pt idx="121">
                  <c:v>5.9553193578096408</c:v>
                </c:pt>
                <c:pt idx="122">
                  <c:v>7.1405481528515669</c:v>
                </c:pt>
                <c:pt idx="123">
                  <c:v>7.384260522897601</c:v>
                </c:pt>
                <c:pt idx="124">
                  <c:v>5.6619483710555141</c:v>
                </c:pt>
                <c:pt idx="125">
                  <c:v>4.1171169101166694</c:v>
                </c:pt>
                <c:pt idx="126">
                  <c:v>2.8280166529702999</c:v>
                </c:pt>
                <c:pt idx="127">
                  <c:v>1.7427440242134162</c:v>
                </c:pt>
                <c:pt idx="128">
                  <c:v>1.873840375216318</c:v>
                </c:pt>
                <c:pt idx="129">
                  <c:v>2.0748873661892819</c:v>
                </c:pt>
                <c:pt idx="130">
                  <c:v>2.4608898297264981</c:v>
                </c:pt>
                <c:pt idx="131">
                  <c:v>1.3196450848005137</c:v>
                </c:pt>
                <c:pt idx="132">
                  <c:v>1.7078566700884146</c:v>
                </c:pt>
                <c:pt idx="133">
                  <c:v>2.6678699029079933</c:v>
                </c:pt>
                <c:pt idx="134">
                  <c:v>2.5703441283416284</c:v>
                </c:pt>
                <c:pt idx="135">
                  <c:v>3.7856692788833746</c:v>
                </c:pt>
                <c:pt idx="136">
                  <c:v>6.0328735419428181</c:v>
                </c:pt>
                <c:pt idx="137">
                  <c:v>7.6609651842225235</c:v>
                </c:pt>
                <c:pt idx="138">
                  <c:v>9.129000783569662</c:v>
                </c:pt>
                <c:pt idx="139">
                  <c:v>10.858893851268459</c:v>
                </c:pt>
                <c:pt idx="140">
                  <c:v>10.377854442914725</c:v>
                </c:pt>
                <c:pt idx="141">
                  <c:v>11.023257249966134</c:v>
                </c:pt>
                <c:pt idx="142">
                  <c:v>12.247102789272146</c:v>
                </c:pt>
                <c:pt idx="143">
                  <c:v>13.495875977652227</c:v>
                </c:pt>
                <c:pt idx="144">
                  <c:v>14.528970643928908</c:v>
                </c:pt>
                <c:pt idx="145">
                  <c:v>13.830476043973071</c:v>
                </c:pt>
                <c:pt idx="146">
                  <c:v>15.469695502070513</c:v>
                </c:pt>
                <c:pt idx="147">
                  <c:v>16.426389726424738</c:v>
                </c:pt>
                <c:pt idx="148">
                  <c:v>17.493707609916221</c:v>
                </c:pt>
                <c:pt idx="149">
                  <c:v>18.701866890749507</c:v>
                </c:pt>
                <c:pt idx="150">
                  <c:v>17.291277486191991</c:v>
                </c:pt>
                <c:pt idx="151">
                  <c:v>17.8722290871439</c:v>
                </c:pt>
                <c:pt idx="152">
                  <c:v>18.053669589420718</c:v>
                </c:pt>
                <c:pt idx="153">
                  <c:v>16.150180556482074</c:v>
                </c:pt>
                <c:pt idx="154">
                  <c:v>15.839555756085243</c:v>
                </c:pt>
                <c:pt idx="155">
                  <c:v>14.433355381670431</c:v>
                </c:pt>
                <c:pt idx="156">
                  <c:v>12.005100000000001</c:v>
                </c:pt>
                <c:pt idx="157">
                  <c:v>13.782500000000001</c:v>
                </c:pt>
                <c:pt idx="158">
                  <c:v>13.066700000000001</c:v>
                </c:pt>
                <c:pt idx="159">
                  <c:v>10.542</c:v>
                </c:pt>
                <c:pt idx="160">
                  <c:v>8.9981000000000009</c:v>
                </c:pt>
                <c:pt idx="161">
                  <c:v>6.0282999999999998</c:v>
                </c:pt>
                <c:pt idx="162">
                  <c:v>4.7011000000000003</c:v>
                </c:pt>
                <c:pt idx="163">
                  <c:v>3.5427</c:v>
                </c:pt>
                <c:pt idx="164">
                  <c:v>4.1032000000000002</c:v>
                </c:pt>
                <c:pt idx="165">
                  <c:v>5.0406000000000004</c:v>
                </c:pt>
                <c:pt idx="166">
                  <c:v>5.6776350972467693</c:v>
                </c:pt>
                <c:pt idx="167">
                  <c:v>1.2670616339700791</c:v>
                </c:pt>
                <c:pt idx="168">
                  <c:v>6.4066867826702234</c:v>
                </c:pt>
                <c:pt idx="169">
                  <c:v>5.7891638200665785</c:v>
                </c:pt>
                <c:pt idx="170">
                  <c:v>6.2028590984569032</c:v>
                </c:pt>
                <c:pt idx="171">
                  <c:v>7.1223170226677457</c:v>
                </c:pt>
                <c:pt idx="172">
                  <c:v>5.1552696650757124</c:v>
                </c:pt>
                <c:pt idx="173">
                  <c:v>5.233788338951384</c:v>
                </c:pt>
                <c:pt idx="174">
                  <c:v>4.6896378876084999</c:v>
                </c:pt>
                <c:pt idx="175">
                  <c:v>3.0364556236879059</c:v>
                </c:pt>
                <c:pt idx="176">
                  <c:v>2.3561079268771046</c:v>
                </c:pt>
                <c:pt idx="177">
                  <c:v>3.1399428114359695</c:v>
                </c:pt>
                <c:pt idx="178">
                  <c:v>1.3972824370682035</c:v>
                </c:pt>
                <c:pt idx="179">
                  <c:v>5.3244817775369047</c:v>
                </c:pt>
                <c:pt idx="180">
                  <c:v>-0.6060304265431582</c:v>
                </c:pt>
                <c:pt idx="181">
                  <c:v>-1.4255740367857261</c:v>
                </c:pt>
                <c:pt idx="182">
                  <c:v>-4.9852874089140187E-2</c:v>
                </c:pt>
                <c:pt idx="183">
                  <c:v>-1.0716820440028418</c:v>
                </c:pt>
                <c:pt idx="184">
                  <c:v>-6.0723111047389366E-2</c:v>
                </c:pt>
                <c:pt idx="185">
                  <c:v>0.38438118435073498</c:v>
                </c:pt>
                <c:pt idx="186">
                  <c:v>2.5682066205892973</c:v>
                </c:pt>
                <c:pt idx="187">
                  <c:v>5.2075850549146097</c:v>
                </c:pt>
                <c:pt idx="188">
                  <c:v>4.6098603738003785</c:v>
                </c:pt>
                <c:pt idx="189">
                  <c:v>4.0289718074167036</c:v>
                </c:pt>
                <c:pt idx="190">
                  <c:v>4.3917693787783874</c:v>
                </c:pt>
                <c:pt idx="191">
                  <c:v>5.0441643083783738</c:v>
                </c:pt>
                <c:pt idx="192">
                  <c:v>6.2640547498936661</c:v>
                </c:pt>
                <c:pt idx="193">
                  <c:v>6.4340459862847865</c:v>
                </c:pt>
                <c:pt idx="194">
                  <c:v>5.8595890699693953</c:v>
                </c:pt>
                <c:pt idx="195">
                  <c:v>6.709064284297539</c:v>
                </c:pt>
                <c:pt idx="196">
                  <c:v>7.0840260255360832</c:v>
                </c:pt>
                <c:pt idx="197">
                  <c:v>8.8751563862455853</c:v>
                </c:pt>
                <c:pt idx="198">
                  <c:v>10.562616307694883</c:v>
                </c:pt>
                <c:pt idx="199">
                  <c:v>11.312520565975671</c:v>
                </c:pt>
                <c:pt idx="200">
                  <c:v>13.29094126846937</c:v>
                </c:pt>
                <c:pt idx="201">
                  <c:v>13.91300432645275</c:v>
                </c:pt>
                <c:pt idx="202">
                  <c:v>13.549963831343725</c:v>
                </c:pt>
                <c:pt idx="203">
                  <c:v>16.540672043888584</c:v>
                </c:pt>
                <c:pt idx="204">
                  <c:v>16.441888139627125</c:v>
                </c:pt>
                <c:pt idx="205">
                  <c:v>18.217152718138529</c:v>
                </c:pt>
                <c:pt idx="206">
                  <c:v>18.144457983896032</c:v>
                </c:pt>
                <c:pt idx="207">
                  <c:v>16.880815942355689</c:v>
                </c:pt>
                <c:pt idx="208">
                  <c:v>17.775142146760881</c:v>
                </c:pt>
                <c:pt idx="209">
                  <c:v>18.01077140933678</c:v>
                </c:pt>
                <c:pt idx="210">
                  <c:v>17.345017189911726</c:v>
                </c:pt>
                <c:pt idx="211">
                  <c:v>15.673834079143312</c:v>
                </c:pt>
                <c:pt idx="212">
                  <c:v>14.565342962911826</c:v>
                </c:pt>
                <c:pt idx="213">
                  <c:v>14.589905929529801</c:v>
                </c:pt>
                <c:pt idx="214">
                  <c:v>16.350659727471005</c:v>
                </c:pt>
                <c:pt idx="215">
                  <c:v>16.661646340182013</c:v>
                </c:pt>
                <c:pt idx="216">
                  <c:v>17.628328797027248</c:v>
                </c:pt>
                <c:pt idx="217">
                  <c:v>19.954229351195927</c:v>
                </c:pt>
                <c:pt idx="218">
                  <c:v>24.137965902885906</c:v>
                </c:pt>
                <c:pt idx="219">
                  <c:v>25.94824494325756</c:v>
                </c:pt>
                <c:pt idx="220">
                  <c:v>23.512034205648757</c:v>
                </c:pt>
                <c:pt idx="221">
                  <c:v>25.332690737771824</c:v>
                </c:pt>
                <c:pt idx="222">
                  <c:v>23.021978375388329</c:v>
                </c:pt>
                <c:pt idx="223">
                  <c:v>24.262714030155898</c:v>
                </c:pt>
                <c:pt idx="224">
                  <c:v>23.763302426464051</c:v>
                </c:pt>
                <c:pt idx="225">
                  <c:v>23.218754115632812</c:v>
                </c:pt>
                <c:pt idx="226">
                  <c:v>21.189033349728238</c:v>
                </c:pt>
                <c:pt idx="227">
                  <c:v>17.074781731496703</c:v>
                </c:pt>
                <c:pt idx="228">
                  <c:v>13.972552542613293</c:v>
                </c:pt>
                <c:pt idx="229">
                  <c:v>11.733914878009255</c:v>
                </c:pt>
                <c:pt idx="230">
                  <c:v>7.0139426275132699</c:v>
                </c:pt>
                <c:pt idx="231">
                  <c:v>9.5093153518610585</c:v>
                </c:pt>
                <c:pt idx="232">
                  <c:v>10.533486828739758</c:v>
                </c:pt>
                <c:pt idx="233">
                  <c:v>6.8669381946787844</c:v>
                </c:pt>
                <c:pt idx="234">
                  <c:v>8.3612398601928604</c:v>
                </c:pt>
              </c:numCache>
            </c:numRef>
          </c:val>
          <c:smooth val="0"/>
          <c:extLst>
            <c:ext xmlns:c16="http://schemas.microsoft.com/office/drawing/2014/chart" uri="{C3380CC4-5D6E-409C-BE32-E72D297353CC}">
              <c16:uniqueId val="{00000000-A471-490F-85E2-96E0A1828318}"/>
            </c:ext>
          </c:extLst>
        </c:ser>
        <c:dLbls>
          <c:showLegendKey val="0"/>
          <c:showVal val="0"/>
          <c:showCatName val="0"/>
          <c:showSerName val="0"/>
          <c:showPercent val="0"/>
          <c:showBubbleSize val="0"/>
        </c:dLbls>
        <c:smooth val="0"/>
        <c:axId val="2052954127"/>
        <c:axId val="2052954607"/>
      </c:lineChart>
      <c:dateAx>
        <c:axId val="2052954127"/>
        <c:scaling>
          <c:orientation val="minMax"/>
        </c:scaling>
        <c:delete val="0"/>
        <c:axPos val="b"/>
        <c:numFmt formatCode="yy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2052954607"/>
        <c:crosses val="autoZero"/>
        <c:auto val="1"/>
        <c:lblOffset val="100"/>
        <c:baseTimeUnit val="months"/>
        <c:majorUnit val="1"/>
        <c:majorTimeUnit val="years"/>
      </c:dateAx>
      <c:valAx>
        <c:axId val="2052954607"/>
        <c:scaling>
          <c:orientation val="minMax"/>
        </c:scaling>
        <c:delete val="0"/>
        <c:axPos val="l"/>
        <c:majorGridlines>
          <c:spPr>
            <a:ln w="9525" cap="flat" cmpd="sng" algn="ctr">
              <a:solidFill>
                <a:schemeClr val="tx1">
                  <a:lumMod val="15000"/>
                  <a:lumOff val="85000"/>
                </a:schemeClr>
              </a:solidFill>
              <a:round/>
            </a:ln>
            <a:effectLst/>
          </c:spPr>
        </c:majorGridlines>
        <c:numFmt formatCode="#,##0.0&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20529541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b3s/bqSo9JNebg4QkF3HCXAtXw==">CgMxLjAyCWguMnM4ZXlvMTgAciExSW5xZ0ltSTVETEtQLXRCQXVPRElYaTVyZ2c0MUlqRUs=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981</Words>
  <Characters>5400</Characters>
  <Application>Microsoft Office Word</Application>
  <DocSecurity>0</DocSecurity>
  <Lines>45</Lines>
  <Paragraphs>12</Paragraphs>
  <ScaleCrop>false</ScaleCrop>
  <Company/>
  <LinksUpToDate>false</LinksUpToDate>
  <CharactersWithSpaces>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4</cp:revision>
  <dcterms:created xsi:type="dcterms:W3CDTF">2024-02-06T13:46:00Z</dcterms:created>
  <dcterms:modified xsi:type="dcterms:W3CDTF">2025-08-04T07:41:00Z</dcterms:modified>
</cp:coreProperties>
</file>