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48E84" w14:textId="77777777" w:rsidR="005119A4" w:rsidRDefault="00000000">
      <w:r>
        <w:rPr>
          <w:noProof/>
        </w:rPr>
        <w:drawing>
          <wp:anchor distT="0" distB="0" distL="114300" distR="114300" simplePos="0" relativeHeight="251658240" behindDoc="0" locked="0" layoutInCell="1" hidden="0" allowOverlap="1" wp14:anchorId="515ABEFA" wp14:editId="215D7023">
            <wp:simplePos x="0" y="0"/>
            <wp:positionH relativeFrom="column">
              <wp:posOffset>-1080114</wp:posOffset>
            </wp:positionH>
            <wp:positionV relativeFrom="paragraph">
              <wp:posOffset>-654663</wp:posOffset>
            </wp:positionV>
            <wp:extent cx="7581265" cy="1019175"/>
            <wp:effectExtent l="0" t="0" r="0" b="0"/>
            <wp:wrapNone/>
            <wp:docPr id="20668166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C2F54" w14:textId="77777777" w:rsidR="005119A4" w:rsidRDefault="005119A4">
      <w:pPr>
        <w:jc w:val="right"/>
        <w:rPr>
          <w:rFonts w:ascii="National" w:eastAsia="National" w:hAnsi="National" w:cs="National"/>
          <w:color w:val="303AB2"/>
          <w:sz w:val="36"/>
          <w:szCs w:val="36"/>
        </w:rPr>
      </w:pPr>
    </w:p>
    <w:p w14:paraId="19806709" w14:textId="77777777" w:rsidR="005119A4" w:rsidRDefault="005119A4">
      <w:pPr>
        <w:jc w:val="center"/>
        <w:rPr>
          <w:rFonts w:ascii="National" w:eastAsia="National" w:hAnsi="National" w:cs="National"/>
          <w:b/>
          <w:color w:val="1DBDC5"/>
          <w:sz w:val="34"/>
          <w:szCs w:val="34"/>
        </w:rPr>
      </w:pPr>
    </w:p>
    <w:p w14:paraId="6DFD7C9D" w14:textId="77777777" w:rsidR="005119A4"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30A283A7" w14:textId="77777777" w:rsidR="005119A4"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El precio del alquiler es el factor más importante para el 61% de los inquilinos</w:t>
      </w:r>
    </w:p>
    <w:p w14:paraId="65A177CE" w14:textId="77777777" w:rsidR="005119A4" w:rsidRDefault="005119A4">
      <w:pPr>
        <w:rPr>
          <w:rFonts w:ascii="Open Sans" w:eastAsia="Open Sans" w:hAnsi="Open Sans" w:cs="Open Sans"/>
          <w:color w:val="303AB2"/>
        </w:rPr>
      </w:pPr>
    </w:p>
    <w:p w14:paraId="7E7E0761" w14:textId="77777777" w:rsidR="005119A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No tener que invertir en reformas es importante para el 49% de los inquilinos y que tenga el número adecuado de habitaciones es básico para el 39% </w:t>
      </w:r>
    </w:p>
    <w:p w14:paraId="43EE0382" w14:textId="77777777" w:rsidR="005119A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Para el 37% es </w:t>
      </w:r>
      <w:r>
        <w:rPr>
          <w:rFonts w:ascii="Open Sans" w:eastAsia="Open Sans" w:hAnsi="Open Sans" w:cs="Open Sans"/>
          <w:sz w:val="22"/>
          <w:szCs w:val="22"/>
        </w:rPr>
        <w:t>relevante</w:t>
      </w:r>
      <w:r>
        <w:rPr>
          <w:rFonts w:ascii="Open Sans" w:eastAsia="Open Sans" w:hAnsi="Open Sans" w:cs="Open Sans"/>
          <w:color w:val="000000"/>
          <w:sz w:val="22"/>
          <w:szCs w:val="22"/>
        </w:rPr>
        <w:t xml:space="preserve"> que la vivienda tenga buenas conexiones de transporte y para un 32% que esté cerca del trabajo o centro de estudios</w:t>
      </w:r>
    </w:p>
    <w:p w14:paraId="1D096207" w14:textId="77777777" w:rsidR="005119A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77% de los contratos son para vivienda habitual, un 7% para alquiler temporal</w:t>
      </w:r>
    </w:p>
    <w:p w14:paraId="0C026B2E" w14:textId="77777777" w:rsidR="005119A4" w:rsidRDefault="005119A4">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53D685DF" w14:textId="64CA64A3" w:rsidR="005119A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915593">
        <w:rPr>
          <w:rFonts w:ascii="Open Sans Light" w:eastAsia="Open Sans Light" w:hAnsi="Open Sans Light" w:cs="Open Sans Light"/>
          <w:b/>
          <w:color w:val="303AB2"/>
        </w:rPr>
        <w:t>4</w:t>
      </w:r>
      <w:r>
        <w:rPr>
          <w:rFonts w:ascii="Open Sans Light" w:eastAsia="Open Sans Light" w:hAnsi="Open Sans Light" w:cs="Open Sans Light"/>
          <w:b/>
          <w:color w:val="303AB2"/>
        </w:rPr>
        <w:t xml:space="preserve"> de agosto de 2025</w:t>
      </w:r>
    </w:p>
    <w:p w14:paraId="67DAA4C2" w14:textId="77777777" w:rsidR="005119A4" w:rsidRDefault="005119A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9EFA422" w14:textId="1F6689A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búsqueda de un inmueble de alquiler viene condicionada por distintas circunstancias, de las cuales la más relevante sigue siendo que el precio se enmarque en el presupuesto con el que el inquilino cuenta. Se trata de un factor fundamental para el 61% de los españoles que ha alquilado o intentado alquilar una vivienda en los últimos doce meses. Es el mismo porcentaje que el alcanzado el año anterior, lo que revela la estabilidad de esta situación. Esta es una de las principales conclusiones del informe </w:t>
      </w:r>
      <w:r w:rsidR="00A20E01">
        <w:rPr>
          <w:rFonts w:ascii="Open Sans" w:eastAsia="Open Sans" w:hAnsi="Open Sans" w:cs="Open Sans"/>
          <w:sz w:val="22"/>
          <w:szCs w:val="22"/>
        </w:rPr>
        <w:t>“</w:t>
      </w:r>
      <w:hyperlink r:id="rId9" w:history="1">
        <w:r w:rsidR="00A20E01" w:rsidRPr="005A4788">
          <w:rPr>
            <w:rStyle w:val="Hipervnculo"/>
            <w:rFonts w:ascii="Open Sans" w:eastAsia="Open Sans" w:hAnsi="Open Sans" w:cs="Open Sans"/>
            <w:b/>
            <w:i/>
            <w:sz w:val="22"/>
            <w:szCs w:val="22"/>
          </w:rPr>
          <w:t>Experiencia en alquiler en 2025</w:t>
        </w:r>
      </w:hyperlink>
      <w:r w:rsidR="00A20E01">
        <w:rPr>
          <w:rFonts w:ascii="Open Sans" w:eastAsia="Open Sans" w:hAnsi="Open Sans" w:cs="Open Sans"/>
          <w:sz w:val="22"/>
          <w:szCs w:val="22"/>
        </w:rPr>
        <w:t>”</w:t>
      </w:r>
      <w:r>
        <w:rPr>
          <w:rFonts w:ascii="Open Sans" w:eastAsia="Open Sans" w:hAnsi="Open Sans" w:cs="Open Sans"/>
          <w:sz w:val="22"/>
          <w:szCs w:val="22"/>
        </w:rPr>
        <w:t xml:space="preserve">, elaborado por </w:t>
      </w:r>
      <w:hyperlink r:id="rId10">
        <w:r w:rsidR="005119A4">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xml:space="preserve"> y que traza una exhaustiva radiografía del mercado de la vivienda en arrendamiento.</w:t>
      </w:r>
    </w:p>
    <w:p w14:paraId="09787749"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6D84D135"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Los siguientes condicionantes que más toman en consideración los demandantes de alquiler siguen siendo </w:t>
      </w:r>
      <w:r>
        <w:rPr>
          <w:rFonts w:ascii="Open Sans" w:eastAsia="Open Sans" w:hAnsi="Open Sans" w:cs="Open Sans"/>
          <w:b/>
          <w:sz w:val="22"/>
          <w:szCs w:val="22"/>
        </w:rPr>
        <w:t>que no haya que invertir en reformar el inmueble y que disponga del número de habitaciones adecuado</w:t>
      </w:r>
      <w:r>
        <w:rPr>
          <w:rFonts w:ascii="Open Sans" w:eastAsia="Open Sans" w:hAnsi="Open Sans" w:cs="Open Sans"/>
          <w:sz w:val="22"/>
          <w:szCs w:val="22"/>
        </w:rPr>
        <w:t>. La primera cuestión sigue siendo apoyada por el 49%, mientras que la segunda experimenta un incremento desde el 33% al 39%. Con este último porcentaje también encontramos la idoneidad de que la vivienda cuente con servicios cerca: centro médico, farmacias, supermercados, etcétera, un factor que en 2024 tan solo alcanzaba el 32%.</w:t>
      </w:r>
    </w:p>
    <w:p w14:paraId="1B5AC61B"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046ECA5C"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lastRenderedPageBreak/>
        <w:drawing>
          <wp:inline distT="0" distB="0" distL="0" distR="0" wp14:anchorId="18A3B719" wp14:editId="5BB3FF64">
            <wp:extent cx="5760720" cy="2604770"/>
            <wp:effectExtent l="0" t="0" r="0" b="0"/>
            <wp:docPr id="2066816629" name="image1.png" descr="Interfaz de usuario gráfica,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Diagrama&#10;&#10;El contenido generado por IA puede ser incorrecto."/>
                    <pic:cNvPicPr preferRelativeResize="0"/>
                  </pic:nvPicPr>
                  <pic:blipFill>
                    <a:blip r:embed="rId11"/>
                    <a:srcRect/>
                    <a:stretch>
                      <a:fillRect/>
                    </a:stretch>
                  </pic:blipFill>
                  <pic:spPr>
                    <a:xfrm>
                      <a:off x="0" y="0"/>
                      <a:ext cx="5760720" cy="2604770"/>
                    </a:xfrm>
                    <a:prstGeom prst="rect">
                      <a:avLst/>
                    </a:prstGeom>
                    <a:ln/>
                  </pic:spPr>
                </pic:pic>
              </a:graphicData>
            </a:graphic>
          </wp:inline>
        </w:drawing>
      </w:r>
    </w:p>
    <w:p w14:paraId="2955E904"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5FD8FDC4" w14:textId="77777777" w:rsidR="005119A4" w:rsidRDefault="005119A4">
      <w:pPr>
        <w:spacing w:line="276" w:lineRule="auto"/>
        <w:ind w:right="4"/>
        <w:jc w:val="both"/>
        <w:rPr>
          <w:rFonts w:ascii="Open Sans" w:eastAsia="Open Sans" w:hAnsi="Open Sans" w:cs="Open Sans"/>
          <w:sz w:val="22"/>
          <w:szCs w:val="22"/>
        </w:rPr>
      </w:pPr>
    </w:p>
    <w:p w14:paraId="228C34B4" w14:textId="11537FB4" w:rsidR="005119A4"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“El hecho de que el precio sea el factor más importante para los inquilinos refleja la creciente presión económica sobre los hogares, en un momento en el que los precios del alquiler se encuentran en máximos históricos. Este aumento en la sensibilidad al precio indica que muchos demandantes están priorizando la asequibilidad por encima de otras consideraciones, como la ubicación o las características del inmueble. En el último año, la subida de los precios del </w:t>
      </w:r>
      <w:r w:rsidR="00A20E01">
        <w:rPr>
          <w:rFonts w:ascii="Open Sans" w:eastAsia="Open Sans" w:hAnsi="Open Sans" w:cs="Open Sans"/>
          <w:sz w:val="22"/>
          <w:szCs w:val="22"/>
        </w:rPr>
        <w:t>alquiler</w:t>
      </w:r>
      <w:r>
        <w:rPr>
          <w:rFonts w:ascii="Open Sans" w:eastAsia="Open Sans" w:hAnsi="Open Sans" w:cs="Open Sans"/>
          <w:sz w:val="22"/>
          <w:szCs w:val="22"/>
        </w:rPr>
        <w:t xml:space="preserve"> ha llevado a que los inquilinos se vean obligados a ajustar sus expectativas y limitar sus opciones al coste. Además, observamos que esta situación se mantiene estable respecto al año anterior, lo que evidencia que no se trata de algo puntual, sino de un fenómeno estructural que refleja el desequilibrio entre oferta y demanda. La vivienda en alquiler se está convirtiendo en un bien cada vez más inaccesible para una parte significativa de la población, especialmente para los jóvenes, que son quienes más interactúan con este mercado de las rentas”, </w:t>
      </w:r>
      <w:r>
        <w:rPr>
          <w:rFonts w:ascii="Open Sans" w:eastAsia="Open Sans" w:hAnsi="Open Sans" w:cs="Open Sans"/>
          <w:b/>
          <w:sz w:val="22"/>
          <w:szCs w:val="22"/>
        </w:rPr>
        <w:t xml:space="preserve">comenta María Matos, directora de Estudios y portavoz de </w:t>
      </w:r>
      <w:hyperlink r:id="rId12">
        <w:r w:rsidR="005119A4">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r>
        <w:rPr>
          <w:rFonts w:ascii="Open Sans" w:eastAsia="Open Sans" w:hAnsi="Open Sans" w:cs="Open Sans"/>
          <w:sz w:val="22"/>
          <w:szCs w:val="22"/>
        </w:rPr>
        <w:t xml:space="preserve"> </w:t>
      </w:r>
    </w:p>
    <w:p w14:paraId="77CE9176"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4AAF6549"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Muy cerca de estos primeros factores más valorados se encuentra que </w:t>
      </w:r>
      <w:r>
        <w:rPr>
          <w:rFonts w:ascii="Open Sans" w:eastAsia="Open Sans" w:hAnsi="Open Sans" w:cs="Open Sans"/>
          <w:b/>
          <w:sz w:val="22"/>
          <w:szCs w:val="22"/>
        </w:rPr>
        <w:t>la ubicación de la vivienda comporte buenas conexiones con el transporte público.</w:t>
      </w:r>
      <w:r>
        <w:rPr>
          <w:rFonts w:ascii="Open Sans" w:eastAsia="Open Sans" w:hAnsi="Open Sans" w:cs="Open Sans"/>
          <w:sz w:val="22"/>
          <w:szCs w:val="22"/>
        </w:rPr>
        <w:t xml:space="preserve"> El 37% de los consultados coincide en la ponderación de este aspecto, una cifra que ya recogía la encuesta de 2024.</w:t>
      </w:r>
    </w:p>
    <w:p w14:paraId="45CD8074"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77C5C14C"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Igualmente destaca en estas valoraciones el hecho de que </w:t>
      </w:r>
      <w:r>
        <w:rPr>
          <w:rFonts w:ascii="Open Sans" w:eastAsia="Open Sans" w:hAnsi="Open Sans" w:cs="Open Sans"/>
          <w:b/>
          <w:sz w:val="22"/>
          <w:szCs w:val="22"/>
        </w:rPr>
        <w:t>el inmueble esté cerca del trabajo o del centro de estudios</w:t>
      </w:r>
      <w:r>
        <w:rPr>
          <w:rFonts w:ascii="Open Sans" w:eastAsia="Open Sans" w:hAnsi="Open Sans" w:cs="Open Sans"/>
          <w:sz w:val="22"/>
          <w:szCs w:val="22"/>
        </w:rPr>
        <w:t xml:space="preserve">, con un 32 % de respaldo, así como que </w:t>
      </w:r>
      <w:r>
        <w:rPr>
          <w:rFonts w:ascii="Open Sans" w:eastAsia="Open Sans" w:hAnsi="Open Sans" w:cs="Open Sans"/>
          <w:b/>
          <w:sz w:val="22"/>
          <w:szCs w:val="22"/>
        </w:rPr>
        <w:t xml:space="preserve">el barrio o los vecinos sean del agrado del demandante </w:t>
      </w:r>
      <w:r>
        <w:rPr>
          <w:rFonts w:ascii="Open Sans" w:eastAsia="Open Sans" w:hAnsi="Open Sans" w:cs="Open Sans"/>
          <w:sz w:val="22"/>
          <w:szCs w:val="22"/>
        </w:rPr>
        <w:t xml:space="preserve">(se incrementa del 24% al 28%) o que la vivienda tenga buenos accesos por carretera, elemento que sube del 24% al 27%. De hecho, en </w:t>
      </w:r>
      <w:r>
        <w:rPr>
          <w:rFonts w:ascii="Open Sans" w:eastAsia="Open Sans" w:hAnsi="Open Sans" w:cs="Open Sans"/>
          <w:b/>
          <w:sz w:val="22"/>
          <w:szCs w:val="22"/>
        </w:rPr>
        <w:t>general se percibe un moderado aumento en el nivel de exigencia</w:t>
      </w:r>
      <w:r>
        <w:rPr>
          <w:rFonts w:ascii="Open Sans" w:eastAsia="Open Sans" w:hAnsi="Open Sans" w:cs="Open Sans"/>
          <w:sz w:val="22"/>
          <w:szCs w:val="22"/>
        </w:rPr>
        <w:t xml:space="preserve"> en cuanto a las características de los inmuebles entre los demandantes de casa de alquiler.</w:t>
      </w:r>
    </w:p>
    <w:p w14:paraId="789574AC"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18A9D243"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lastRenderedPageBreak/>
        <w:drawing>
          <wp:inline distT="0" distB="0" distL="0" distR="0" wp14:anchorId="235979D8" wp14:editId="3AA41721">
            <wp:extent cx="5760720" cy="7295515"/>
            <wp:effectExtent l="0" t="0" r="0" b="0"/>
            <wp:docPr id="2066816628"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3"/>
                    <a:srcRect/>
                    <a:stretch>
                      <a:fillRect/>
                    </a:stretch>
                  </pic:blipFill>
                  <pic:spPr>
                    <a:xfrm>
                      <a:off x="0" y="0"/>
                      <a:ext cx="5760720" cy="7295515"/>
                    </a:xfrm>
                    <a:prstGeom prst="rect">
                      <a:avLst/>
                    </a:prstGeom>
                    <a:ln/>
                  </pic:spPr>
                </pic:pic>
              </a:graphicData>
            </a:graphic>
          </wp:inline>
        </w:drawing>
      </w:r>
    </w:p>
    <w:p w14:paraId="45F41DD8"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4129C893" w14:textId="77777777" w:rsidR="005119A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77% de los contratos de alquiler son para vivienda habitual</w:t>
      </w:r>
    </w:p>
    <w:p w14:paraId="7B0098D3"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60F3C64B"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Tres de cada cuatro particulares residen en España en una vivienda de su propiedad, mientras que el 25% restante vive en régimen de alquiler. Son datos muy cercanos a los registrados el año anterior, cuando los primeros eran el 76%. </w:t>
      </w:r>
      <w:r>
        <w:rPr>
          <w:rFonts w:ascii="Open Sans" w:eastAsia="Open Sans" w:hAnsi="Open Sans" w:cs="Open Sans"/>
          <w:b/>
          <w:sz w:val="22"/>
          <w:szCs w:val="22"/>
        </w:rPr>
        <w:t xml:space="preserve">Al fijarnos en concreto en la situación residencial de ese 25% de inquilinos vemos que la mayoría, en concreto </w:t>
      </w:r>
      <w:r>
        <w:rPr>
          <w:rFonts w:ascii="Open Sans" w:eastAsia="Open Sans" w:hAnsi="Open Sans" w:cs="Open Sans"/>
          <w:b/>
          <w:sz w:val="22"/>
          <w:szCs w:val="22"/>
        </w:rPr>
        <w:lastRenderedPageBreak/>
        <w:t>el 77% de ellos, tiene firmado un contrato de alquiler de vivienda habitual.</w:t>
      </w:r>
      <w:r>
        <w:rPr>
          <w:rFonts w:ascii="Open Sans" w:eastAsia="Open Sans" w:hAnsi="Open Sans" w:cs="Open Sans"/>
          <w:sz w:val="22"/>
          <w:szCs w:val="22"/>
        </w:rPr>
        <w:t xml:space="preserve"> Es una cifra muy próxima a la del año anterior, cuando era del 78%. Muy lejos de este porcentaje se encuentra el correspondiente a los </w:t>
      </w:r>
      <w:r>
        <w:rPr>
          <w:rFonts w:ascii="Open Sans" w:eastAsia="Open Sans" w:hAnsi="Open Sans" w:cs="Open Sans"/>
          <w:b/>
          <w:sz w:val="22"/>
          <w:szCs w:val="22"/>
        </w:rPr>
        <w:t>inquilinos con un contrato temporal, con una duración inferior a doce meses. Estos constituyen el 7%</w:t>
      </w:r>
      <w:r>
        <w:rPr>
          <w:rFonts w:ascii="Open Sans" w:eastAsia="Open Sans" w:hAnsi="Open Sans" w:cs="Open Sans"/>
          <w:sz w:val="22"/>
          <w:szCs w:val="22"/>
        </w:rPr>
        <w:t>, el mismo dígito que en el estudio del año anterior.</w:t>
      </w:r>
    </w:p>
    <w:p w14:paraId="030B1DF7"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5C8943BA"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 cifras mucho más reducidas se sitúan los </w:t>
      </w:r>
      <w:r>
        <w:rPr>
          <w:rFonts w:ascii="Open Sans" w:eastAsia="Open Sans" w:hAnsi="Open Sans" w:cs="Open Sans"/>
          <w:b/>
          <w:sz w:val="22"/>
          <w:szCs w:val="22"/>
        </w:rPr>
        <w:t>inquilinos con contratos de alquiler con opción a compra</w:t>
      </w:r>
      <w:r>
        <w:rPr>
          <w:rFonts w:ascii="Open Sans" w:eastAsia="Open Sans" w:hAnsi="Open Sans" w:cs="Open Sans"/>
          <w:sz w:val="22"/>
          <w:szCs w:val="22"/>
        </w:rPr>
        <w:t xml:space="preserve"> (4%, la misma cifra que en 2024, pero con tendencia a la baja). Por su parte, los que se acogen a un </w:t>
      </w:r>
      <w:r>
        <w:rPr>
          <w:rFonts w:ascii="Open Sans" w:eastAsia="Open Sans" w:hAnsi="Open Sans" w:cs="Open Sans"/>
          <w:b/>
          <w:sz w:val="22"/>
          <w:szCs w:val="22"/>
        </w:rPr>
        <w:t xml:space="preserve">contrato de alquiler social </w:t>
      </w:r>
      <w:r>
        <w:rPr>
          <w:rFonts w:ascii="Open Sans" w:eastAsia="Open Sans" w:hAnsi="Open Sans" w:cs="Open Sans"/>
          <w:sz w:val="22"/>
          <w:szCs w:val="22"/>
        </w:rPr>
        <w:t xml:space="preserve">recuperan el 5% de 2023, subiendo dos puntos porcentuales respecto al 3% de doce meses después. Por su parte, </w:t>
      </w:r>
      <w:r>
        <w:rPr>
          <w:rFonts w:ascii="Open Sans" w:eastAsia="Open Sans" w:hAnsi="Open Sans" w:cs="Open Sans"/>
          <w:b/>
          <w:sz w:val="22"/>
          <w:szCs w:val="22"/>
        </w:rPr>
        <w:t>el contrato de alquiler por habitaciones baja del 5% al 4%.</w:t>
      </w:r>
      <w:r>
        <w:rPr>
          <w:rFonts w:ascii="Open Sans" w:eastAsia="Open Sans" w:hAnsi="Open Sans" w:cs="Open Sans"/>
          <w:sz w:val="22"/>
          <w:szCs w:val="22"/>
        </w:rPr>
        <w:t xml:space="preserve"> Este tipo de contrato se da con más frecuencia entre los jóvenes de 18 a 24 años, que lo mantienen en un 9% de los casos (10% en 2024).</w:t>
      </w:r>
    </w:p>
    <w:p w14:paraId="18F81CDA"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01779F5B" w14:textId="77777777" w:rsidR="005119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441827A7" wp14:editId="6DB60343">
            <wp:extent cx="5760720" cy="4011295"/>
            <wp:effectExtent l="0" t="0" r="0" b="0"/>
            <wp:docPr id="2066816630" name="image3.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Escala de tiempo&#10;&#10;El contenido generado por IA puede ser incorrecto."/>
                    <pic:cNvPicPr preferRelativeResize="0"/>
                  </pic:nvPicPr>
                  <pic:blipFill>
                    <a:blip r:embed="rId14"/>
                    <a:srcRect/>
                    <a:stretch>
                      <a:fillRect/>
                    </a:stretch>
                  </pic:blipFill>
                  <pic:spPr>
                    <a:xfrm>
                      <a:off x="0" y="0"/>
                      <a:ext cx="5760720" cy="4011295"/>
                    </a:xfrm>
                    <a:prstGeom prst="rect">
                      <a:avLst/>
                    </a:prstGeom>
                    <a:ln/>
                  </pic:spPr>
                </pic:pic>
              </a:graphicData>
            </a:graphic>
          </wp:inline>
        </w:drawing>
      </w:r>
    </w:p>
    <w:p w14:paraId="65291676"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744F93BE"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2BE3D463"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5E57B740"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661DF18F"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25C8D697"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24DD17F4"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50ECAEDA" w14:textId="77777777" w:rsidR="005119A4" w:rsidRDefault="005119A4">
      <w:pPr>
        <w:pBdr>
          <w:top w:val="nil"/>
          <w:left w:val="nil"/>
          <w:bottom w:val="nil"/>
          <w:right w:val="nil"/>
          <w:between w:val="nil"/>
        </w:pBdr>
        <w:spacing w:line="276" w:lineRule="auto"/>
        <w:jc w:val="both"/>
        <w:rPr>
          <w:rFonts w:ascii="Open Sans" w:eastAsia="Open Sans" w:hAnsi="Open Sans" w:cs="Open Sans"/>
          <w:sz w:val="22"/>
          <w:szCs w:val="22"/>
        </w:rPr>
      </w:pPr>
    </w:p>
    <w:p w14:paraId="22FCB86A" w14:textId="77777777" w:rsidR="005119A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43B7E78" w14:textId="77777777" w:rsidR="005119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5119A4">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96F91C5" w14:textId="77777777" w:rsidR="005119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5119A4">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837F3AF" w14:textId="77777777" w:rsidR="005119A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58C2E22" w14:textId="77777777" w:rsidR="005119A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5DD2929C" w14:textId="77777777" w:rsidR="005119A4"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sidR="005119A4">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5119A4">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sidR="005119A4">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5119A4">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5119A4">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24F56B7" w14:textId="77777777" w:rsidR="005119A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8BEA7D5" w14:textId="77777777" w:rsidR="005119A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539923C" w14:textId="77777777" w:rsidR="005119A4" w:rsidRDefault="00000000">
      <w:pPr>
        <w:spacing w:before="143" w:after="200"/>
        <w:jc w:val="both"/>
      </w:pPr>
      <w:r>
        <w:rPr>
          <w:rFonts w:ascii="Open Sans" w:eastAsia="Open Sans" w:hAnsi="Open Sans" w:cs="Open Sans"/>
          <w:sz w:val="22"/>
          <w:szCs w:val="22"/>
        </w:rPr>
        <w:t xml:space="preserve">Más información en </w:t>
      </w:r>
      <w:hyperlink r:id="rId23">
        <w:r w:rsidR="005119A4">
          <w:rPr>
            <w:rFonts w:ascii="Open Sans" w:eastAsia="Open Sans" w:hAnsi="Open Sans" w:cs="Open Sans"/>
            <w:color w:val="1155CC"/>
            <w:sz w:val="22"/>
            <w:szCs w:val="22"/>
            <w:u w:val="single"/>
          </w:rPr>
          <w:t>adevinta.es</w:t>
        </w:r>
      </w:hyperlink>
    </w:p>
    <w:p w14:paraId="3CABEB4D" w14:textId="77777777" w:rsidR="005119A4" w:rsidRDefault="005119A4">
      <w:pPr>
        <w:spacing w:before="143" w:after="200"/>
        <w:jc w:val="both"/>
      </w:pPr>
    </w:p>
    <w:p w14:paraId="2A6ECB35" w14:textId="77777777" w:rsidR="005119A4" w:rsidRDefault="005119A4">
      <w:pPr>
        <w:spacing w:before="143" w:after="200"/>
        <w:jc w:val="both"/>
        <w:rPr>
          <w:rFonts w:ascii="Open Sans" w:eastAsia="Open Sans" w:hAnsi="Open Sans" w:cs="Open Sans"/>
        </w:rPr>
      </w:pPr>
    </w:p>
    <w:p w14:paraId="777668BF" w14:textId="77777777" w:rsidR="005119A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49D65F2" w14:textId="77777777" w:rsidR="005119A4"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55CA072" w14:textId="77777777" w:rsidR="005119A4" w:rsidRDefault="005119A4">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7D8423B4" w14:textId="77777777" w:rsidR="005119A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5119A4">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6AE9C" w14:textId="77777777" w:rsidR="008F1652" w:rsidRDefault="008F1652">
      <w:r>
        <w:separator/>
      </w:r>
    </w:p>
  </w:endnote>
  <w:endnote w:type="continuationSeparator" w:id="0">
    <w:p w14:paraId="5C23D696" w14:textId="77777777" w:rsidR="008F1652" w:rsidRDefault="008F1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93856F-47A4-406E-A22B-203D6A57E4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A994C68-8CE1-49A5-8915-83BDD27BA546}"/>
    <w:embedBold r:id="rId3" w:fontKey="{3424D6DD-6E0F-4B20-8AAA-9F0EA895B56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65529C2-6145-430B-A63B-CBB673C4ED8C}"/>
  </w:font>
  <w:font w:name="Georgia">
    <w:panose1 w:val="02040502050405020303"/>
    <w:charset w:val="00"/>
    <w:family w:val="roman"/>
    <w:pitch w:val="variable"/>
    <w:sig w:usb0="00000287" w:usb1="00000000" w:usb2="00000000" w:usb3="00000000" w:csb0="0000009F" w:csb1="00000000"/>
    <w:embedRegular r:id="rId5" w:fontKey="{94C45555-562D-48A8-B50D-B750FD5F862F}"/>
    <w:embedItalic r:id="rId6" w:fontKey="{3D56F988-A4E6-41DE-8652-DF5EBFC25AE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FEA59F3-C77F-4D2D-B551-25D686C89677}"/>
    <w:embedBold r:id="rId8" w:fontKey="{09479E5D-D368-4B73-AEA2-BC7BE8DB0E11}"/>
    <w:embedBoldItalic r:id="rId9" w:fontKey="{26E4F9CD-DE62-4D69-BB7D-1C356E00B3E4}"/>
  </w:font>
  <w:font w:name="Open Sans Light">
    <w:charset w:val="00"/>
    <w:family w:val="swiss"/>
    <w:pitch w:val="variable"/>
    <w:sig w:usb0="E00002EF" w:usb1="4000205B" w:usb2="00000028" w:usb3="00000000" w:csb0="0000019F" w:csb1="00000000"/>
    <w:embedRegular r:id="rId10" w:fontKey="{B74E138F-BCBA-4ACB-A8A1-DA90C42AA031}"/>
    <w:embedBold r:id="rId11" w:fontKey="{5CB6C5CF-C2A4-4E3E-A49D-403F4E1B66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AEC5" w14:textId="77777777" w:rsidR="005119A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75A48A5" wp14:editId="4DA1AC6B">
          <wp:simplePos x="0" y="0"/>
          <wp:positionH relativeFrom="column">
            <wp:posOffset>-1068038</wp:posOffset>
          </wp:positionH>
          <wp:positionV relativeFrom="paragraph">
            <wp:posOffset>174608</wp:posOffset>
          </wp:positionV>
          <wp:extent cx="7670550" cy="451315"/>
          <wp:effectExtent l="0" t="0" r="0" b="0"/>
          <wp:wrapNone/>
          <wp:docPr id="20668166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FFAA4" w14:textId="77777777" w:rsidR="008F1652" w:rsidRDefault="008F1652">
      <w:r>
        <w:separator/>
      </w:r>
    </w:p>
  </w:footnote>
  <w:footnote w:type="continuationSeparator" w:id="0">
    <w:p w14:paraId="06B60FB7" w14:textId="77777777" w:rsidR="008F1652" w:rsidRDefault="008F1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37EB0"/>
    <w:multiLevelType w:val="multilevel"/>
    <w:tmpl w:val="D16C9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9485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9A4"/>
    <w:rsid w:val="00246E4C"/>
    <w:rsid w:val="00313239"/>
    <w:rsid w:val="005119A4"/>
    <w:rsid w:val="00563267"/>
    <w:rsid w:val="008F1652"/>
    <w:rsid w:val="00915593"/>
    <w:rsid w:val="00A20E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8D951"/>
  <w15:docId w15:val="{8C60A2A8-4E80-4B62-8126-3CBE1A2E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image" Target="media/image4.png"/><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1KJOSyIMjAO5U1kXDVm5mHSbfA==">CgMxLjAyCWguMnM4ZXlvMTgAciExSGdWXzBuYzFTSzcyV2l6R3VpU0Uydk1EUUlEU2h3VF8=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1106</Words>
  <Characters>6089</Characters>
  <Application>Microsoft Office Word</Application>
  <DocSecurity>0</DocSecurity>
  <Lines>50</Lines>
  <Paragraphs>14</Paragraphs>
  <ScaleCrop>false</ScaleCrop>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3</cp:revision>
  <dcterms:created xsi:type="dcterms:W3CDTF">2024-02-06T13:46:00Z</dcterms:created>
  <dcterms:modified xsi:type="dcterms:W3CDTF">2025-07-16T12:11:00Z</dcterms:modified>
</cp:coreProperties>
</file>