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ABB71" w14:textId="77777777" w:rsidR="008952E3" w:rsidRDefault="00000000">
      <w:r>
        <w:rPr>
          <w:noProof/>
        </w:rPr>
        <w:drawing>
          <wp:anchor distT="0" distB="0" distL="114300" distR="114300" simplePos="0" relativeHeight="251658240" behindDoc="0" locked="0" layoutInCell="1" hidden="0" allowOverlap="1" wp14:anchorId="413BAD0C" wp14:editId="296A82F2">
            <wp:simplePos x="0" y="0"/>
            <wp:positionH relativeFrom="column">
              <wp:posOffset>-1080130</wp:posOffset>
            </wp:positionH>
            <wp:positionV relativeFrom="paragraph">
              <wp:posOffset>-654681</wp:posOffset>
            </wp:positionV>
            <wp:extent cx="7581265" cy="1019175"/>
            <wp:effectExtent l="0" t="0" r="0" b="0"/>
            <wp:wrapNone/>
            <wp:docPr id="2093790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C8586F5" w14:textId="77777777" w:rsidR="008952E3" w:rsidRDefault="008952E3">
      <w:pPr>
        <w:jc w:val="right"/>
        <w:rPr>
          <w:rFonts w:ascii="National" w:eastAsia="National" w:hAnsi="National" w:cs="National"/>
          <w:color w:val="303AB2"/>
          <w:sz w:val="36"/>
          <w:szCs w:val="36"/>
        </w:rPr>
      </w:pPr>
    </w:p>
    <w:p w14:paraId="29976BF4" w14:textId="77777777" w:rsidR="008952E3" w:rsidRDefault="008952E3">
      <w:pPr>
        <w:rPr>
          <w:rFonts w:ascii="National" w:eastAsia="National" w:hAnsi="National" w:cs="National"/>
          <w:color w:val="303AB2"/>
          <w:sz w:val="18"/>
          <w:szCs w:val="18"/>
        </w:rPr>
      </w:pPr>
    </w:p>
    <w:p w14:paraId="311533E7" w14:textId="77777777" w:rsidR="008952E3"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1574EA9B" w14:textId="77777777" w:rsidR="008952E3"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La tranquilidad que ofrecen los préstamos a tipo fijo seduce a tres de cada cuatro hipotecados</w:t>
      </w:r>
    </w:p>
    <w:p w14:paraId="4158ECF0" w14:textId="77777777" w:rsidR="008952E3" w:rsidRDefault="008952E3">
      <w:pPr>
        <w:spacing w:line="276" w:lineRule="auto"/>
        <w:ind w:right="4"/>
        <w:jc w:val="both"/>
        <w:rPr>
          <w:rFonts w:ascii="Open Sans" w:eastAsia="Open Sans" w:hAnsi="Open Sans" w:cs="Open Sans"/>
          <w:color w:val="303AB2"/>
        </w:rPr>
      </w:pPr>
    </w:p>
    <w:p w14:paraId="0B86889C" w14:textId="77777777" w:rsidR="008952E3"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Con la relajación de los tipos de interés, el 74% de los hipotecados se muestran favorable al interés fijo por su estabilidad, aunque resulte más caro</w:t>
      </w:r>
    </w:p>
    <w:p w14:paraId="43337ED8" w14:textId="77777777" w:rsidR="008952E3"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Desciende la preocupación por el sobrecoste que podría ocasionar una subida de tipos en las hipotecas variables</w:t>
      </w:r>
    </w:p>
    <w:p w14:paraId="29960AD3" w14:textId="77777777" w:rsidR="008952E3"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El 69% de los hipotecados admite conocer bien todos los documentos que firman para lograr un crédito inmobiliario</w:t>
      </w:r>
    </w:p>
    <w:p w14:paraId="7C29F8C5" w14:textId="77777777" w:rsidR="008952E3" w:rsidRDefault="008952E3">
      <w:pPr>
        <w:pBdr>
          <w:top w:val="nil"/>
          <w:left w:val="nil"/>
          <w:bottom w:val="nil"/>
          <w:right w:val="nil"/>
          <w:between w:val="nil"/>
        </w:pBdr>
        <w:spacing w:line="276" w:lineRule="auto"/>
        <w:ind w:left="720"/>
        <w:jc w:val="both"/>
        <w:rPr>
          <w:rFonts w:ascii="Open Sans" w:eastAsia="Open Sans" w:hAnsi="Open Sans" w:cs="Open Sans"/>
          <w:color w:val="303AB2"/>
        </w:rPr>
      </w:pPr>
    </w:p>
    <w:p w14:paraId="71399FA4" w14:textId="77777777" w:rsidR="008952E3" w:rsidRDefault="00000000" w:rsidP="00D15976">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20 de agosto de 2025</w:t>
      </w:r>
    </w:p>
    <w:p w14:paraId="4AAE3D01" w14:textId="77777777" w:rsidR="008952E3" w:rsidRDefault="008952E3" w:rsidP="00D15976">
      <w:pPr>
        <w:pBdr>
          <w:top w:val="nil"/>
          <w:left w:val="nil"/>
          <w:bottom w:val="nil"/>
          <w:right w:val="nil"/>
          <w:between w:val="nil"/>
        </w:pBdr>
        <w:spacing w:line="276" w:lineRule="auto"/>
        <w:jc w:val="both"/>
        <w:rPr>
          <w:rFonts w:ascii="Open Sans" w:eastAsia="Open Sans" w:hAnsi="Open Sans" w:cs="Open Sans"/>
        </w:rPr>
      </w:pPr>
    </w:p>
    <w:p w14:paraId="196734E5" w14:textId="0A1F70A4" w:rsidR="008952E3" w:rsidRDefault="00000000" w:rsidP="00D15976">
      <w:pPr>
        <w:spacing w:line="276" w:lineRule="auto"/>
        <w:ind w:right="4"/>
        <w:jc w:val="both"/>
        <w:rPr>
          <w:rFonts w:ascii="Open Sans" w:eastAsia="Open Sans" w:hAnsi="Open Sans" w:cs="Open Sans"/>
          <w:sz w:val="22"/>
          <w:szCs w:val="22"/>
        </w:rPr>
      </w:pPr>
      <w:bookmarkStart w:id="0" w:name="_heading=h.gjdgxs" w:colFirst="0" w:colLast="0"/>
      <w:bookmarkEnd w:id="0"/>
      <w:r>
        <w:rPr>
          <w:rFonts w:ascii="Open Sans" w:eastAsia="Open Sans" w:hAnsi="Open Sans" w:cs="Open Sans"/>
          <w:sz w:val="22"/>
          <w:szCs w:val="22"/>
        </w:rPr>
        <w:t>La caída de los tipos de interés del euro iniciada a mediados de 2024 está afectando la</w:t>
      </w:r>
      <w:r w:rsidR="00D15976">
        <w:rPr>
          <w:rFonts w:ascii="Open Sans" w:eastAsia="Open Sans" w:hAnsi="Open Sans" w:cs="Open Sans"/>
          <w:sz w:val="22"/>
          <w:szCs w:val="22"/>
        </w:rPr>
        <w:t xml:space="preserve"> </w:t>
      </w:r>
      <w:r>
        <w:rPr>
          <w:rFonts w:ascii="Open Sans" w:eastAsia="Open Sans" w:hAnsi="Open Sans" w:cs="Open Sans"/>
          <w:sz w:val="22"/>
          <w:szCs w:val="22"/>
        </w:rPr>
        <w:t xml:space="preserve">opinión de los hipotecados sobre el mercado crediticio vinculado al sector inmobiliario. Concretamente, </w:t>
      </w:r>
      <w:r w:rsidRPr="00D15976">
        <w:rPr>
          <w:rFonts w:ascii="Open Sans" w:eastAsia="Open Sans" w:hAnsi="Open Sans" w:cs="Open Sans"/>
          <w:b/>
          <w:bCs/>
          <w:sz w:val="22"/>
          <w:szCs w:val="22"/>
        </w:rPr>
        <w:t>un 74% de quienes han comprado una vivienda mediante una hipoteca en los últimos doce meses considera que, aunque resulten un poco más caras, las hipotecas a tipo fijo dan más tranquilidad que las de tipo variable</w:t>
      </w:r>
      <w:r>
        <w:rPr>
          <w:rFonts w:ascii="Open Sans" w:eastAsia="Open Sans" w:hAnsi="Open Sans" w:cs="Open Sans"/>
          <w:sz w:val="22"/>
          <w:szCs w:val="22"/>
        </w:rPr>
        <w:t xml:space="preserve">. Esta opinión recibe actualmente una valoración media de 7,7 (tres décimas más que la registrada en el primer semestre de 2024, en un contexto con unos tipos de interés más elevados). Estas son algunas de las conclusiones del informe </w:t>
      </w:r>
      <w:r>
        <w:rPr>
          <w:rFonts w:ascii="Open Sans" w:eastAsia="Open Sans" w:hAnsi="Open Sans" w:cs="Open Sans"/>
          <w:b/>
          <w:sz w:val="22"/>
          <w:szCs w:val="22"/>
        </w:rPr>
        <w:t>“</w:t>
      </w:r>
      <w:hyperlink r:id="rId9">
        <w:r w:rsidR="008952E3">
          <w:rPr>
            <w:rFonts w:ascii="Open Sans" w:eastAsia="Open Sans" w:hAnsi="Open Sans" w:cs="Open Sans"/>
            <w:b/>
            <w:i/>
            <w:color w:val="1155CC"/>
            <w:sz w:val="22"/>
            <w:szCs w:val="22"/>
            <w:u w:val="single"/>
          </w:rPr>
          <w:t>Perfil del hipotecado español en 2025</w:t>
        </w:r>
      </w:hyperlink>
      <w:r>
        <w:rPr>
          <w:rFonts w:ascii="Open Sans" w:eastAsia="Open Sans" w:hAnsi="Open Sans" w:cs="Open Sans"/>
          <w:b/>
          <w:sz w:val="22"/>
          <w:szCs w:val="22"/>
        </w:rPr>
        <w:t xml:space="preserve">”, </w:t>
      </w:r>
      <w:r>
        <w:rPr>
          <w:rFonts w:ascii="Open Sans" w:eastAsia="Open Sans" w:hAnsi="Open Sans" w:cs="Open Sans"/>
          <w:sz w:val="22"/>
          <w:szCs w:val="22"/>
        </w:rPr>
        <w:t xml:space="preserve">elaborado por </w:t>
      </w:r>
      <w:hyperlink r:id="rId10">
        <w:r w:rsidR="008952E3">
          <w:rPr>
            <w:rFonts w:ascii="Open Sans" w:eastAsia="Open Sans" w:hAnsi="Open Sans" w:cs="Open Sans"/>
            <w:b/>
            <w:color w:val="1155CC"/>
            <w:sz w:val="22"/>
            <w:szCs w:val="22"/>
            <w:u w:val="single"/>
          </w:rPr>
          <w:t>Fotocasa Research</w:t>
        </w:r>
      </w:hyperlink>
      <w:r>
        <w:rPr>
          <w:rFonts w:ascii="Open Sans" w:eastAsia="Open Sans" w:hAnsi="Open Sans" w:cs="Open Sans"/>
          <w:sz w:val="22"/>
          <w:szCs w:val="22"/>
        </w:rPr>
        <w:t xml:space="preserve"> y que traza, un año más, una radiografía de cómo se hipotecan los españoles.</w:t>
      </w:r>
    </w:p>
    <w:p w14:paraId="2764ED64" w14:textId="77777777" w:rsidR="008952E3" w:rsidRDefault="008952E3" w:rsidP="00D15976">
      <w:pPr>
        <w:spacing w:line="276" w:lineRule="auto"/>
        <w:ind w:right="4"/>
        <w:jc w:val="both"/>
        <w:rPr>
          <w:rFonts w:ascii="Open Sans" w:eastAsia="Open Sans" w:hAnsi="Open Sans" w:cs="Open Sans"/>
          <w:sz w:val="22"/>
          <w:szCs w:val="22"/>
        </w:rPr>
      </w:pPr>
    </w:p>
    <w:p w14:paraId="55BE893F" w14:textId="7330FB79" w:rsidR="008952E3" w:rsidRPr="00D15976" w:rsidRDefault="00000000" w:rsidP="00D15976">
      <w:pPr>
        <w:spacing w:line="276" w:lineRule="auto"/>
        <w:jc w:val="both"/>
        <w:rPr>
          <w:b/>
        </w:rPr>
      </w:pPr>
      <w:r>
        <w:rPr>
          <w:rFonts w:ascii="Open Sans" w:eastAsia="Open Sans" w:hAnsi="Open Sans" w:cs="Open Sans"/>
          <w:sz w:val="22"/>
          <w:szCs w:val="22"/>
        </w:rPr>
        <w:t xml:space="preserve">“Un año después del inicio de la desescalada de tipos de interés, la tendencia ya refleja el cambio en las preferencias de los hipotecados. Nos encontramos ante el mejor momento para hipotecarse de los últimos tres años, y ahora la preferencia por las hipotecas a tipo fijo vuelve a ser la favorita, mientras las de tipo variable y mixta pierden terreno. Probablemente las de tipo fijo alcanzarán récord, debido a la tranquilidad que otorgan las cuotas estables. Aunque los tipos variables puedan parecer más rentables en momentos de bajada, el miedo a futuras subidas sigue muy presente. Por eso, el interés fijo continúa siendo el más valorado, especialmente en un contexto como el actual, de incertidumbre económica y geopolítica. También observamos una mayor cultura hipotecaria entre los ciudadanos, algo muy positivo que aumenta la educación financiera </w:t>
      </w:r>
      <w:r>
        <w:rPr>
          <w:rFonts w:ascii="Open Sans" w:eastAsia="Open Sans" w:hAnsi="Open Sans" w:cs="Open Sans"/>
          <w:sz w:val="22"/>
          <w:szCs w:val="22"/>
        </w:rPr>
        <w:lastRenderedPageBreak/>
        <w:t xml:space="preserve">y el poder de decisión del ciudadano”, </w:t>
      </w:r>
      <w:r>
        <w:rPr>
          <w:rFonts w:ascii="Open Sans" w:eastAsia="Open Sans" w:hAnsi="Open Sans" w:cs="Open Sans"/>
          <w:b/>
          <w:sz w:val="22"/>
          <w:szCs w:val="22"/>
        </w:rPr>
        <w:t xml:space="preserve">comenta María Matos, directora de Estudios y portavoz de </w:t>
      </w:r>
      <w:hyperlink r:id="rId11">
        <w:r w:rsidR="008952E3">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09A41BB8" w14:textId="77777777" w:rsidR="008952E3" w:rsidRDefault="008952E3" w:rsidP="00D1597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7C80F8C" w14:textId="77777777" w:rsidR="008952E3" w:rsidRDefault="00000000" w:rsidP="00D15976">
      <w:pPr>
        <w:spacing w:line="276" w:lineRule="auto"/>
        <w:ind w:right="4"/>
        <w:jc w:val="both"/>
        <w:rPr>
          <w:rFonts w:ascii="Open Sans" w:eastAsia="Open Sans" w:hAnsi="Open Sans" w:cs="Open Sans"/>
          <w:sz w:val="22"/>
          <w:szCs w:val="22"/>
        </w:rPr>
      </w:pPr>
      <w:r>
        <w:rPr>
          <w:rFonts w:ascii="Open Sans" w:eastAsia="Open Sans" w:hAnsi="Open Sans" w:cs="Open Sans"/>
          <w:b/>
          <w:sz w:val="22"/>
          <w:szCs w:val="22"/>
        </w:rPr>
        <w:t>La segunda opinión más mayoritaria entre los hipotecados españoles es que comprenden bien todos los documentos que han firmado</w:t>
      </w:r>
      <w:r>
        <w:rPr>
          <w:rFonts w:ascii="Open Sans" w:eastAsia="Open Sans" w:hAnsi="Open Sans" w:cs="Open Sans"/>
          <w:sz w:val="22"/>
          <w:szCs w:val="22"/>
        </w:rPr>
        <w:t xml:space="preserve"> para que les concedan un crédito inmobiliario. El 69% de los encuestados afirman que esta es su situación, mientras que un 7% admiten que no se sienten identificados con esta consideración, y el 25% se mantienen dubitativos. Con todo, esta opinión merece una valoración media de 7,2 (dos puntos menos que en el año anterior).</w:t>
      </w:r>
    </w:p>
    <w:p w14:paraId="5109666B" w14:textId="77777777" w:rsidR="008952E3" w:rsidRDefault="008952E3" w:rsidP="00D15976">
      <w:pPr>
        <w:spacing w:line="276" w:lineRule="auto"/>
        <w:ind w:right="4"/>
        <w:jc w:val="both"/>
        <w:rPr>
          <w:rFonts w:ascii="Open Sans" w:eastAsia="Open Sans" w:hAnsi="Open Sans" w:cs="Open Sans"/>
          <w:sz w:val="22"/>
          <w:szCs w:val="22"/>
        </w:rPr>
      </w:pPr>
    </w:p>
    <w:p w14:paraId="70AAFABF" w14:textId="77777777" w:rsidR="008952E3" w:rsidRDefault="00000000" w:rsidP="00D15976">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 </w:t>
      </w:r>
    </w:p>
    <w:p w14:paraId="6A627675" w14:textId="5F4CD62C" w:rsidR="008952E3" w:rsidRDefault="00C5208F" w:rsidP="00D15976">
      <w:pPr>
        <w:spacing w:line="276" w:lineRule="auto"/>
        <w:ind w:right="4"/>
        <w:jc w:val="both"/>
        <w:rPr>
          <w:rFonts w:ascii="Open Sans" w:eastAsia="Open Sans" w:hAnsi="Open Sans" w:cs="Open Sans"/>
          <w:sz w:val="22"/>
          <w:szCs w:val="22"/>
        </w:rPr>
      </w:pPr>
      <w:r>
        <w:rPr>
          <w:noProof/>
        </w:rPr>
        <w:drawing>
          <wp:inline distT="0" distB="0" distL="0" distR="0" wp14:anchorId="21C14E79" wp14:editId="75948992">
            <wp:extent cx="5760720" cy="3237865"/>
            <wp:effectExtent l="0" t="0" r="0" b="635"/>
            <wp:docPr id="65559350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93503" name="Imagen 1" descr="Interfaz de usuario gráfica&#10;&#10;El contenido generado por IA puede ser incorrecto."/>
                    <pic:cNvPicPr/>
                  </pic:nvPicPr>
                  <pic:blipFill>
                    <a:blip r:embed="rId12"/>
                    <a:stretch>
                      <a:fillRect/>
                    </a:stretch>
                  </pic:blipFill>
                  <pic:spPr>
                    <a:xfrm>
                      <a:off x="0" y="0"/>
                      <a:ext cx="5760720" cy="3237865"/>
                    </a:xfrm>
                    <a:prstGeom prst="rect">
                      <a:avLst/>
                    </a:prstGeom>
                  </pic:spPr>
                </pic:pic>
              </a:graphicData>
            </a:graphic>
          </wp:inline>
        </w:drawing>
      </w:r>
    </w:p>
    <w:p w14:paraId="5E67571F" w14:textId="77777777" w:rsidR="008952E3" w:rsidRDefault="008952E3" w:rsidP="00D15976">
      <w:pPr>
        <w:spacing w:line="276" w:lineRule="auto"/>
        <w:ind w:right="4"/>
        <w:jc w:val="center"/>
        <w:rPr>
          <w:rFonts w:ascii="Open Sans" w:eastAsia="Open Sans" w:hAnsi="Open Sans" w:cs="Open Sans"/>
          <w:sz w:val="22"/>
          <w:szCs w:val="22"/>
        </w:rPr>
      </w:pPr>
    </w:p>
    <w:p w14:paraId="3D861A53" w14:textId="77777777" w:rsidR="008952E3" w:rsidRDefault="00000000" w:rsidP="00D15976">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Desciende el temor a los eventuales sobrecostes vinculados a los tipos variables</w:t>
      </w:r>
    </w:p>
    <w:p w14:paraId="5CACC8BA" w14:textId="77777777" w:rsidR="008952E3" w:rsidRDefault="008952E3" w:rsidP="00D15976">
      <w:pPr>
        <w:spacing w:line="276" w:lineRule="auto"/>
        <w:ind w:right="4"/>
        <w:jc w:val="both"/>
        <w:rPr>
          <w:rFonts w:ascii="Open Sans" w:eastAsia="Open Sans" w:hAnsi="Open Sans" w:cs="Open Sans"/>
          <w:sz w:val="22"/>
          <w:szCs w:val="22"/>
        </w:rPr>
      </w:pPr>
    </w:p>
    <w:p w14:paraId="6B9D7AF5" w14:textId="77777777" w:rsidR="008952E3" w:rsidRDefault="00000000" w:rsidP="00D15976">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Por otro lado, en el actual contexto de relajación del precio del euro, </w:t>
      </w:r>
      <w:r>
        <w:rPr>
          <w:rFonts w:ascii="Open Sans" w:eastAsia="Open Sans" w:hAnsi="Open Sans" w:cs="Open Sans"/>
          <w:b/>
          <w:sz w:val="22"/>
          <w:szCs w:val="22"/>
        </w:rPr>
        <w:t>son menos quienes han tenido en cuenta la cantidad que podría subir una hipoteca variable si se incrementaran los tipos de interés</w:t>
      </w:r>
      <w:r>
        <w:rPr>
          <w:rFonts w:ascii="Open Sans" w:eastAsia="Open Sans" w:hAnsi="Open Sans" w:cs="Open Sans"/>
          <w:sz w:val="22"/>
          <w:szCs w:val="22"/>
        </w:rPr>
        <w:t xml:space="preserve">. Actualmente un 65% de los hipotecados españoles admite valorar esta consideración, aunque su nota media (7,0) ha descendido en seis décimas en un año. </w:t>
      </w:r>
    </w:p>
    <w:p w14:paraId="1382FEB8" w14:textId="77777777" w:rsidR="008952E3" w:rsidRDefault="008952E3" w:rsidP="00D15976">
      <w:pPr>
        <w:spacing w:line="276" w:lineRule="auto"/>
        <w:ind w:right="4"/>
        <w:jc w:val="both"/>
        <w:rPr>
          <w:rFonts w:ascii="Open Sans" w:eastAsia="Open Sans" w:hAnsi="Open Sans" w:cs="Open Sans"/>
          <w:sz w:val="22"/>
          <w:szCs w:val="22"/>
        </w:rPr>
      </w:pPr>
    </w:p>
    <w:p w14:paraId="23729A1C" w14:textId="77777777" w:rsidR="008952E3" w:rsidRDefault="00000000" w:rsidP="00D15976">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Asimismo, </w:t>
      </w:r>
      <w:r>
        <w:rPr>
          <w:rFonts w:ascii="Open Sans" w:eastAsia="Open Sans" w:hAnsi="Open Sans" w:cs="Open Sans"/>
          <w:b/>
          <w:sz w:val="22"/>
          <w:szCs w:val="22"/>
        </w:rPr>
        <w:t>otra opinión que genera un notable consenso entre los hipotecados españoles es que conseguir una hipoteca es un proceso difícil y engorroso</w:t>
      </w:r>
      <w:r>
        <w:rPr>
          <w:rFonts w:ascii="Open Sans" w:eastAsia="Open Sans" w:hAnsi="Open Sans" w:cs="Open Sans"/>
          <w:sz w:val="22"/>
          <w:szCs w:val="22"/>
        </w:rPr>
        <w:t xml:space="preserve">: el 67% de los encuestados respalda esta opinión, que recibe una valoración media de 7,2 (una décima menos que en 2024). En cambio, es mucho más minoritaria la idea de estar al día </w:t>
      </w:r>
      <w:r>
        <w:rPr>
          <w:rFonts w:ascii="Open Sans" w:eastAsia="Open Sans" w:hAnsi="Open Sans" w:cs="Open Sans"/>
          <w:sz w:val="22"/>
          <w:szCs w:val="22"/>
        </w:rPr>
        <w:lastRenderedPageBreak/>
        <w:t>de la evolución del euríbor, algo que únicamente el 39% de los encuestados afirma, recibiendo una valoración de 5,4 (cinco décimas menos que hace doce meses).</w:t>
      </w:r>
    </w:p>
    <w:p w14:paraId="7E8EDFA9" w14:textId="77777777" w:rsidR="008952E3" w:rsidRDefault="008952E3" w:rsidP="00D15976">
      <w:pPr>
        <w:spacing w:line="276" w:lineRule="auto"/>
        <w:ind w:right="4"/>
        <w:jc w:val="both"/>
        <w:rPr>
          <w:rFonts w:ascii="Open Sans" w:eastAsia="Open Sans" w:hAnsi="Open Sans" w:cs="Open Sans"/>
          <w:sz w:val="22"/>
          <w:szCs w:val="22"/>
        </w:rPr>
      </w:pPr>
    </w:p>
    <w:p w14:paraId="4A275F23" w14:textId="77777777" w:rsidR="008952E3" w:rsidRDefault="00000000" w:rsidP="00D15976">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lo referente a la sostenibilidad ambiental vinculada con el mercado hipotecario, </w:t>
      </w:r>
      <w:r>
        <w:rPr>
          <w:rFonts w:ascii="Open Sans" w:eastAsia="Open Sans" w:hAnsi="Open Sans" w:cs="Open Sans"/>
          <w:b/>
          <w:sz w:val="22"/>
          <w:szCs w:val="22"/>
        </w:rPr>
        <w:t>un 57% de los encuestados aseguran que pagarían más por una vivienda energéticamente eficiente si pudiese contratar una hipoteca con tipos de interés reducidos</w:t>
      </w:r>
      <w:r>
        <w:rPr>
          <w:rFonts w:ascii="Open Sans" w:eastAsia="Open Sans" w:hAnsi="Open Sans" w:cs="Open Sans"/>
          <w:sz w:val="22"/>
          <w:szCs w:val="22"/>
        </w:rPr>
        <w:t xml:space="preserve"> para este tipo de inmuebles. Esta opinión obtiene una valoración media de 6,6 (tres décimas menos que en 2024). Siguiendo con estos aspectos medioambientales, el 60% de los hipotecados afirman que pagarían más por una vivienda energéticamente eficiente si esto les supone un ahorro económico en la entrada de un crédito hipotecario, una opinión que recibe un 6,7 de valoración media (igual que en 2024).</w:t>
      </w:r>
    </w:p>
    <w:p w14:paraId="6379AE95" w14:textId="77777777" w:rsidR="008952E3" w:rsidRDefault="008952E3">
      <w:pPr>
        <w:spacing w:line="276" w:lineRule="auto"/>
        <w:ind w:left="-284" w:right="141"/>
        <w:jc w:val="both"/>
        <w:rPr>
          <w:rFonts w:ascii="Open Sans" w:eastAsia="Open Sans" w:hAnsi="Open Sans" w:cs="Open Sans"/>
          <w:sz w:val="22"/>
          <w:szCs w:val="22"/>
          <w:highlight w:val="lightGray"/>
        </w:rPr>
      </w:pPr>
    </w:p>
    <w:p w14:paraId="4E2B8769" w14:textId="77777777" w:rsidR="008952E3" w:rsidRDefault="008952E3">
      <w:pPr>
        <w:spacing w:line="276" w:lineRule="auto"/>
        <w:ind w:left="-284" w:right="141"/>
        <w:jc w:val="both"/>
        <w:rPr>
          <w:rFonts w:ascii="Open Sans" w:eastAsia="Open Sans" w:hAnsi="Open Sans" w:cs="Open Sans"/>
          <w:sz w:val="22"/>
          <w:szCs w:val="22"/>
          <w:highlight w:val="lightGray"/>
        </w:rPr>
      </w:pPr>
    </w:p>
    <w:p w14:paraId="60881F80" w14:textId="77777777" w:rsidR="008952E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12D6184" w14:textId="77777777" w:rsidR="008952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8952E3">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502F400" w14:textId="77777777" w:rsidR="008952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8952E3">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D575ED1" w14:textId="77777777" w:rsidR="008952E3"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BDD6852" w14:textId="77777777" w:rsidR="008952E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7F7D6F3" w14:textId="77777777" w:rsidR="008952E3"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8952E3">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8952E3">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8952E3">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8952E3">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8952E3">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sidR="008952E3">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9FDF4DB" w14:textId="77777777" w:rsidR="008952E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EA74176" w14:textId="77777777" w:rsidR="008952E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18725C8" w14:textId="77777777" w:rsidR="008952E3" w:rsidRDefault="00000000">
      <w:pPr>
        <w:spacing w:before="143" w:after="200"/>
        <w:jc w:val="both"/>
      </w:pPr>
      <w:r>
        <w:rPr>
          <w:rFonts w:ascii="Open Sans" w:eastAsia="Open Sans" w:hAnsi="Open Sans" w:cs="Open Sans"/>
          <w:sz w:val="22"/>
          <w:szCs w:val="22"/>
        </w:rPr>
        <w:t xml:space="preserve">Más información en </w:t>
      </w:r>
      <w:hyperlink r:id="rId21">
        <w:r w:rsidR="008952E3">
          <w:rPr>
            <w:rFonts w:ascii="Open Sans" w:eastAsia="Open Sans" w:hAnsi="Open Sans" w:cs="Open Sans"/>
            <w:color w:val="1155CC"/>
            <w:sz w:val="22"/>
            <w:szCs w:val="22"/>
            <w:u w:val="single"/>
          </w:rPr>
          <w:t>adevinta.es</w:t>
        </w:r>
      </w:hyperlink>
    </w:p>
    <w:p w14:paraId="28C1424C" w14:textId="77777777" w:rsidR="008952E3" w:rsidRDefault="008952E3">
      <w:pPr>
        <w:spacing w:before="143" w:after="200"/>
        <w:jc w:val="both"/>
        <w:rPr>
          <w:rFonts w:ascii="Open Sans" w:eastAsia="Open Sans" w:hAnsi="Open Sans" w:cs="Open Sans"/>
        </w:rPr>
      </w:pPr>
    </w:p>
    <w:p w14:paraId="191932E1" w14:textId="77777777" w:rsidR="008952E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6C1B056" w14:textId="77777777" w:rsidR="008952E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F96C1D5" w14:textId="77777777" w:rsidR="008952E3" w:rsidRDefault="008952E3">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55970C7A" w14:textId="77777777" w:rsidR="008952E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EC68727" w14:textId="77777777" w:rsidR="008952E3" w:rsidRDefault="008952E3">
      <w:pPr>
        <w:spacing w:line="276" w:lineRule="auto"/>
        <w:ind w:left="-284"/>
        <w:jc w:val="right"/>
        <w:rPr>
          <w:rFonts w:ascii="Open Sans" w:eastAsia="Open Sans" w:hAnsi="Open Sans" w:cs="Open Sans"/>
          <w:color w:val="000000"/>
          <w:sz w:val="22"/>
          <w:szCs w:val="22"/>
        </w:rPr>
      </w:pPr>
    </w:p>
    <w:sectPr w:rsidR="008952E3">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9F8D" w14:textId="77777777" w:rsidR="00681586" w:rsidRDefault="00681586">
      <w:r>
        <w:separator/>
      </w:r>
    </w:p>
  </w:endnote>
  <w:endnote w:type="continuationSeparator" w:id="0">
    <w:p w14:paraId="0FC42F36" w14:textId="77777777" w:rsidR="00681586" w:rsidRDefault="0068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B2A20F-111C-4C56-AED5-C261893273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FCF764B-4282-4E2B-AE92-9AF69DF4028B}"/>
    <w:embedBold r:id="rId3" w:fontKey="{E681A10A-782C-4C89-AF60-DDC24C62007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9166D13-20FB-47F0-81BF-DE682550D8BA}"/>
  </w:font>
  <w:font w:name="Georgia">
    <w:panose1 w:val="02040502050405020303"/>
    <w:charset w:val="00"/>
    <w:family w:val="roman"/>
    <w:pitch w:val="variable"/>
    <w:sig w:usb0="00000287" w:usb1="00000000" w:usb2="00000000" w:usb3="00000000" w:csb0="0000009F" w:csb1="00000000"/>
    <w:embedRegular r:id="rId5" w:fontKey="{03F0E924-ADCC-42A6-B358-1EAF14B04304}"/>
    <w:embedItalic r:id="rId6" w:fontKey="{44B2FF9C-D065-4AD5-B7CF-0B302410264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4341E89-5AD5-42CD-B503-8C37A1C3335B}"/>
    <w:embedBold r:id="rId8" w:fontKey="{A4A7E088-1F81-482F-9173-0255A98E41C5}"/>
    <w:embedBoldItalic r:id="rId9" w:fontKey="{4581ED47-C243-4421-93B2-4B446AD4B94B}"/>
  </w:font>
  <w:font w:name="Open Sans Light">
    <w:charset w:val="00"/>
    <w:family w:val="swiss"/>
    <w:pitch w:val="variable"/>
    <w:sig w:usb0="E00002EF" w:usb1="4000205B" w:usb2="00000028" w:usb3="00000000" w:csb0="0000019F" w:csb1="00000000"/>
    <w:embedRegular r:id="rId10" w:fontKey="{BCAC7BE3-27EB-49F7-AEA7-FD189F2FC1EB}"/>
    <w:embedBold r:id="rId11" w:fontKey="{25EEE54B-FFEB-431F-8604-C10E31F44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8976" w14:textId="77777777" w:rsidR="008952E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B889E48" wp14:editId="532D0FEA">
          <wp:simplePos x="0" y="0"/>
          <wp:positionH relativeFrom="column">
            <wp:posOffset>-1068055</wp:posOffset>
          </wp:positionH>
          <wp:positionV relativeFrom="paragraph">
            <wp:posOffset>174608</wp:posOffset>
          </wp:positionV>
          <wp:extent cx="7670550" cy="451315"/>
          <wp:effectExtent l="0" t="0" r="0" b="0"/>
          <wp:wrapNone/>
          <wp:docPr id="2093790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B4BA4" w14:textId="77777777" w:rsidR="00681586" w:rsidRDefault="00681586">
      <w:r>
        <w:separator/>
      </w:r>
    </w:p>
  </w:footnote>
  <w:footnote w:type="continuationSeparator" w:id="0">
    <w:p w14:paraId="7519663B" w14:textId="77777777" w:rsidR="00681586" w:rsidRDefault="00681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929FB"/>
    <w:multiLevelType w:val="multilevel"/>
    <w:tmpl w:val="DECA6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6468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2E3"/>
    <w:rsid w:val="0021546C"/>
    <w:rsid w:val="003B301C"/>
    <w:rsid w:val="00681586"/>
    <w:rsid w:val="008869BC"/>
    <w:rsid w:val="008952E3"/>
    <w:rsid w:val="00C5208F"/>
    <w:rsid w:val="00D159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E5673"/>
  <w15:docId w15:val="{4FD434F2-2A5C-4420-84DD-A442FCF0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216.pcdn.co/wp-content/uploads/2025/06/Informe-perfil-hipotecado-espanol-2025.pdf"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TkPvoh27NQEK7DHk0QGXM0uoTQ==">CgMxLjAyCGguZ2pkZ3hzMgloLjJzOGV5bzE4AGokChRzdWdnZXN0LmszajY4Zno1emU1NRIMTWFyw61hIE1hdG9zaiQKFHN1Z2dlc3QuMzJoajk3aXZmOTBzEgxNYXLDrWEgTWF0b3NqJAoUc3VnZ2VzdC5neHpvamk4c3poMWYSDE1hcsOtYSBNYXRvc2okChRzdWdnZXN0LmIzaTVkdWJ6NDF5YxIMTWFyw61hIE1hdG9zaiQKFHN1Z2dlc3QudXYwYWIyOTIzczVrEgxNYXLDrWEgTWF0b3NqJAoUc3VnZ2VzdC5mdjRvcnBudjE3ajUSDE1hcsOtYSBNYXRvc2okChRzdWdnZXN0LmZmaXc3czFtN2poOBIMTWFyw61hIE1hdG9zciExQmRhZHpmTkZhYnlWTXJ1RGp4REZPVk5NY2dCVG9ZY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1019</Words>
  <Characters>5609</Characters>
  <Application>Microsoft Office Word</Application>
  <DocSecurity>0</DocSecurity>
  <Lines>46</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2025-07-21T20:45:00Z</dcterms:modified>
</cp:coreProperties>
</file>