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EA32D0" w14:textId="77777777" w:rsidR="00F85464" w:rsidRDefault="00000000">
      <w:r>
        <w:rPr>
          <w:noProof/>
        </w:rPr>
        <w:drawing>
          <wp:anchor distT="0" distB="0" distL="114300" distR="114300" simplePos="0" relativeHeight="251658240" behindDoc="0" locked="0" layoutInCell="1" hidden="0" allowOverlap="1" wp14:anchorId="047FFAD3" wp14:editId="3CC628C6">
            <wp:simplePos x="0" y="0"/>
            <wp:positionH relativeFrom="column">
              <wp:posOffset>-1080126</wp:posOffset>
            </wp:positionH>
            <wp:positionV relativeFrom="paragraph">
              <wp:posOffset>-654676</wp:posOffset>
            </wp:positionV>
            <wp:extent cx="7581265" cy="1019175"/>
            <wp:effectExtent l="0" t="0" r="0" b="0"/>
            <wp:wrapNone/>
            <wp:docPr id="21300375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8AC0118" w14:textId="77777777" w:rsidR="00F85464" w:rsidRDefault="00F85464">
      <w:pPr>
        <w:jc w:val="right"/>
        <w:rPr>
          <w:rFonts w:ascii="National" w:eastAsia="National" w:hAnsi="National" w:cs="National"/>
          <w:color w:val="303AB2"/>
          <w:sz w:val="36"/>
          <w:szCs w:val="36"/>
        </w:rPr>
      </w:pPr>
    </w:p>
    <w:p w14:paraId="79B2E403" w14:textId="77777777" w:rsidR="00F85464" w:rsidRDefault="00F85464">
      <w:pPr>
        <w:rPr>
          <w:rFonts w:ascii="National" w:eastAsia="National" w:hAnsi="National" w:cs="National"/>
          <w:color w:val="303AB2"/>
          <w:sz w:val="18"/>
          <w:szCs w:val="18"/>
        </w:rPr>
      </w:pPr>
    </w:p>
    <w:p w14:paraId="5EE22F50" w14:textId="77777777" w:rsidR="00F85464" w:rsidRDefault="00000000">
      <w:pPr>
        <w:spacing w:line="276" w:lineRule="auto"/>
        <w:ind w:right="-574"/>
        <w:jc w:val="center"/>
        <w:rPr>
          <w:rFonts w:ascii="National" w:eastAsia="National" w:hAnsi="National" w:cs="National"/>
          <w:b/>
          <w:color w:val="1DBDC5"/>
          <w:sz w:val="28"/>
          <w:szCs w:val="28"/>
        </w:rPr>
      </w:pPr>
      <w:r>
        <w:rPr>
          <w:rFonts w:ascii="National" w:eastAsia="National" w:hAnsi="National" w:cs="National"/>
          <w:b/>
          <w:color w:val="1DBDC5"/>
          <w:sz w:val="28"/>
          <w:szCs w:val="28"/>
        </w:rPr>
        <w:t>ESTUDIO SOBRE PISOS COMPARTIDOS EN ESPAÑA</w:t>
      </w:r>
    </w:p>
    <w:p w14:paraId="263E0361" w14:textId="1B61C96D" w:rsidR="00F85464" w:rsidRPr="005008AC" w:rsidRDefault="009F3283">
      <w:pPr>
        <w:jc w:val="center"/>
        <w:rPr>
          <w:rFonts w:ascii="National" w:eastAsia="National" w:hAnsi="National" w:cs="National"/>
          <w:b/>
          <w:color w:val="303AB2"/>
          <w:sz w:val="46"/>
          <w:szCs w:val="46"/>
        </w:rPr>
      </w:pPr>
      <w:r>
        <w:rPr>
          <w:rFonts w:ascii="National" w:eastAsia="National" w:hAnsi="National" w:cs="National"/>
          <w:b/>
          <w:color w:val="303AB2"/>
          <w:sz w:val="46"/>
          <w:szCs w:val="46"/>
        </w:rPr>
        <w:t>Mujer</w:t>
      </w:r>
      <w:r w:rsidR="00000000" w:rsidRPr="005008AC">
        <w:rPr>
          <w:rFonts w:ascii="National" w:eastAsia="National" w:hAnsi="National" w:cs="National"/>
          <w:b/>
          <w:color w:val="303AB2"/>
          <w:sz w:val="46"/>
          <w:szCs w:val="46"/>
        </w:rPr>
        <w:t xml:space="preserve"> de 31 años, el perfil del demandante de piso compartido en España</w:t>
      </w:r>
    </w:p>
    <w:p w14:paraId="3414689F" w14:textId="77777777" w:rsidR="00F85464" w:rsidRDefault="00F85464">
      <w:pPr>
        <w:pBdr>
          <w:top w:val="nil"/>
          <w:left w:val="nil"/>
          <w:bottom w:val="nil"/>
          <w:right w:val="nil"/>
          <w:between w:val="nil"/>
        </w:pBdr>
        <w:spacing w:line="276" w:lineRule="auto"/>
        <w:jc w:val="both"/>
        <w:rPr>
          <w:rFonts w:ascii="Open Sans" w:eastAsia="Open Sans" w:hAnsi="Open Sans" w:cs="Open Sans"/>
          <w:sz w:val="22"/>
          <w:szCs w:val="22"/>
        </w:rPr>
      </w:pPr>
    </w:p>
    <w:p w14:paraId="0DFE6113" w14:textId="77777777" w:rsidR="00F85464" w:rsidRDefault="00000000">
      <w:pPr>
        <w:numPr>
          <w:ilvl w:val="0"/>
          <w:numId w:val="1"/>
        </w:num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El 72 % de los inquilinos tiene menos de 35 años, lo que evidencia la fuerte presencia de jóvenes en este tipo de arrendamiento compartido</w:t>
      </w:r>
    </w:p>
    <w:p w14:paraId="72DECA0D" w14:textId="77777777" w:rsidR="00F85464" w:rsidRDefault="00000000">
      <w:pPr>
        <w:numPr>
          <w:ilvl w:val="0"/>
          <w:numId w:val="1"/>
        </w:num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Uno de cada dos inquilinos de vivienda compartida pertenece a un nivel socioeconómico alto o medio alto</w:t>
      </w:r>
    </w:p>
    <w:p w14:paraId="67FA3EBE" w14:textId="6EAD2316" w:rsidR="00F85464" w:rsidRDefault="00000000">
      <w:pPr>
        <w:numPr>
          <w:ilvl w:val="0"/>
          <w:numId w:val="1"/>
        </w:num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El </w:t>
      </w:r>
      <w:r w:rsidR="00CE5A42">
        <w:rPr>
          <w:rFonts w:ascii="Open Sans" w:eastAsia="Open Sans" w:hAnsi="Open Sans" w:cs="Open Sans"/>
          <w:sz w:val="22"/>
          <w:szCs w:val="22"/>
        </w:rPr>
        <w:t>5</w:t>
      </w:r>
      <w:r>
        <w:rPr>
          <w:rFonts w:ascii="Open Sans" w:eastAsia="Open Sans" w:hAnsi="Open Sans" w:cs="Open Sans"/>
          <w:sz w:val="22"/>
          <w:szCs w:val="22"/>
        </w:rPr>
        <w:t>3 % de los demandantes de habitación en piso compartido tarda menos de un mes en encontrar vivienda</w:t>
      </w:r>
    </w:p>
    <w:p w14:paraId="06460021" w14:textId="77777777" w:rsidR="00F85464" w:rsidRDefault="00F85464">
      <w:pPr>
        <w:pBdr>
          <w:top w:val="nil"/>
          <w:left w:val="nil"/>
          <w:bottom w:val="nil"/>
          <w:right w:val="nil"/>
          <w:between w:val="nil"/>
        </w:pBdr>
        <w:spacing w:line="276" w:lineRule="auto"/>
        <w:jc w:val="both"/>
        <w:rPr>
          <w:rFonts w:ascii="Open Sans" w:eastAsia="Open Sans" w:hAnsi="Open Sans" w:cs="Open Sans"/>
          <w:b/>
          <w:color w:val="303AB2"/>
          <w:highlight w:val="yellow"/>
        </w:rPr>
      </w:pPr>
    </w:p>
    <w:p w14:paraId="467FA431" w14:textId="4DA38063" w:rsidR="00F85464"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5008AC">
        <w:rPr>
          <w:rFonts w:ascii="Open Sans Light" w:eastAsia="Open Sans Light" w:hAnsi="Open Sans Light" w:cs="Open Sans Light"/>
          <w:b/>
          <w:color w:val="303AB2"/>
        </w:rPr>
        <w:t>28 de agosto</w:t>
      </w:r>
      <w:r>
        <w:rPr>
          <w:rFonts w:ascii="Open Sans Light" w:eastAsia="Open Sans Light" w:hAnsi="Open Sans Light" w:cs="Open Sans Light"/>
          <w:b/>
          <w:color w:val="303AB2"/>
        </w:rPr>
        <w:t xml:space="preserve"> de 2025</w:t>
      </w:r>
    </w:p>
    <w:p w14:paraId="29CABA1A" w14:textId="77777777" w:rsidR="00F85464" w:rsidRDefault="00F85464">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61524A2A" w14:textId="77777777" w:rsidR="00F85464" w:rsidRDefault="00000000">
      <w:pPr>
        <w:spacing w:line="276" w:lineRule="auto"/>
        <w:jc w:val="both"/>
        <w:rPr>
          <w:rFonts w:ascii="Open Sans" w:eastAsia="Open Sans" w:hAnsi="Open Sans" w:cs="Open Sans"/>
        </w:rPr>
      </w:pPr>
      <w:r>
        <w:rPr>
          <w:rFonts w:ascii="Open Sans" w:eastAsia="Open Sans" w:hAnsi="Open Sans" w:cs="Open Sans"/>
        </w:rPr>
        <w:t>Coincidiendo con los meses previos al inicio del curso académico, el mercado del alquiler compartido vuelve a activarse en España. En este contexto, el análisis “</w:t>
      </w:r>
      <w:r w:rsidRPr="005008AC">
        <w:rPr>
          <w:rFonts w:ascii="Open Sans" w:eastAsia="Open Sans" w:hAnsi="Open Sans" w:cs="Open Sans"/>
          <w:b/>
          <w:bCs/>
          <w:i/>
        </w:rPr>
        <w:t>Perfil de las personas que comparten vivienda</w:t>
      </w:r>
      <w:r>
        <w:rPr>
          <w:rFonts w:ascii="Open Sans" w:eastAsia="Open Sans" w:hAnsi="Open Sans" w:cs="Open Sans"/>
        </w:rPr>
        <w:t xml:space="preserve">”, elaborado por </w:t>
      </w:r>
      <w:hyperlink r:id="rId9">
        <w:r w:rsidR="00F85464">
          <w:rPr>
            <w:rFonts w:ascii="Open Sans" w:eastAsia="Open Sans" w:hAnsi="Open Sans" w:cs="Open Sans"/>
            <w:b/>
            <w:i/>
            <w:color w:val="1155CC"/>
            <w:u w:val="single"/>
          </w:rPr>
          <w:t>Fotocasa Research</w:t>
        </w:r>
      </w:hyperlink>
      <w:r>
        <w:rPr>
          <w:rFonts w:ascii="Open Sans" w:eastAsia="Open Sans" w:hAnsi="Open Sans" w:cs="Open Sans"/>
        </w:rPr>
        <w:t>, pone el foco en las características sociodemográficas de quienes recurren a alquilar una habitación, así como en el tiempo que tardan en encontrarla.</w:t>
      </w:r>
    </w:p>
    <w:p w14:paraId="2CF41B7B" w14:textId="77777777" w:rsidR="00F85464" w:rsidRDefault="00F85464">
      <w:pPr>
        <w:spacing w:line="276" w:lineRule="auto"/>
        <w:jc w:val="both"/>
        <w:rPr>
          <w:rFonts w:ascii="Open Sans" w:eastAsia="Open Sans" w:hAnsi="Open Sans" w:cs="Open Sans"/>
        </w:rPr>
      </w:pPr>
    </w:p>
    <w:p w14:paraId="2BCEF894" w14:textId="57BE083C" w:rsidR="00F85464" w:rsidRDefault="00000000">
      <w:pPr>
        <w:spacing w:line="276" w:lineRule="auto"/>
        <w:jc w:val="both"/>
        <w:rPr>
          <w:rFonts w:ascii="Open Sans" w:eastAsia="Open Sans" w:hAnsi="Open Sans" w:cs="Open Sans"/>
        </w:rPr>
      </w:pPr>
      <w:r>
        <w:rPr>
          <w:rFonts w:ascii="Open Sans" w:eastAsia="Open Sans" w:hAnsi="Open Sans" w:cs="Open Sans"/>
        </w:rPr>
        <w:t xml:space="preserve">Una de las principales conclusiones del estudio es que los demandantes de habitación en pisos compartidos tienen una </w:t>
      </w:r>
      <w:r>
        <w:rPr>
          <w:rFonts w:ascii="Open Sans" w:eastAsia="Open Sans" w:hAnsi="Open Sans" w:cs="Open Sans"/>
          <w:b/>
        </w:rPr>
        <w:t>media de edad de 31 años, una cifra que desciende respecto a los 33 años registrados en 2024.</w:t>
      </w:r>
      <w:r>
        <w:rPr>
          <w:rFonts w:ascii="Open Sans" w:eastAsia="Open Sans" w:hAnsi="Open Sans" w:cs="Open Sans"/>
        </w:rPr>
        <w:t xml:space="preserve"> Este descenso responde, entre otros factores, al crecimiento del número de jóvenes entre 25 y 34 años, que en 2025 representan el 32 % del total de inquilinos de habitaciones, frente al 25 % del año anterior. Además, el 40% tiene entre 18 y 24 años y un 72% se sitúa por debajo de los 35 años.</w:t>
      </w:r>
    </w:p>
    <w:p w14:paraId="3E2316C3" w14:textId="77777777" w:rsidR="00F85464" w:rsidRDefault="00F85464">
      <w:pPr>
        <w:spacing w:line="276" w:lineRule="auto"/>
        <w:jc w:val="both"/>
        <w:rPr>
          <w:rFonts w:ascii="Open Sans" w:eastAsia="Open Sans" w:hAnsi="Open Sans" w:cs="Open Sans"/>
        </w:rPr>
      </w:pPr>
    </w:p>
    <w:p w14:paraId="632D1E3D" w14:textId="3E080828" w:rsidR="00F85464" w:rsidRDefault="00000000">
      <w:pPr>
        <w:spacing w:line="276" w:lineRule="auto"/>
        <w:jc w:val="both"/>
        <w:rPr>
          <w:rFonts w:ascii="Open Sans" w:eastAsia="Open Sans" w:hAnsi="Open Sans" w:cs="Open Sans"/>
        </w:rPr>
      </w:pPr>
      <w:r>
        <w:rPr>
          <w:rFonts w:ascii="Open Sans" w:eastAsia="Open Sans" w:hAnsi="Open Sans" w:cs="Open Sans"/>
        </w:rPr>
        <w:t xml:space="preserve">Si se observa el perfil socioeconómico de estos inquilinos, el </w:t>
      </w:r>
      <w:r>
        <w:rPr>
          <w:rFonts w:ascii="Open Sans" w:eastAsia="Open Sans" w:hAnsi="Open Sans" w:cs="Open Sans"/>
          <w:b/>
        </w:rPr>
        <w:t>50% pertenece a los niveles alto o medio alto</w:t>
      </w:r>
      <w:r>
        <w:rPr>
          <w:rFonts w:ascii="Open Sans" w:eastAsia="Open Sans" w:hAnsi="Open Sans" w:cs="Open Sans"/>
        </w:rPr>
        <w:t xml:space="preserve">, mientras que un </w:t>
      </w:r>
      <w:r>
        <w:rPr>
          <w:rFonts w:ascii="Open Sans" w:eastAsia="Open Sans" w:hAnsi="Open Sans" w:cs="Open Sans"/>
          <w:b/>
        </w:rPr>
        <w:t>26% se ubica en el nivel medio</w:t>
      </w:r>
      <w:r>
        <w:rPr>
          <w:rFonts w:ascii="Open Sans" w:eastAsia="Open Sans" w:hAnsi="Open Sans" w:cs="Open Sans"/>
        </w:rPr>
        <w:t xml:space="preserve"> y un </w:t>
      </w:r>
      <w:r>
        <w:rPr>
          <w:rFonts w:ascii="Open Sans" w:eastAsia="Open Sans" w:hAnsi="Open Sans" w:cs="Open Sans"/>
          <w:b/>
        </w:rPr>
        <w:t>23 % en el bajo o medio bajo</w:t>
      </w:r>
      <w:r>
        <w:rPr>
          <w:rFonts w:ascii="Open Sans" w:eastAsia="Open Sans" w:hAnsi="Open Sans" w:cs="Open Sans"/>
        </w:rPr>
        <w:t xml:space="preserve">. En cuanto al género, el reparto es bastante equilibrado: </w:t>
      </w:r>
      <w:r>
        <w:rPr>
          <w:rFonts w:ascii="Open Sans" w:eastAsia="Open Sans" w:hAnsi="Open Sans" w:cs="Open Sans"/>
          <w:b/>
        </w:rPr>
        <w:t>el 53% son mujeres y el 47% hombres</w:t>
      </w:r>
      <w:r>
        <w:rPr>
          <w:rFonts w:ascii="Open Sans" w:eastAsia="Open Sans" w:hAnsi="Open Sans" w:cs="Open Sans"/>
        </w:rPr>
        <w:t>.</w:t>
      </w:r>
    </w:p>
    <w:p w14:paraId="5CA1698B" w14:textId="77777777" w:rsidR="002278F3" w:rsidRDefault="002278F3">
      <w:pPr>
        <w:spacing w:line="276" w:lineRule="auto"/>
        <w:jc w:val="both"/>
        <w:rPr>
          <w:rFonts w:ascii="Open Sans" w:eastAsia="Open Sans" w:hAnsi="Open Sans" w:cs="Open Sans"/>
        </w:rPr>
      </w:pPr>
    </w:p>
    <w:p w14:paraId="54EDFD79" w14:textId="77777777" w:rsidR="00F85464" w:rsidRDefault="00F85464">
      <w:pPr>
        <w:spacing w:line="276" w:lineRule="auto"/>
        <w:jc w:val="both"/>
        <w:rPr>
          <w:rFonts w:ascii="Open Sans" w:eastAsia="Open Sans" w:hAnsi="Open Sans" w:cs="Open Sans"/>
        </w:rPr>
      </w:pPr>
    </w:p>
    <w:p w14:paraId="4921F9B3" w14:textId="77777777" w:rsidR="00F85464" w:rsidRDefault="00000000">
      <w:pPr>
        <w:spacing w:line="276" w:lineRule="auto"/>
        <w:jc w:val="both"/>
        <w:rPr>
          <w:rFonts w:ascii="Open Sans" w:eastAsia="Open Sans" w:hAnsi="Open Sans" w:cs="Open Sans"/>
        </w:rPr>
      </w:pPr>
      <w:r>
        <w:rPr>
          <w:rFonts w:ascii="Open Sans" w:eastAsia="Open Sans" w:hAnsi="Open Sans" w:cs="Open Sans"/>
        </w:rPr>
        <w:lastRenderedPageBreak/>
        <w:t xml:space="preserve">“La vivienda compartida se ha consolidado como la principal vía de emancipación para muchos jóvenes, muchas veces por obligación, en vez de por decisión propia. Es la opción más accesible cuando se inicia la vida independiente, pero lo llamativo es que continúa siendo una alternativa incluso pasados los 30 años. Esto se debe, en gran parte, a la debilidad económica que impide a muchos dar el salto hacia una vivienda en solitario o en propiedad. Compartir piso se convierte en la opción utilizada para reducir el esfuerzo salarial que supone acceder al alquiler, especialmente en un contexto de precios máximos como el actual”, </w:t>
      </w:r>
      <w:r>
        <w:rPr>
          <w:rFonts w:ascii="Open Sans" w:eastAsia="Open Sans" w:hAnsi="Open Sans" w:cs="Open Sans"/>
          <w:b/>
        </w:rPr>
        <w:t xml:space="preserve">explica María Matos, directora de Estudios y portavoz de </w:t>
      </w:r>
      <w:hyperlink r:id="rId10">
        <w:r w:rsidR="00F85464">
          <w:rPr>
            <w:rFonts w:ascii="Open Sans" w:eastAsia="Open Sans" w:hAnsi="Open Sans" w:cs="Open Sans"/>
            <w:b/>
            <w:color w:val="1155CC"/>
            <w:u w:val="single"/>
          </w:rPr>
          <w:t>Fotocasa</w:t>
        </w:r>
      </w:hyperlink>
      <w:r>
        <w:rPr>
          <w:rFonts w:ascii="Open Sans" w:eastAsia="Open Sans" w:hAnsi="Open Sans" w:cs="Open Sans"/>
        </w:rPr>
        <w:t>.</w:t>
      </w:r>
    </w:p>
    <w:p w14:paraId="377533B3" w14:textId="77777777" w:rsidR="00F85464" w:rsidRDefault="00F85464">
      <w:pPr>
        <w:spacing w:line="276" w:lineRule="auto"/>
        <w:jc w:val="both"/>
        <w:rPr>
          <w:rFonts w:ascii="Open Sans" w:eastAsia="Open Sans" w:hAnsi="Open Sans" w:cs="Open Sans"/>
        </w:rPr>
      </w:pPr>
    </w:p>
    <w:p w14:paraId="264D348B" w14:textId="33EED6A7" w:rsidR="00F85464" w:rsidRDefault="00000000">
      <w:pPr>
        <w:spacing w:line="276" w:lineRule="auto"/>
        <w:jc w:val="both"/>
        <w:rPr>
          <w:rFonts w:ascii="Open Sans" w:eastAsia="Open Sans" w:hAnsi="Open Sans" w:cs="Open Sans"/>
        </w:rPr>
      </w:pPr>
      <w:r>
        <w:rPr>
          <w:rFonts w:ascii="Open Sans" w:eastAsia="Open Sans" w:hAnsi="Open Sans" w:cs="Open Sans"/>
        </w:rPr>
        <w:t>A nivel territorial, se observa una caída significativa del peso de los demandantes procedentes de Cataluña (del 18% al 7%) y Andalucía (del 28% al 16%), lo que podría estar vinculado a factores como la variación en la oferta disponible, los precios del alquiler o la movilidad geográfica de los jóvenes.</w:t>
      </w:r>
    </w:p>
    <w:p w14:paraId="7AE57C27" w14:textId="77777777" w:rsidR="00F85464" w:rsidRDefault="00F85464">
      <w:pPr>
        <w:spacing w:line="276" w:lineRule="auto"/>
        <w:jc w:val="both"/>
        <w:rPr>
          <w:rFonts w:ascii="Open Sans" w:eastAsia="Open Sans" w:hAnsi="Open Sans" w:cs="Open Sans"/>
        </w:rPr>
      </w:pPr>
    </w:p>
    <w:p w14:paraId="50D8E532" w14:textId="138728AD" w:rsidR="00F85464" w:rsidRDefault="00000000">
      <w:pPr>
        <w:spacing w:line="276" w:lineRule="auto"/>
        <w:jc w:val="both"/>
        <w:rPr>
          <w:rFonts w:ascii="Open Sans" w:eastAsia="Open Sans" w:hAnsi="Open Sans" w:cs="Open Sans"/>
        </w:rPr>
      </w:pPr>
      <w:r>
        <w:rPr>
          <w:rFonts w:ascii="Open Sans" w:eastAsia="Open Sans" w:hAnsi="Open Sans" w:cs="Open Sans"/>
        </w:rPr>
        <w:t xml:space="preserve">Por otro lado, la convivencia previa también resulta clave para comprender la trayectoria de estos inquilinos. Según el estudio, el </w:t>
      </w:r>
      <w:r>
        <w:rPr>
          <w:rFonts w:ascii="Open Sans" w:eastAsia="Open Sans" w:hAnsi="Open Sans" w:cs="Open Sans"/>
          <w:b/>
        </w:rPr>
        <w:t>44% vivía con sus padres</w:t>
      </w:r>
      <w:r>
        <w:rPr>
          <w:rFonts w:ascii="Open Sans" w:eastAsia="Open Sans" w:hAnsi="Open Sans" w:cs="Open Sans"/>
        </w:rPr>
        <w:t xml:space="preserve"> antes de buscar una habitación, el </w:t>
      </w:r>
      <w:r>
        <w:rPr>
          <w:rFonts w:ascii="Open Sans" w:eastAsia="Open Sans" w:hAnsi="Open Sans" w:cs="Open Sans"/>
          <w:b/>
        </w:rPr>
        <w:t>30% ya compartía con otras personas no familiares</w:t>
      </w:r>
      <w:r>
        <w:rPr>
          <w:rFonts w:ascii="Open Sans" w:eastAsia="Open Sans" w:hAnsi="Open Sans" w:cs="Open Sans"/>
        </w:rPr>
        <w:t xml:space="preserve">, el </w:t>
      </w:r>
      <w:r>
        <w:rPr>
          <w:rFonts w:ascii="Open Sans" w:eastAsia="Open Sans" w:hAnsi="Open Sans" w:cs="Open Sans"/>
          <w:b/>
        </w:rPr>
        <w:t>10% vivía con su pareja e hijos</w:t>
      </w:r>
      <w:r>
        <w:rPr>
          <w:rFonts w:ascii="Open Sans" w:eastAsia="Open Sans" w:hAnsi="Open Sans" w:cs="Open Sans"/>
        </w:rPr>
        <w:t xml:space="preserve"> y el </w:t>
      </w:r>
      <w:r>
        <w:rPr>
          <w:rFonts w:ascii="Open Sans" w:eastAsia="Open Sans" w:hAnsi="Open Sans" w:cs="Open Sans"/>
          <w:b/>
        </w:rPr>
        <w:t>9% vivía solo</w:t>
      </w:r>
      <w:r>
        <w:rPr>
          <w:rFonts w:ascii="Open Sans" w:eastAsia="Open Sans" w:hAnsi="Open Sans" w:cs="Open Sans"/>
        </w:rPr>
        <w:t>.</w:t>
      </w:r>
    </w:p>
    <w:p w14:paraId="2BDD80EA" w14:textId="77777777" w:rsidR="00F85464" w:rsidRDefault="00F85464">
      <w:pPr>
        <w:spacing w:line="276" w:lineRule="auto"/>
        <w:jc w:val="both"/>
        <w:rPr>
          <w:rFonts w:ascii="Open Sans" w:eastAsia="Open Sans" w:hAnsi="Open Sans" w:cs="Open Sans"/>
        </w:rPr>
      </w:pPr>
    </w:p>
    <w:p w14:paraId="6BA74B00" w14:textId="77777777" w:rsidR="00F85464" w:rsidRDefault="00000000">
      <w:pPr>
        <w:spacing w:line="276" w:lineRule="auto"/>
        <w:jc w:val="both"/>
        <w:rPr>
          <w:rFonts w:ascii="Open Sans" w:eastAsia="Open Sans" w:hAnsi="Open Sans" w:cs="Open Sans"/>
        </w:rPr>
      </w:pPr>
      <w:r>
        <w:rPr>
          <w:rFonts w:ascii="Open Sans" w:eastAsia="Open Sans" w:hAnsi="Open Sans" w:cs="Open Sans"/>
          <w:noProof/>
        </w:rPr>
        <w:drawing>
          <wp:inline distT="114300" distB="114300" distL="114300" distR="114300" wp14:anchorId="19170FA5" wp14:editId="24BFED02">
            <wp:extent cx="5764220" cy="3810000"/>
            <wp:effectExtent l="0" t="0" r="0" b="0"/>
            <wp:docPr id="213003759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764220" cy="3810000"/>
                    </a:xfrm>
                    <a:prstGeom prst="rect">
                      <a:avLst/>
                    </a:prstGeom>
                    <a:ln/>
                  </pic:spPr>
                </pic:pic>
              </a:graphicData>
            </a:graphic>
          </wp:inline>
        </w:drawing>
      </w:r>
    </w:p>
    <w:p w14:paraId="0BF52F79" w14:textId="77777777" w:rsidR="00F85464" w:rsidRDefault="00F85464">
      <w:pPr>
        <w:spacing w:line="276" w:lineRule="auto"/>
        <w:jc w:val="both"/>
        <w:rPr>
          <w:rFonts w:ascii="Open Sans" w:eastAsia="Open Sans" w:hAnsi="Open Sans" w:cs="Open Sans"/>
        </w:rPr>
      </w:pPr>
    </w:p>
    <w:p w14:paraId="582ADACB" w14:textId="77777777" w:rsidR="00F85464" w:rsidRDefault="00000000">
      <w:pPr>
        <w:spacing w:line="276" w:lineRule="auto"/>
        <w:jc w:val="both"/>
        <w:rPr>
          <w:rFonts w:ascii="Open Sans" w:eastAsia="Open Sans" w:hAnsi="Open Sans" w:cs="Open Sans"/>
        </w:rPr>
      </w:pPr>
      <w:r>
        <w:rPr>
          <w:rFonts w:ascii="Open Sans Light" w:eastAsia="Open Sans Light" w:hAnsi="Open Sans Light" w:cs="Open Sans Light"/>
          <w:b/>
          <w:color w:val="303AB2"/>
          <w:sz w:val="28"/>
          <w:szCs w:val="28"/>
        </w:rPr>
        <w:lastRenderedPageBreak/>
        <w:t>Ahora tardan menos en encontrar vivienda</w:t>
      </w:r>
    </w:p>
    <w:p w14:paraId="7F189388" w14:textId="77777777" w:rsidR="00F85464" w:rsidRDefault="00F85464">
      <w:pPr>
        <w:spacing w:line="276" w:lineRule="auto"/>
        <w:jc w:val="both"/>
        <w:rPr>
          <w:rFonts w:ascii="Open Sans" w:eastAsia="Open Sans" w:hAnsi="Open Sans" w:cs="Open Sans"/>
        </w:rPr>
      </w:pPr>
    </w:p>
    <w:p w14:paraId="6CE0B6EC" w14:textId="5E039456" w:rsidR="00F85464" w:rsidRDefault="00000000">
      <w:pPr>
        <w:spacing w:line="276" w:lineRule="auto"/>
        <w:jc w:val="both"/>
        <w:rPr>
          <w:rFonts w:ascii="Open Sans" w:eastAsia="Open Sans" w:hAnsi="Open Sans" w:cs="Open Sans"/>
        </w:rPr>
      </w:pPr>
      <w:r>
        <w:rPr>
          <w:rFonts w:ascii="Open Sans" w:eastAsia="Open Sans" w:hAnsi="Open Sans" w:cs="Open Sans"/>
        </w:rPr>
        <w:t>Además del factor edad, el estudio revela que el 53% de los demandantes de habitación consigue alquilar en menos de un mes. De ellos, un 30% lo hace en menos de dos semanas, y un 23% tarda entre dos semanas y un mes. Estos plazos reflejan una agilidad relativamente alta en este segmento del mercado, aunque también existen casos en los que la búsqueda se prolonga: un 10% declara haber necesitado mucho más tiempo del esperado.</w:t>
      </w:r>
    </w:p>
    <w:p w14:paraId="03D678F2" w14:textId="77777777" w:rsidR="00F85464" w:rsidRDefault="00F85464">
      <w:pPr>
        <w:spacing w:line="276" w:lineRule="auto"/>
        <w:jc w:val="both"/>
        <w:rPr>
          <w:rFonts w:ascii="Open Sans" w:eastAsia="Open Sans" w:hAnsi="Open Sans" w:cs="Open Sans"/>
        </w:rPr>
      </w:pPr>
    </w:p>
    <w:p w14:paraId="55EA7D1B" w14:textId="77777777" w:rsidR="00F85464" w:rsidRDefault="00000000">
      <w:pPr>
        <w:spacing w:line="276" w:lineRule="auto"/>
        <w:jc w:val="both"/>
        <w:rPr>
          <w:rFonts w:ascii="Open Sans" w:eastAsia="Open Sans" w:hAnsi="Open Sans" w:cs="Open Sans"/>
        </w:rPr>
      </w:pPr>
      <w:r>
        <w:rPr>
          <w:rFonts w:ascii="Open Sans" w:eastAsia="Open Sans" w:hAnsi="Open Sans" w:cs="Open Sans"/>
          <w:noProof/>
        </w:rPr>
        <w:drawing>
          <wp:inline distT="114300" distB="114300" distL="114300" distR="114300" wp14:anchorId="71F424D0" wp14:editId="3E353D84">
            <wp:extent cx="5764220" cy="3860800"/>
            <wp:effectExtent l="0" t="0" r="0" b="0"/>
            <wp:docPr id="213003759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5764220" cy="3860800"/>
                    </a:xfrm>
                    <a:prstGeom prst="rect">
                      <a:avLst/>
                    </a:prstGeom>
                    <a:ln/>
                  </pic:spPr>
                </pic:pic>
              </a:graphicData>
            </a:graphic>
          </wp:inline>
        </w:drawing>
      </w:r>
    </w:p>
    <w:p w14:paraId="1FCE608F" w14:textId="77777777" w:rsidR="00F85464" w:rsidRDefault="00F85464">
      <w:pPr>
        <w:spacing w:line="276" w:lineRule="auto"/>
        <w:jc w:val="both"/>
        <w:rPr>
          <w:rFonts w:ascii="Open Sans" w:eastAsia="Open Sans" w:hAnsi="Open Sans" w:cs="Open Sans"/>
        </w:rPr>
      </w:pPr>
    </w:p>
    <w:p w14:paraId="7E77B713" w14:textId="77777777" w:rsidR="00F85464" w:rsidRDefault="00F85464">
      <w:pPr>
        <w:spacing w:line="276" w:lineRule="auto"/>
        <w:jc w:val="right"/>
        <w:rPr>
          <w:rFonts w:ascii="Open Sans Light" w:eastAsia="Open Sans Light" w:hAnsi="Open Sans Light" w:cs="Open Sans Light"/>
          <w:b/>
          <w:color w:val="303AB2"/>
        </w:rPr>
      </w:pPr>
    </w:p>
    <w:p w14:paraId="01505F7E" w14:textId="77777777" w:rsidR="00F85464"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36C0333" w14:textId="77777777" w:rsidR="00F85464"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sidR="00F85464">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61C36543" w14:textId="77777777" w:rsidR="00F85464"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4">
        <w:r w:rsidR="00F85464">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2010A759" w14:textId="77777777" w:rsidR="00F85464"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39F0BA0E" w14:textId="77777777" w:rsidR="00F85464"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Adevinta</w:t>
      </w:r>
    </w:p>
    <w:p w14:paraId="631E71D1" w14:textId="77777777" w:rsidR="00F85464" w:rsidRDefault="00000000">
      <w:pPr>
        <w:spacing w:before="143" w:after="200"/>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5">
        <w:r w:rsidR="00F85464">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r w:rsidR="00F85464">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7">
        <w:r w:rsidR="00F85464">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sidR="00F85464">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sidR="00F85464">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0">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22014AC0" w14:textId="77777777" w:rsidR="00F85464"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269D69D7" w14:textId="77777777" w:rsidR="00F85464"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7FF21885" w14:textId="77777777" w:rsidR="00F85464" w:rsidRDefault="00000000">
      <w:pPr>
        <w:spacing w:before="143" w:after="200"/>
        <w:jc w:val="both"/>
      </w:pPr>
      <w:r>
        <w:rPr>
          <w:rFonts w:ascii="Open Sans" w:eastAsia="Open Sans" w:hAnsi="Open Sans" w:cs="Open Sans"/>
          <w:sz w:val="22"/>
          <w:szCs w:val="22"/>
        </w:rPr>
        <w:t xml:space="preserve">Más información en </w:t>
      </w:r>
      <w:hyperlink r:id="rId21">
        <w:r w:rsidR="00F85464">
          <w:rPr>
            <w:rFonts w:ascii="Open Sans" w:eastAsia="Open Sans" w:hAnsi="Open Sans" w:cs="Open Sans"/>
            <w:color w:val="1155CC"/>
            <w:sz w:val="22"/>
            <w:szCs w:val="22"/>
            <w:u w:val="single"/>
          </w:rPr>
          <w:t>adevinta.es</w:t>
        </w:r>
      </w:hyperlink>
    </w:p>
    <w:p w14:paraId="05A3A819" w14:textId="77777777" w:rsidR="00F85464" w:rsidRDefault="00F85464">
      <w:pPr>
        <w:spacing w:before="143" w:after="200"/>
        <w:jc w:val="both"/>
        <w:rPr>
          <w:rFonts w:ascii="Open Sans" w:eastAsia="Open Sans" w:hAnsi="Open Sans" w:cs="Open Sans"/>
        </w:rPr>
      </w:pPr>
    </w:p>
    <w:p w14:paraId="72746B45" w14:textId="77777777" w:rsidR="00F85464"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77442C00" w14:textId="77777777" w:rsidR="00F85464" w:rsidRDefault="00000000">
      <w:pPr>
        <w:shd w:val="clear" w:color="auto" w:fill="FFFFFF"/>
        <w:spacing w:line="276" w:lineRule="auto"/>
        <w:rPr>
          <w:rFonts w:ascii="Open Sans" w:eastAsia="Open Sans" w:hAnsi="Open Sans" w:cs="Open Sans"/>
          <w:b/>
          <w:sz w:val="22"/>
          <w:szCs w:val="22"/>
        </w:rPr>
      </w:pPr>
      <w:r>
        <w:rPr>
          <w:rFonts w:ascii="Open Sans" w:eastAsia="Open Sans" w:hAnsi="Open Sans" w:cs="Open Sans"/>
          <w:b/>
          <w:sz w:val="22"/>
          <w:szCs w:val="22"/>
        </w:rPr>
        <w:t>Anaïs López</w:t>
      </w:r>
    </w:p>
    <w:p w14:paraId="0D58F89C" w14:textId="77777777" w:rsidR="00F85464" w:rsidRDefault="00F85464">
      <w:pPr>
        <w:shd w:val="clear" w:color="auto" w:fill="FFFFFF"/>
        <w:spacing w:line="276" w:lineRule="auto"/>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29462ED9" w14:textId="77777777" w:rsidR="00F85464" w:rsidRDefault="00000000">
      <w:pPr>
        <w:shd w:val="clear" w:color="auto" w:fill="FFFFFF"/>
        <w:spacing w:line="276" w:lineRule="auto"/>
        <w:rPr>
          <w:rFonts w:ascii="Open Sans Light" w:eastAsia="Open Sans Light" w:hAnsi="Open Sans Light" w:cs="Open Sans Light"/>
          <w:b/>
          <w:color w:val="303AB2"/>
        </w:rPr>
      </w:pPr>
      <w:r>
        <w:rPr>
          <w:rFonts w:ascii="Open Sans" w:eastAsia="Open Sans" w:hAnsi="Open Sans" w:cs="Open Sans"/>
          <w:sz w:val="22"/>
          <w:szCs w:val="22"/>
        </w:rPr>
        <w:t>620 66 29 26</w:t>
      </w:r>
    </w:p>
    <w:sectPr w:rsidR="00F85464">
      <w:footerReference w:type="default" r:id="rId2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2567B" w14:textId="77777777" w:rsidR="009F771C" w:rsidRDefault="009F771C">
      <w:r>
        <w:separator/>
      </w:r>
    </w:p>
  </w:endnote>
  <w:endnote w:type="continuationSeparator" w:id="0">
    <w:p w14:paraId="11DAB23F" w14:textId="77777777" w:rsidR="009F771C" w:rsidRDefault="009F7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1351080-EF9F-4713-BC83-BF3371A9876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1CC3A16-B859-433E-8646-35C5DC6BD316}"/>
    <w:embedBold r:id="rId3" w:fontKey="{D9C4DCB9-E623-48BE-8442-E87E3F0269C8}"/>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4123C8CD-4AD9-4D74-BE15-F029B0EC8DAD}"/>
  </w:font>
  <w:font w:name="Georgia">
    <w:panose1 w:val="02040502050405020303"/>
    <w:charset w:val="00"/>
    <w:family w:val="roman"/>
    <w:pitch w:val="variable"/>
    <w:sig w:usb0="00000287" w:usb1="00000000" w:usb2="00000000" w:usb3="00000000" w:csb0="0000009F" w:csb1="00000000"/>
    <w:embedRegular r:id="rId5" w:fontKey="{68BCA568-8901-43BA-B484-D1D7A73CC8F6}"/>
    <w:embedItalic r:id="rId6" w:fontKey="{B4CB78D4-BF65-4B1C-91AF-DE7B9ADC355A}"/>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1100A369-48F7-4DB1-A455-3A861B3F67C7}"/>
    <w:embedBold r:id="rId8" w:fontKey="{60044066-BE7C-4583-9E92-6AB04F0630F6}"/>
    <w:embedBoldItalic r:id="rId9" w:fontKey="{D69F5C85-1E67-4C18-ADBC-B20C8E229320}"/>
  </w:font>
  <w:font w:name="Open Sans Light">
    <w:charset w:val="00"/>
    <w:family w:val="swiss"/>
    <w:pitch w:val="variable"/>
    <w:sig w:usb0="E00002EF" w:usb1="4000205B" w:usb2="00000028" w:usb3="00000000" w:csb0="0000019F" w:csb1="00000000"/>
    <w:embedRegular r:id="rId10" w:fontKey="{6C23B4ED-0F3B-4C7F-B42E-C69141783EF1}"/>
    <w:embedBold r:id="rId11" w:fontKey="{BFFBFE22-3D9E-4863-9FAF-9DFF7E1CE0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3DF95" w14:textId="77777777" w:rsidR="00F85464"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35620C0C" wp14:editId="0D750580">
          <wp:simplePos x="0" y="0"/>
          <wp:positionH relativeFrom="column">
            <wp:posOffset>-1068050</wp:posOffset>
          </wp:positionH>
          <wp:positionV relativeFrom="paragraph">
            <wp:posOffset>174608</wp:posOffset>
          </wp:positionV>
          <wp:extent cx="7670550" cy="451315"/>
          <wp:effectExtent l="0" t="0" r="0" b="0"/>
          <wp:wrapNone/>
          <wp:docPr id="21300375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BC3FE" w14:textId="77777777" w:rsidR="009F771C" w:rsidRDefault="009F771C">
      <w:r>
        <w:separator/>
      </w:r>
    </w:p>
  </w:footnote>
  <w:footnote w:type="continuationSeparator" w:id="0">
    <w:p w14:paraId="48B0A78A" w14:textId="77777777" w:rsidR="009F771C" w:rsidRDefault="009F77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C850C9"/>
    <w:multiLevelType w:val="multilevel"/>
    <w:tmpl w:val="D69810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446867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464"/>
    <w:rsid w:val="002278F3"/>
    <w:rsid w:val="002B669F"/>
    <w:rsid w:val="003A452F"/>
    <w:rsid w:val="005008AC"/>
    <w:rsid w:val="009F3283"/>
    <w:rsid w:val="009F771C"/>
    <w:rsid w:val="00CC32B8"/>
    <w:rsid w:val="00CE5A42"/>
    <w:rsid w:val="00D91F1C"/>
    <w:rsid w:val="00F45466"/>
    <w:rsid w:val="00F8546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A211B"/>
  <w15:docId w15:val="{1ABD8635-DB7B-42A1-A5DF-F50F9E75F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a">
    <w:basedOn w:val="TableNormalf"/>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c"/>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c"/>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http://adevinta.es"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infojobs.ne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s://www.milanuncio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footer" Target="footer1.xml"/><Relationship Id="rId10" Type="http://schemas.openxmlformats.org/officeDocument/2006/relationships/hyperlink" Target="https://www.fotocasa.es/es/" TargetMode="External"/><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prensa.fotocasa.es"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lXs5rXo4tYJpiRu5Ao4o4GQoEQ==">CgMxLjAyCWguMnM4ZXlvMTgAciExNHAtakJhV2JaNUw1N1RiNEhNWnlSZzV3aWRFVjRSNWI=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868</Words>
  <Characters>4780</Characters>
  <Application>Microsoft Office Word</Application>
  <DocSecurity>0</DocSecurity>
  <Lines>39</Lines>
  <Paragraphs>11</Paragraphs>
  <ScaleCrop>false</ScaleCrop>
  <Company/>
  <LinksUpToDate>false</LinksUpToDate>
  <CharactersWithSpaces>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6</cp:revision>
  <cp:lastPrinted>2025-07-21T06:28:00Z</cp:lastPrinted>
  <dcterms:created xsi:type="dcterms:W3CDTF">2024-02-06T13:46:00Z</dcterms:created>
  <dcterms:modified xsi:type="dcterms:W3CDTF">2025-08-17T22:04:00Z</dcterms:modified>
</cp:coreProperties>
</file>