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National" w:cs="National" w:eastAsia="National" w:hAnsi="National"/>
          <w:color w:val="303ab2"/>
          <w:sz w:val="36"/>
          <w:szCs w:val="36"/>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ffffff" w:val="clear"/>
        <w:spacing w:after="225" w:line="276" w:lineRule="auto"/>
        <w:jc w:val="center"/>
        <w:rPr>
          <w:rFonts w:ascii="National" w:cs="National" w:eastAsia="National" w:hAnsi="National"/>
          <w:b w:val="1"/>
          <w:color w:val="303ab2"/>
          <w:sz w:val="46"/>
          <w:szCs w:val="46"/>
        </w:rPr>
      </w:pPr>
      <w:bookmarkStart w:colFirst="0" w:colLast="0" w:name="_heading=h.gjdgxs" w:id="0"/>
      <w:bookmarkEnd w:id="0"/>
      <w:r w:rsidDel="00000000" w:rsidR="00000000" w:rsidRPr="00000000">
        <w:rPr>
          <w:rFonts w:ascii="National" w:cs="National" w:eastAsia="National" w:hAnsi="National"/>
          <w:b w:val="1"/>
          <w:color w:val="303ab2"/>
          <w:sz w:val="46"/>
          <w:szCs w:val="46"/>
          <w:rtl w:val="0"/>
        </w:rPr>
        <w:t xml:space="preserve">La vivienda se encarece a doble dígito como en 2007: el abaratamiento hipotecario dispara la demanda</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ffffff" w:val="clear"/>
        <w:spacing w:after="225" w:line="276" w:lineRule="auto"/>
        <w:jc w:val="both"/>
        <w:rPr>
          <w:rFonts w:ascii="Open Sans" w:cs="Open Sans" w:eastAsia="Open Sans" w:hAnsi="Open Sans"/>
          <w:b w:val="1"/>
          <w:color w:val="303ab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ffffff" w:val="clear"/>
        <w:spacing w:after="225" w:line="276" w:lineRule="auto"/>
        <w:jc w:val="both"/>
        <w:rPr>
          <w:rFonts w:ascii="Open Sans" w:cs="Open Sans" w:eastAsia="Open Sans" w:hAnsi="Open Sans"/>
          <w:b w:val="1"/>
          <w:sz w:val="22"/>
          <w:szCs w:val="22"/>
        </w:rPr>
      </w:pPr>
      <w:r w:rsidDel="00000000" w:rsidR="00000000" w:rsidRPr="00000000">
        <w:rPr>
          <w:rFonts w:ascii="Open Sans" w:cs="Open Sans" w:eastAsia="Open Sans" w:hAnsi="Open Sans"/>
          <w:b w:val="1"/>
          <w:color w:val="303ab2"/>
          <w:rtl w:val="0"/>
        </w:rPr>
        <w:t xml:space="preserve">Madrid, 05 de septiembre de 2025</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spacing w:after="280" w:before="280" w:line="276" w:lineRule="auto"/>
        <w:jc w:val="both"/>
        <w:rPr>
          <w:rFonts w:ascii="Open Sans" w:cs="Open Sans" w:eastAsia="Open Sans" w:hAnsi="Open Sans"/>
          <w:b w:val="1"/>
          <w:sz w:val="22"/>
          <w:szCs w:val="22"/>
        </w:rPr>
      </w:pPr>
      <w:r w:rsidDel="00000000" w:rsidR="00000000" w:rsidRPr="00000000">
        <w:rPr>
          <w:rFonts w:ascii="Open Sans" w:cs="Open Sans" w:eastAsia="Open Sans" w:hAnsi="Open Sans"/>
          <w:sz w:val="22"/>
          <w:szCs w:val="22"/>
          <w:rtl w:val="0"/>
        </w:rPr>
        <w:t xml:space="preserve">El Índice de Precios (IPV) correspondiente al segundo trimestre de 2025, publicado hoy por el Instituto Nacional de Estadística (INE), refleja una variación trimestral del </w:t>
      </w:r>
      <w:r w:rsidDel="00000000" w:rsidR="00000000" w:rsidRPr="00000000">
        <w:rPr>
          <w:rFonts w:ascii="Open Sans" w:cs="Open Sans" w:eastAsia="Open Sans" w:hAnsi="Open Sans"/>
          <w:b w:val="1"/>
          <w:sz w:val="22"/>
          <w:szCs w:val="22"/>
          <w:rtl w:val="0"/>
        </w:rPr>
        <w:t xml:space="preserve">4,0%</w:t>
      </w:r>
      <w:r w:rsidDel="00000000" w:rsidR="00000000" w:rsidRPr="00000000">
        <w:rPr>
          <w:rFonts w:ascii="Open Sans" w:cs="Open Sans" w:eastAsia="Open Sans" w:hAnsi="Open Sans"/>
          <w:sz w:val="22"/>
          <w:szCs w:val="22"/>
          <w:rtl w:val="0"/>
        </w:rPr>
        <w:t xml:space="preserve"> y un incremento anual del </w:t>
      </w:r>
      <w:r w:rsidDel="00000000" w:rsidR="00000000" w:rsidRPr="00000000">
        <w:rPr>
          <w:rFonts w:ascii="Open Sans" w:cs="Open Sans" w:eastAsia="Open Sans" w:hAnsi="Open Sans"/>
          <w:b w:val="1"/>
          <w:sz w:val="22"/>
          <w:szCs w:val="22"/>
          <w:rtl w:val="0"/>
        </w:rPr>
        <w:t xml:space="preserve">12,7%</w:t>
      </w:r>
      <w:r w:rsidDel="00000000" w:rsidR="00000000" w:rsidRPr="00000000">
        <w:rPr>
          <w:rFonts w:ascii="Open Sans" w:cs="Open Sans" w:eastAsia="Open Sans" w:hAnsi="Open Sans"/>
          <w:sz w:val="22"/>
          <w:szCs w:val="22"/>
          <w:rtl w:val="0"/>
        </w:rPr>
        <w:t xml:space="preserve">. “El fuerte ritmo de encarecimiento de la vivienda responde a la combinación de una demanda sólida que no deja de crecer, unas condiciones hipotecarias más favorables y una oferta muy limitada. Sin embargo, aunque el crecimiento se acelera cada vez más, </w:t>
      </w:r>
      <w:r w:rsidDel="00000000" w:rsidR="00000000" w:rsidRPr="00000000">
        <w:rPr>
          <w:rFonts w:ascii="Open Sans" w:cs="Open Sans" w:eastAsia="Open Sans" w:hAnsi="Open Sans"/>
          <w:b w:val="1"/>
          <w:sz w:val="22"/>
          <w:szCs w:val="22"/>
          <w:rtl w:val="0"/>
        </w:rPr>
        <w:t xml:space="preserve">no estamos próximos a una burbuja inmobiliaria, ya que las condiciones hipotecarias siguen siendo prudentes</w:t>
      </w:r>
      <w:r w:rsidDel="00000000" w:rsidR="00000000" w:rsidRPr="00000000">
        <w:rPr>
          <w:rFonts w:ascii="Open Sans" w:cs="Open Sans" w:eastAsia="Open Sans" w:hAnsi="Open Sans"/>
          <w:sz w:val="22"/>
          <w:szCs w:val="22"/>
          <w:rtl w:val="0"/>
        </w:rPr>
        <w:t xml:space="preserve"> y se mantienen dentro de los criterios de solvencia exigidos por el BCE”, </w:t>
      </w:r>
      <w:r w:rsidDel="00000000" w:rsidR="00000000" w:rsidRPr="00000000">
        <w:rPr>
          <w:rFonts w:ascii="Open Sans" w:cs="Open Sans" w:eastAsia="Open Sans" w:hAnsi="Open Sans"/>
          <w:b w:val="1"/>
          <w:sz w:val="22"/>
          <w:szCs w:val="22"/>
          <w:rtl w:val="0"/>
        </w:rPr>
        <w:t xml:space="preserve">explica María Matos, directora de Estudios de </w:t>
      </w:r>
      <w:hyperlink r:id="rId7">
        <w:r w:rsidDel="00000000" w:rsidR="00000000" w:rsidRPr="00000000">
          <w:rPr>
            <w:rFonts w:ascii="Open Sans" w:cs="Open Sans" w:eastAsia="Open Sans" w:hAnsi="Open Sans"/>
            <w:b w:val="1"/>
            <w:color w:val="1155cc"/>
            <w:sz w:val="22"/>
            <w:szCs w:val="22"/>
            <w:u w:val="single"/>
            <w:rtl w:val="0"/>
          </w:rPr>
          <w:t xml:space="preserve">Fotocasa</w:t>
        </w:r>
      </w:hyperlink>
      <w:r w:rsidDel="00000000" w:rsidR="00000000" w:rsidRPr="00000000">
        <w:rPr>
          <w:rFonts w:ascii="Open Sans" w:cs="Open Sans" w:eastAsia="Open Sans" w:hAnsi="Open Sans"/>
          <w:b w:val="1"/>
          <w:sz w:val="22"/>
          <w:szCs w:val="22"/>
          <w:rtl w:val="0"/>
        </w:rPr>
        <w:t xml:space="preserv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ffffff" w:val="clear"/>
        <w:spacing w:after="280" w:before="280"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“La senda de recortes de tipos de interés iniciada por el Banco Central Europeo en junio de 2024, hasta situarse en el 2% en junio de 2025, marca un cambio de rumbo en la política monetaria. El descenso del Euríbor y la </w:t>
      </w:r>
      <w:r w:rsidDel="00000000" w:rsidR="00000000" w:rsidRPr="00000000">
        <w:rPr>
          <w:rFonts w:ascii="Open Sans" w:cs="Open Sans" w:eastAsia="Open Sans" w:hAnsi="Open Sans"/>
          <w:b w:val="1"/>
          <w:sz w:val="22"/>
          <w:szCs w:val="22"/>
          <w:rtl w:val="0"/>
        </w:rPr>
        <w:t xml:space="preserve">mejora de las condiciones de financiación han devuelto al mercado a un 21% de compradores que habían quedado fuera.</w:t>
      </w:r>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b w:val="1"/>
          <w:sz w:val="22"/>
          <w:szCs w:val="22"/>
          <w:rtl w:val="0"/>
        </w:rPr>
        <w:t xml:space="preserve">Ahora, en muchos casos, resulta más barato comprar que alquilar.</w:t>
      </w:r>
      <w:r w:rsidDel="00000000" w:rsidR="00000000" w:rsidRPr="00000000">
        <w:rPr>
          <w:rFonts w:ascii="Open Sans" w:cs="Open Sans" w:eastAsia="Open Sans" w:hAnsi="Open Sans"/>
          <w:sz w:val="22"/>
          <w:szCs w:val="22"/>
          <w:rtl w:val="0"/>
        </w:rPr>
        <w:t xml:space="preserve"> Esta situación representa una oportunidad para quienes llevaban tiempo esperando un entorno más propicio y volverán con fuerza al mercado. Sin embargo, esta mayor presión compradora se produce en un contexto en el que los precios ya venían registrando fuertes subidas desde 2022, lo que </w:t>
      </w:r>
      <w:r w:rsidDel="00000000" w:rsidR="00000000" w:rsidRPr="00000000">
        <w:rPr>
          <w:rFonts w:ascii="Open Sans" w:cs="Open Sans" w:eastAsia="Open Sans" w:hAnsi="Open Sans"/>
          <w:b w:val="1"/>
          <w:sz w:val="22"/>
          <w:szCs w:val="22"/>
          <w:rtl w:val="0"/>
        </w:rPr>
        <w:t xml:space="preserve">acelerará aún más el encarecimiento como consecuencia del nuevo empuje de la demanda</w:t>
      </w:r>
      <w:r w:rsidDel="00000000" w:rsidR="00000000" w:rsidRPr="00000000">
        <w:rPr>
          <w:rFonts w:ascii="Open Sans" w:cs="Open Sans" w:eastAsia="Open Sans" w:hAnsi="Open Sans"/>
          <w:sz w:val="22"/>
          <w:szCs w:val="22"/>
          <w:rtl w:val="0"/>
        </w:rPr>
        <w:t xml:space="preserve">”, explica María Matos.</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ffffff" w:val="clear"/>
        <w:spacing w:after="280" w:before="280"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“Precisamente la demanda de compra continúa siendo muy alta y responde a múltiples motivos. Tras la pandemia, muchos ciudadanos siguen viendo la compra de vivienda como una forma de ganar calidad de vida, a lo que se suman fenómenos estructurales como el aumento de los flujos migratorios y el auge de los hogares unipersonales, que generan una necesidad de al menos 100.000 hogares más de los que se construyen anualmente. Según los datos de </w:t>
      </w:r>
      <w:hyperlink r:id="rId8">
        <w:r w:rsidDel="00000000" w:rsidR="00000000" w:rsidRPr="00000000">
          <w:rPr>
            <w:rFonts w:ascii="Open Sans" w:cs="Open Sans" w:eastAsia="Open Sans" w:hAnsi="Open Sans"/>
            <w:color w:val="1155cc"/>
            <w:sz w:val="22"/>
            <w:szCs w:val="22"/>
            <w:u w:val="single"/>
            <w:rtl w:val="0"/>
          </w:rPr>
          <w:t xml:space="preserve">Fotocasa Research</w:t>
        </w:r>
      </w:hyperlink>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b w:val="1"/>
          <w:sz w:val="22"/>
          <w:szCs w:val="22"/>
          <w:rtl w:val="0"/>
        </w:rPr>
        <w:t xml:space="preserve">el 15% de la población española está buscando una vivienda en propiedad</w:t>
      </w:r>
      <w:r w:rsidDel="00000000" w:rsidR="00000000" w:rsidRPr="00000000">
        <w:rPr>
          <w:rFonts w:ascii="Open Sans" w:cs="Open Sans" w:eastAsia="Open Sans" w:hAnsi="Open Sans"/>
          <w:sz w:val="22"/>
          <w:szCs w:val="22"/>
          <w:rtl w:val="0"/>
        </w:rPr>
        <w:t xml:space="preserve">, una cifra mayor a la registrada en 2019 (12%). Además, detectamos que un volumen muy representativo de esta demanda está conformado por un perfil solvente, con alto poder adquisitivo, con foco inversor del 10% y con un peso extranjero que ya alcanza el 15% de las operaciones. No obstante, </w:t>
      </w:r>
      <w:r w:rsidDel="00000000" w:rsidR="00000000" w:rsidRPr="00000000">
        <w:rPr>
          <w:rFonts w:ascii="Open Sans" w:cs="Open Sans" w:eastAsia="Open Sans" w:hAnsi="Open Sans"/>
          <w:b w:val="1"/>
          <w:sz w:val="22"/>
          <w:szCs w:val="22"/>
          <w:rtl w:val="0"/>
        </w:rPr>
        <w:t xml:space="preserve">el grueso de la actividad lo concentra la compra de vivienda habitual, que representa cerca del 80% de las operaciones</w:t>
      </w:r>
      <w:r w:rsidDel="00000000" w:rsidR="00000000" w:rsidRPr="00000000">
        <w:rPr>
          <w:rFonts w:ascii="Open Sans" w:cs="Open Sans" w:eastAsia="Open Sans" w:hAnsi="Open Sans"/>
          <w:sz w:val="22"/>
          <w:szCs w:val="22"/>
          <w:rtl w:val="0"/>
        </w:rPr>
        <w:t xml:space="preserve">. También existe un perfil más modesto que interactúa con el mercado esperando a que el precio pueda llegar a descender y encontrar una oportunidad, como el público joven que busca emanciparse. Asimismo, </w:t>
      </w:r>
      <w:r w:rsidDel="00000000" w:rsidR="00000000" w:rsidRPr="00000000">
        <w:rPr>
          <w:rFonts w:ascii="Open Sans" w:cs="Open Sans" w:eastAsia="Open Sans" w:hAnsi="Open Sans"/>
          <w:b w:val="1"/>
          <w:sz w:val="22"/>
          <w:szCs w:val="22"/>
          <w:rtl w:val="0"/>
        </w:rPr>
        <w:t xml:space="preserve">la compra por reposición, sin necesidad de gran financiación bancaria, y que ya alcanza el 25%, dominará el mercado en los próximos meses</w:t>
      </w:r>
      <w:r w:rsidDel="00000000" w:rsidR="00000000" w:rsidRPr="00000000">
        <w:rPr>
          <w:rFonts w:ascii="Open Sans" w:cs="Open Sans" w:eastAsia="Open Sans" w:hAnsi="Open Sans"/>
          <w:sz w:val="22"/>
          <w:szCs w:val="22"/>
          <w:rtl w:val="0"/>
        </w:rPr>
        <w:t xml:space="preserve">”, comenta María Matos.</w:t>
      </w:r>
    </w:p>
    <w:p w:rsidR="00000000" w:rsidDel="00000000" w:rsidP="00000000" w:rsidRDefault="00000000" w:rsidRPr="00000000" w14:paraId="00000008">
      <w:pPr>
        <w:shd w:fill="ffffff" w:val="clear"/>
        <w:spacing w:after="280" w:before="280"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“Es lógico pensar que</w:t>
      </w:r>
      <w:r w:rsidDel="00000000" w:rsidR="00000000" w:rsidRPr="00000000">
        <w:rPr>
          <w:rFonts w:ascii="Open Sans" w:cs="Open Sans" w:eastAsia="Open Sans" w:hAnsi="Open Sans"/>
          <w:b w:val="1"/>
          <w:sz w:val="22"/>
          <w:szCs w:val="22"/>
          <w:rtl w:val="0"/>
        </w:rPr>
        <w:t xml:space="preserve"> si el mercado va a recibir más demanda y sigue con la misma oferta, los precios tenderán a subir</w:t>
      </w:r>
      <w:r w:rsidDel="00000000" w:rsidR="00000000" w:rsidRPr="00000000">
        <w:rPr>
          <w:rFonts w:ascii="Open Sans" w:cs="Open Sans" w:eastAsia="Open Sans" w:hAnsi="Open Sans"/>
          <w:sz w:val="22"/>
          <w:szCs w:val="22"/>
          <w:rtl w:val="0"/>
        </w:rPr>
        <w:t xml:space="preserve">. La vivienda está en un contexto de gran desequilibrio entre oferta y demanda, en el que según los datos de </w:t>
      </w:r>
      <w:hyperlink r:id="rId9">
        <w:r w:rsidDel="00000000" w:rsidR="00000000" w:rsidRPr="00000000">
          <w:rPr>
            <w:rFonts w:ascii="Open Sans" w:cs="Open Sans" w:eastAsia="Open Sans" w:hAnsi="Open Sans"/>
            <w:b w:val="1"/>
            <w:color w:val="1155cc"/>
            <w:sz w:val="22"/>
            <w:szCs w:val="22"/>
            <w:u w:val="single"/>
            <w:rtl w:val="0"/>
          </w:rPr>
          <w:t xml:space="preserve">Fotocasa Research</w:t>
        </w:r>
      </w:hyperlink>
      <w:r w:rsidDel="00000000" w:rsidR="00000000" w:rsidRPr="00000000">
        <w:rPr>
          <w:rFonts w:ascii="Open Sans" w:cs="Open Sans" w:eastAsia="Open Sans" w:hAnsi="Open Sans"/>
          <w:sz w:val="22"/>
          <w:szCs w:val="22"/>
          <w:rtl w:val="0"/>
        </w:rPr>
        <w:t xml:space="preserve">, de los ciudadanos que interactúan con el mercado de la compraventa, un 81% quiere comprar frente al 12% que vende. Esta situación tensiona los precios, los empuja al alza y probablemente </w:t>
      </w:r>
      <w:r w:rsidDel="00000000" w:rsidR="00000000" w:rsidRPr="00000000">
        <w:rPr>
          <w:rFonts w:ascii="Open Sans" w:cs="Open Sans" w:eastAsia="Open Sans" w:hAnsi="Open Sans"/>
          <w:b w:val="1"/>
          <w:sz w:val="22"/>
          <w:szCs w:val="22"/>
          <w:rtl w:val="0"/>
        </w:rPr>
        <w:t xml:space="preserve">este encarecimiento se acentuará en durante 2025, sobre todo, en las zonas donde la presión de la demanda es mayor</w:t>
      </w:r>
      <w:r w:rsidDel="00000000" w:rsidR="00000000" w:rsidRPr="00000000">
        <w:rPr>
          <w:rFonts w:ascii="Open Sans" w:cs="Open Sans" w:eastAsia="Open Sans" w:hAnsi="Open Sans"/>
          <w:sz w:val="22"/>
          <w:szCs w:val="22"/>
          <w:rtl w:val="0"/>
        </w:rPr>
        <w:t xml:space="preserve">, como las grandes capitales y zonas costeras que tienen una gran capacidad de atracción, ejerciendo de polos de atracción de movimientos migratorios y de compradores extranjeros”, apunta </w:t>
      </w:r>
      <w:r w:rsidDel="00000000" w:rsidR="00000000" w:rsidRPr="00000000">
        <w:rPr>
          <w:rFonts w:ascii="Open Sans" w:cs="Open Sans" w:eastAsia="Open Sans" w:hAnsi="Open Sans"/>
          <w:b w:val="1"/>
          <w:sz w:val="22"/>
          <w:szCs w:val="22"/>
          <w:rtl w:val="0"/>
        </w:rPr>
        <w:t xml:space="preserve">María Matos</w:t>
      </w:r>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b w:val="1"/>
          <w:sz w:val="22"/>
          <w:szCs w:val="22"/>
          <w:rtl w:val="0"/>
        </w:rPr>
        <w:t xml:space="preserve">portavoz de </w:t>
      </w:r>
      <w:hyperlink r:id="rId10">
        <w:r w:rsidDel="00000000" w:rsidR="00000000" w:rsidRPr="00000000">
          <w:rPr>
            <w:rFonts w:ascii="Open Sans" w:cs="Open Sans" w:eastAsia="Open Sans" w:hAnsi="Open Sans"/>
            <w:b w:val="1"/>
            <w:color w:val="1155cc"/>
            <w:sz w:val="22"/>
            <w:szCs w:val="22"/>
            <w:u w:val="single"/>
            <w:rtl w:val="0"/>
          </w:rPr>
          <w:t xml:space="preserve">Fotocasa</w:t>
        </w:r>
      </w:hyperlink>
      <w:r w:rsidDel="00000000" w:rsidR="00000000" w:rsidRPr="00000000">
        <w:rPr>
          <w:rFonts w:ascii="Open Sans" w:cs="Open Sans" w:eastAsia="Open Sans" w:hAnsi="Open Sans"/>
          <w:sz w:val="22"/>
          <w:szCs w:val="22"/>
          <w:rtl w:val="0"/>
        </w:rPr>
        <w:t xml:space="preserv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ffffff" w:val="clear"/>
        <w:spacing w:after="280" w:before="280"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w:t>
      </w:r>
      <w:r w:rsidDel="00000000" w:rsidR="00000000" w:rsidRPr="00000000">
        <w:rPr>
          <w:rFonts w:ascii="Open Sans" w:cs="Open Sans" w:eastAsia="Open Sans" w:hAnsi="Open Sans"/>
          <w:b w:val="1"/>
          <w:sz w:val="22"/>
          <w:szCs w:val="22"/>
          <w:rtl w:val="0"/>
        </w:rPr>
        <w:t xml:space="preserve">El problema radica en la limitada oferta de viviendas disponibles. En las zonas de mayor demanda, la capacidad habitacional de España está bajo presión</w:t>
      </w:r>
      <w:r w:rsidDel="00000000" w:rsidR="00000000" w:rsidRPr="00000000">
        <w:rPr>
          <w:rFonts w:ascii="Open Sans" w:cs="Open Sans" w:eastAsia="Open Sans" w:hAnsi="Open Sans"/>
          <w:sz w:val="22"/>
          <w:szCs w:val="22"/>
          <w:rtl w:val="0"/>
        </w:rPr>
        <w:t xml:space="preserve">. Se estima que cada año se necesitan alrededor de 240.000 viviendas para satisfacer la creación de nuevos hogares, pero el sector inmobiliario solo produce unas 100.000 unidades nuevas. Esta brecha entre la oferta y la demanda sigue aumentando, y actualmente la oferta limitada no es capaz de cubrir la elevada demanda, lo que está generando una fuerte tensión en los precios. Además, del lado de la oferta, se observa cómo el volumen de viviendas disponibles va menguando año tras año. Hay que tener en cuenta que el mercado ha atravesado cuatro años consecutivos de </w:t>
      </w:r>
      <w:r w:rsidDel="00000000" w:rsidR="00000000" w:rsidRPr="00000000">
        <w:rPr>
          <w:rFonts w:ascii="Open Sans" w:cs="Open Sans" w:eastAsia="Open Sans" w:hAnsi="Open Sans"/>
          <w:i w:val="1"/>
          <w:sz w:val="22"/>
          <w:szCs w:val="22"/>
          <w:rtl w:val="0"/>
        </w:rPr>
        <w:t xml:space="preserve">boom</w:t>
      </w:r>
      <w:r w:rsidDel="00000000" w:rsidR="00000000" w:rsidRPr="00000000">
        <w:rPr>
          <w:rFonts w:ascii="Open Sans" w:cs="Open Sans" w:eastAsia="Open Sans" w:hAnsi="Open Sans"/>
          <w:sz w:val="22"/>
          <w:szCs w:val="22"/>
          <w:rtl w:val="0"/>
        </w:rPr>
        <w:t xml:space="preserve"> de compraventas y que por lo tanto el número de viviendas a la venta no crece al mismo ritmo que la demanda. Esto refuerza las tensiones entre oferta y demanda, lo que dificulta una estabilización del precio”, añade la directora de Estudios.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spacing w:after="225" w:line="276" w:lineRule="auto"/>
        <w:jc w:val="both"/>
        <w:rPr>
          <w:rFonts w:ascii="Open Sans" w:cs="Open Sans" w:eastAsia="Open Sans" w:hAnsi="Open Sans"/>
          <w:b w:val="1"/>
          <w:color w:val="303ab2"/>
          <w:sz w:val="28"/>
          <w:szCs w:val="28"/>
        </w:rPr>
      </w:pPr>
      <w:r w:rsidDel="00000000" w:rsidR="00000000" w:rsidRPr="00000000">
        <w:rPr>
          <w:rFonts w:ascii="Open Sans" w:cs="Open Sans" w:eastAsia="Open Sans" w:hAnsi="Open Sans"/>
          <w:b w:val="1"/>
          <w:color w:val="303ab2"/>
          <w:sz w:val="28"/>
          <w:szCs w:val="28"/>
          <w:rtl w:val="0"/>
        </w:rPr>
        <w:t xml:space="preserve">La obra nueva supera el 10% de subida interanual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spacing w:after="280" w:before="280" w:line="276" w:lineRule="auto"/>
        <w:jc w:val="both"/>
        <w:rPr>
          <w:rFonts w:ascii="Open Sans" w:cs="Open Sans" w:eastAsia="Open Sans" w:hAnsi="Open Sans"/>
          <w:b w:val="1"/>
          <w:sz w:val="22"/>
          <w:szCs w:val="22"/>
        </w:rPr>
      </w:pPr>
      <w:r w:rsidDel="00000000" w:rsidR="00000000" w:rsidRPr="00000000">
        <w:rPr>
          <w:rFonts w:ascii="Open Sans" w:cs="Open Sans" w:eastAsia="Open Sans" w:hAnsi="Open Sans"/>
          <w:sz w:val="22"/>
          <w:szCs w:val="22"/>
          <w:highlight w:val="white"/>
          <w:rtl w:val="0"/>
        </w:rPr>
        <w:t xml:space="preserve">En la</w:t>
      </w:r>
      <w:r w:rsidDel="00000000" w:rsidR="00000000" w:rsidRPr="00000000">
        <w:rPr>
          <w:rFonts w:ascii="Open Sans" w:cs="Open Sans" w:eastAsia="Open Sans" w:hAnsi="Open Sans"/>
          <w:color w:val="000000"/>
          <w:sz w:val="22"/>
          <w:szCs w:val="22"/>
          <w:rtl w:val="0"/>
        </w:rPr>
        <w:t xml:space="preserve"> vivienda de obra nueva, el incremento del precio </w:t>
      </w:r>
      <w:r w:rsidDel="00000000" w:rsidR="00000000" w:rsidRPr="00000000">
        <w:rPr>
          <w:rFonts w:ascii="Open Sans" w:cs="Open Sans" w:eastAsia="Open Sans" w:hAnsi="Open Sans"/>
          <w:sz w:val="22"/>
          <w:szCs w:val="22"/>
          <w:rtl w:val="0"/>
        </w:rPr>
        <w:t xml:space="preserve">también es muy abultado. El segundo trimestre inicia una estela al alza con una subida del </w:t>
      </w:r>
      <w:r w:rsidDel="00000000" w:rsidR="00000000" w:rsidRPr="00000000">
        <w:rPr>
          <w:rFonts w:ascii="Open Sans" w:cs="Open Sans" w:eastAsia="Open Sans" w:hAnsi="Open Sans"/>
          <w:b w:val="1"/>
          <w:sz w:val="22"/>
          <w:szCs w:val="22"/>
          <w:rtl w:val="0"/>
        </w:rPr>
        <w:t xml:space="preserve">12,1%</w:t>
      </w:r>
      <w:r w:rsidDel="00000000" w:rsidR="00000000" w:rsidRPr="00000000">
        <w:rPr>
          <w:rFonts w:ascii="Open Sans" w:cs="Open Sans" w:eastAsia="Open Sans" w:hAnsi="Open Sans"/>
          <w:sz w:val="22"/>
          <w:szCs w:val="22"/>
          <w:rtl w:val="0"/>
        </w:rPr>
        <w:t xml:space="preserve"> a nivel interanual. “Esta tendencia de fuertes incrementos en el precio de la obra nueva se mantendrá en el largo plazo debido a que esta tipología de vivienda a estrenar está viviendo un auge sin precedentes. Se puede afirmar que </w:t>
      </w:r>
      <w:r w:rsidDel="00000000" w:rsidR="00000000" w:rsidRPr="00000000">
        <w:rPr>
          <w:rFonts w:ascii="Open Sans" w:cs="Open Sans" w:eastAsia="Open Sans" w:hAnsi="Open Sans"/>
          <w:b w:val="1"/>
          <w:sz w:val="22"/>
          <w:szCs w:val="22"/>
          <w:rtl w:val="0"/>
        </w:rPr>
        <w:t xml:space="preserve">la vivienda de nueva construcción no va a sufrir moderaciones en su coste, ya que los obstáculos que rodean esta tipología parece que tienen un largo recorrido</w:t>
      </w:r>
      <w:r w:rsidDel="00000000" w:rsidR="00000000" w:rsidRPr="00000000">
        <w:rPr>
          <w:rFonts w:ascii="Open Sans" w:cs="Open Sans" w:eastAsia="Open Sans" w:hAnsi="Open Sans"/>
          <w:sz w:val="22"/>
          <w:szCs w:val="22"/>
          <w:rtl w:val="0"/>
        </w:rPr>
        <w:t xml:space="preserve">. No solo por la inflación, que afecta al aumento del coste de los materiales, a la producción y logística, sino por los escasos niveles productivos de la obra nueva. Las dificultades de los promotores y constructores para comprar </w:t>
      </w:r>
      <w:r w:rsidDel="00000000" w:rsidR="00000000" w:rsidRPr="00000000">
        <w:rPr>
          <w:rFonts w:ascii="Open Sans" w:cs="Open Sans" w:eastAsia="Open Sans" w:hAnsi="Open Sans"/>
          <w:b w:val="1"/>
          <w:sz w:val="22"/>
          <w:szCs w:val="22"/>
          <w:rtl w:val="0"/>
        </w:rPr>
        <w:t xml:space="preserve">suelo finalista, la excesiva burocracia que rodea los trámites y la falta de mano de obra cualificada </w:t>
      </w:r>
      <w:r w:rsidDel="00000000" w:rsidR="00000000" w:rsidRPr="00000000">
        <w:rPr>
          <w:rFonts w:ascii="Open Sans" w:cs="Open Sans" w:eastAsia="Open Sans" w:hAnsi="Open Sans"/>
          <w:sz w:val="22"/>
          <w:szCs w:val="22"/>
          <w:rtl w:val="0"/>
        </w:rPr>
        <w:t xml:space="preserve">en el sector está causando que el stock esté bajo mínimos. Esta situación provoca un déficit de producción de obra nueva que el sector lleva arrastrando desde hace más de una década”, </w:t>
      </w:r>
      <w:r w:rsidDel="00000000" w:rsidR="00000000" w:rsidRPr="00000000">
        <w:rPr>
          <w:rFonts w:ascii="Open Sans" w:cs="Open Sans" w:eastAsia="Open Sans" w:hAnsi="Open Sans"/>
          <w:b w:val="1"/>
          <w:sz w:val="22"/>
          <w:szCs w:val="22"/>
          <w:rtl w:val="0"/>
        </w:rPr>
        <w:t xml:space="preserve">explica María Matos.</w:t>
      </w:r>
    </w:p>
    <w:p w:rsidR="00000000" w:rsidDel="00000000" w:rsidP="00000000" w:rsidRDefault="00000000" w:rsidRPr="00000000" w14:paraId="0000000C">
      <w:pPr>
        <w:shd w:fill="ffffff" w:val="clear"/>
        <w:spacing w:after="225" w:line="276" w:lineRule="auto"/>
        <w:jc w:val="both"/>
        <w:rPr>
          <w:rFonts w:ascii="Open Sans" w:cs="Open Sans" w:eastAsia="Open Sans" w:hAnsi="Open Sans"/>
          <w:sz w:val="22"/>
          <w:szCs w:val="22"/>
        </w:rPr>
      </w:pPr>
      <w:r w:rsidDel="00000000" w:rsidR="00000000" w:rsidRPr="00000000">
        <w:rPr>
          <w:rFonts w:ascii="Open Sans" w:cs="Open Sans" w:eastAsia="Open Sans" w:hAnsi="Open Sans"/>
          <w:b w:val="1"/>
          <w:color w:val="303ab2"/>
          <w:sz w:val="28"/>
          <w:szCs w:val="28"/>
          <w:rtl w:val="0"/>
        </w:rPr>
        <w:t xml:space="preserve">Pronóstico de evolución del precio en 2025</w:t>
      </w:r>
      <w:r w:rsidDel="00000000" w:rsidR="00000000" w:rsidRPr="00000000">
        <w:rPr>
          <w:rtl w:val="0"/>
        </w:rPr>
      </w:r>
    </w:p>
    <w:p w:rsidR="00000000" w:rsidDel="00000000" w:rsidP="00000000" w:rsidRDefault="00000000" w:rsidRPr="00000000" w14:paraId="0000000D">
      <w:pPr>
        <w:shd w:fill="ffffff" w:val="clear"/>
        <w:spacing w:after="280" w:before="280"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“La mejora de las condiciones de financiación está teniendo un impacto directo y visible en el mercado inmobiliario. Según datos de </w:t>
      </w:r>
      <w:hyperlink r:id="rId11">
        <w:r w:rsidDel="00000000" w:rsidR="00000000" w:rsidRPr="00000000">
          <w:rPr>
            <w:rFonts w:ascii="Open Sans" w:cs="Open Sans" w:eastAsia="Open Sans" w:hAnsi="Open Sans"/>
            <w:b w:val="1"/>
            <w:color w:val="1155cc"/>
            <w:sz w:val="22"/>
            <w:szCs w:val="22"/>
            <w:u w:val="single"/>
            <w:rtl w:val="0"/>
          </w:rPr>
          <w:t xml:space="preserve">Fotocasa Research</w:t>
        </w:r>
      </w:hyperlink>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b w:val="1"/>
          <w:sz w:val="22"/>
          <w:szCs w:val="22"/>
          <w:rtl w:val="0"/>
        </w:rPr>
        <w:t xml:space="preserve">el 21% de la demanda actual ha vuelto al mercado motivada específicamente por este abaratamiento de las hipotecas</w:t>
      </w:r>
      <w:r w:rsidDel="00000000" w:rsidR="00000000" w:rsidRPr="00000000">
        <w:rPr>
          <w:rFonts w:ascii="Open Sans" w:cs="Open Sans" w:eastAsia="Open Sans" w:hAnsi="Open Sans"/>
          <w:sz w:val="22"/>
          <w:szCs w:val="22"/>
          <w:rtl w:val="0"/>
        </w:rPr>
        <w:t xml:space="preserve">. De hecho, un 7% de los compradores ya ha adquirido vivienda y un 14% adicional está reconsiderando activamente la compra. Este fenómeno, sumado al efecto de políticas incentivadoras como los avales ICO y a la vivienda como valor refugio en un contexto geopolítico inestable, está sobredimensionando la demanda y ejerciendo una presión creciente sobre una oferta muy limitada. Con este escenario, la previsión es clara: </w:t>
      </w:r>
      <w:r w:rsidDel="00000000" w:rsidR="00000000" w:rsidRPr="00000000">
        <w:rPr>
          <w:rFonts w:ascii="Open Sans" w:cs="Open Sans" w:eastAsia="Open Sans" w:hAnsi="Open Sans"/>
          <w:b w:val="1"/>
          <w:sz w:val="22"/>
          <w:szCs w:val="22"/>
          <w:rtl w:val="0"/>
        </w:rPr>
        <w:t xml:space="preserve">los precios de la vivienda seguirán escalando a lo largo de 2025, con aumentos más intensos en las grandes capitales y zonas costeras</w:t>
      </w:r>
      <w:r w:rsidDel="00000000" w:rsidR="00000000" w:rsidRPr="00000000">
        <w:rPr>
          <w:rFonts w:ascii="Open Sans" w:cs="Open Sans" w:eastAsia="Open Sans" w:hAnsi="Open Sans"/>
          <w:sz w:val="22"/>
          <w:szCs w:val="22"/>
          <w:rtl w:val="0"/>
        </w:rPr>
        <w:t xml:space="preserve">, donde la tensión entre oferta y demanda es más acusada”, apunta la portavoz.</w:t>
      </w:r>
    </w:p>
    <w:p w:rsidR="00000000" w:rsidDel="00000000" w:rsidP="00000000" w:rsidRDefault="00000000" w:rsidRPr="00000000" w14:paraId="0000000E">
      <w:pPr>
        <w:shd w:fill="ffffff" w:val="clear"/>
        <w:spacing w:after="280" w:before="280" w:line="276"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F">
      <w:pPr>
        <w:shd w:fill="ffffff" w:val="clear"/>
        <w:spacing w:after="280" w:before="280" w:line="276" w:lineRule="auto"/>
        <w:jc w:val="both"/>
        <w:rPr>
          <w:rFonts w:ascii="Open Sans" w:cs="Open Sans" w:eastAsia="Open Sans" w:hAnsi="Open Sans"/>
          <w:b w:val="1"/>
          <w:sz w:val="22"/>
          <w:szCs w:val="22"/>
        </w:rPr>
      </w:pPr>
      <w:r w:rsidDel="00000000" w:rsidR="00000000" w:rsidRPr="00000000">
        <w:rPr>
          <w:rFonts w:ascii="Open Sans" w:cs="Open Sans" w:eastAsia="Open Sans" w:hAnsi="Open Sans"/>
          <w:sz w:val="22"/>
          <w:szCs w:val="22"/>
          <w:rtl w:val="0"/>
        </w:rPr>
        <w:t xml:space="preserve">“Ahora bien, esta mayor accesibilidad hipotecaria no garantiza una mejora real en la capacidad de compra de los ciudadanos. </w:t>
      </w:r>
      <w:r w:rsidDel="00000000" w:rsidR="00000000" w:rsidRPr="00000000">
        <w:rPr>
          <w:rFonts w:ascii="Open Sans" w:cs="Open Sans" w:eastAsia="Open Sans" w:hAnsi="Open Sans"/>
          <w:b w:val="1"/>
          <w:sz w:val="22"/>
          <w:szCs w:val="22"/>
          <w:rtl w:val="0"/>
        </w:rPr>
        <w:t xml:space="preserve">El encarecimiento de la vivienda, que ya supera el 10% interanual, neutraliza en gran medida el efecto de unas hipotecas más baratas</w:t>
      </w:r>
      <w:r w:rsidDel="00000000" w:rsidR="00000000" w:rsidRPr="00000000">
        <w:rPr>
          <w:rFonts w:ascii="Open Sans" w:cs="Open Sans" w:eastAsia="Open Sans" w:hAnsi="Open Sans"/>
          <w:sz w:val="22"/>
          <w:szCs w:val="22"/>
          <w:rtl w:val="0"/>
        </w:rPr>
        <w:t xml:space="preserve">. La combinación de alta demanda y escasez de producto disponible mantendrá la presión en máximos, dejando fuera del mercado a una parte importante de la demanda insatisfecha. Por tanto, </w:t>
      </w:r>
      <w:r w:rsidDel="00000000" w:rsidR="00000000" w:rsidRPr="00000000">
        <w:rPr>
          <w:rFonts w:ascii="Open Sans" w:cs="Open Sans" w:eastAsia="Open Sans" w:hAnsi="Open Sans"/>
          <w:b w:val="1"/>
          <w:sz w:val="22"/>
          <w:szCs w:val="22"/>
          <w:rtl w:val="0"/>
        </w:rPr>
        <w:t xml:space="preserve">aunque el contexto financiero mejora, encontrar la vivienda ideal seguirá siendo un reto creciente</w:t>
      </w:r>
      <w:r w:rsidDel="00000000" w:rsidR="00000000" w:rsidRPr="00000000">
        <w:rPr>
          <w:rFonts w:ascii="Open Sans" w:cs="Open Sans" w:eastAsia="Open Sans" w:hAnsi="Open Sans"/>
          <w:sz w:val="22"/>
          <w:szCs w:val="22"/>
          <w:rtl w:val="0"/>
        </w:rPr>
        <w:t xml:space="preserve"> en los próximos meses y no se prevé una moderación en el corto plazo”,</w:t>
      </w:r>
      <w:r w:rsidDel="00000000" w:rsidR="00000000" w:rsidRPr="00000000">
        <w:rPr>
          <w:rFonts w:ascii="Open Sans" w:cs="Open Sans" w:eastAsia="Open Sans" w:hAnsi="Open Sans"/>
          <w:b w:val="1"/>
          <w:sz w:val="22"/>
          <w:szCs w:val="22"/>
          <w:rtl w:val="0"/>
        </w:rPr>
        <w:t xml:space="preserve"> concluye la directora de Estudios.</w:t>
      </w:r>
    </w:p>
    <w:p w:rsidR="00000000" w:rsidDel="00000000" w:rsidP="00000000" w:rsidRDefault="00000000" w:rsidRPr="00000000" w14:paraId="00000010">
      <w:pPr>
        <w:shd w:fill="ffffff" w:val="clear"/>
        <w:spacing w:after="280" w:before="280" w:line="276" w:lineRule="auto"/>
        <w:jc w:val="both"/>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11">
      <w:pPr>
        <w:spacing w:line="276" w:lineRule="auto"/>
        <w:ind w:right="-142"/>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Departamento Comunicación Fotocasa</w:t>
      </w:r>
    </w:p>
    <w:p w:rsidR="00000000" w:rsidDel="00000000" w:rsidP="00000000" w:rsidRDefault="00000000" w:rsidRPr="00000000" w14:paraId="00000012">
      <w:pPr>
        <w:spacing w:line="276" w:lineRule="auto"/>
        <w:ind w:right="-142"/>
        <w:rPr>
          <w:rFonts w:ascii="Open Sans Light" w:cs="Open Sans Light" w:eastAsia="Open Sans Light" w:hAnsi="Open Sans Light"/>
          <w:b w:val="1"/>
          <w:color w:val="303ab2"/>
          <w:sz w:val="32"/>
          <w:szCs w:val="32"/>
        </w:rPr>
      </w:pPr>
      <w:r w:rsidDel="00000000" w:rsidR="00000000" w:rsidRPr="00000000">
        <w:rPr>
          <w:rFonts w:ascii="Open Sans" w:cs="Open Sans" w:eastAsia="Open Sans" w:hAnsi="Open Sans"/>
          <w:b w:val="1"/>
          <w:rtl w:val="0"/>
        </w:rPr>
        <w:t xml:space="preserve">Anaïs López </w:t>
      </w:r>
      <w:r w:rsidDel="00000000" w:rsidR="00000000" w:rsidRPr="00000000">
        <w:rPr>
          <w:rtl w:val="0"/>
        </w:rPr>
      </w:r>
    </w:p>
    <w:p w:rsidR="00000000" w:rsidDel="00000000" w:rsidP="00000000" w:rsidRDefault="00000000" w:rsidRPr="00000000" w14:paraId="00000013">
      <w:pPr>
        <w:shd w:fill="ffffff" w:val="clear"/>
        <w:spacing w:line="276" w:lineRule="auto"/>
        <w:ind w:right="-142"/>
        <w:rPr>
          <w:rFonts w:ascii="Open Sans" w:cs="Open Sans" w:eastAsia="Open Sans" w:hAnsi="Open Sans"/>
          <w:color w:val="0000ff"/>
          <w:u w:val="single"/>
        </w:rPr>
      </w:pPr>
      <w:hyperlink r:id="rId12">
        <w:r w:rsidDel="00000000" w:rsidR="00000000" w:rsidRPr="00000000">
          <w:rPr>
            <w:rFonts w:ascii="Open Sans" w:cs="Open Sans" w:eastAsia="Open Sans" w:hAnsi="Open Sans"/>
            <w:color w:val="0000ff"/>
            <w:u w:val="single"/>
            <w:rtl w:val="0"/>
          </w:rPr>
          <w:t xml:space="preserve">comunicacion@fotocasa.es</w:t>
        </w:r>
      </w:hyperlink>
      <w:r w:rsidDel="00000000" w:rsidR="00000000" w:rsidRPr="00000000">
        <w:rPr>
          <w:rtl w:val="0"/>
        </w:rPr>
      </w:r>
    </w:p>
    <w:p w:rsidR="00000000" w:rsidDel="00000000" w:rsidP="00000000" w:rsidRDefault="00000000" w:rsidRPr="00000000" w14:paraId="00000014">
      <w:pPr>
        <w:shd w:fill="ffffff" w:val="clear"/>
        <w:spacing w:line="276" w:lineRule="auto"/>
        <w:ind w:right="-142"/>
        <w:rPr>
          <w:rFonts w:ascii="Open Sans" w:cs="Open Sans" w:eastAsia="Open Sans" w:hAnsi="Open Sans"/>
        </w:rPr>
      </w:pPr>
      <w:r w:rsidDel="00000000" w:rsidR="00000000" w:rsidRPr="00000000">
        <w:rPr>
          <w:rFonts w:ascii="Open Sans" w:cs="Open Sans" w:eastAsia="Open Sans" w:hAnsi="Open Sans"/>
          <w:rtl w:val="0"/>
        </w:rPr>
        <w:t xml:space="preserve">620 66 29 26</w:t>
      </w:r>
    </w:p>
    <w:p w:rsidR="00000000" w:rsidDel="00000000" w:rsidP="00000000" w:rsidRDefault="00000000" w:rsidRPr="00000000" w14:paraId="00000015">
      <w:pPr>
        <w:shd w:fill="ffffff" w:val="clear"/>
        <w:ind w:right="-142"/>
        <w:rPr>
          <w:rFonts w:ascii="Open Sans" w:cs="Open Sans" w:eastAsia="Open Sans" w:hAnsi="Open Sans"/>
          <w:color w:val="000000"/>
          <w:sz w:val="21"/>
          <w:szCs w:val="21"/>
        </w:rPr>
      </w:pPr>
      <w:r w:rsidDel="00000000" w:rsidR="00000000" w:rsidRPr="00000000">
        <w:rPr>
          <w:rtl w:val="0"/>
        </w:rPr>
      </w:r>
    </w:p>
    <w:sectPr>
      <w:headerReference r:id="rId13" w:type="default"/>
      <w:footerReference r:id="rId14" w:type="default"/>
      <w:pgSz w:h="16840" w:w="1190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ational"/>
  <w:font w:name="Open Sans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-1080127</wp:posOffset>
          </wp:positionH>
          <wp:positionV relativeFrom="paragraph">
            <wp:posOffset>228600</wp:posOffset>
          </wp:positionV>
          <wp:extent cx="7670550" cy="451315"/>
          <wp:effectExtent b="0" l="0" r="0" t="0"/>
          <wp:wrapSquare wrapText="bothSides" distB="0" distT="0" distL="0" distR="0"/>
          <wp:docPr id="4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70550" cy="45131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-1080132</wp:posOffset>
          </wp:positionH>
          <wp:positionV relativeFrom="paragraph">
            <wp:posOffset>-215263</wp:posOffset>
          </wp:positionV>
          <wp:extent cx="7711147" cy="1037167"/>
          <wp:effectExtent b="0" l="0" r="0" t="0"/>
          <wp:wrapSquare wrapText="bothSides" distB="0" distT="0" distL="0" distR="0"/>
          <wp:docPr descr="Patrón de fondo&#10;&#10;El contenido generado por IA puede ser incorrecto." id="45" name="image1.png"/>
          <a:graphic>
            <a:graphicData uri="http://schemas.openxmlformats.org/drawingml/2006/picture">
              <pic:pic>
                <pic:nvPicPr>
                  <pic:cNvPr descr="Patrón de fondo&#10;&#10;El contenido generado por IA puede ser incorrecto." id="0" name="image1.png"/>
                  <pic:cNvPicPr preferRelativeResize="0"/>
                </pic:nvPicPr>
                <pic:blipFill>
                  <a:blip r:embed="rId1"/>
                  <a:srcRect b="0" l="0" r="0" t="0"/>
                  <a:stretch>
                    <a:fillRect/>
                  </a:stretch>
                </pic:blipFill>
                <pic:spPr>
                  <a:xfrm>
                    <a:off x="0" y="0"/>
                    <a:ext cx="7711147" cy="1037167"/>
                  </a:xfrm>
                  <a:prstGeom prst="rect"/>
                  <a:ln/>
                </pic:spPr>
              </pic:pic>
            </a:graphicData>
          </a:graphic>
        </wp:anchor>
      </w:drawing>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table" w:styleId="TableNormalf" w:customStyle="1">
    <w:name w:val="Table Normal"/>
    <w:tblPr>
      <w:tblCellMar>
        <w:top w:w="0.0" w:type="dxa"/>
        <w:left w:w="0.0" w:type="dxa"/>
        <w:bottom w:w="0.0" w:type="dxa"/>
        <w:right w:w="0.0" w:type="dxa"/>
      </w:tblCellMar>
    </w:tblPr>
  </w:style>
  <w:style w:type="table" w:styleId="TableNormalf0" w:customStyle="1">
    <w:name w:val="Table Normal"/>
    <w:tblPr>
      <w:tblCellMar>
        <w:top w:w="0.0" w:type="dxa"/>
        <w:left w:w="0.0" w:type="dxa"/>
        <w:bottom w:w="0.0" w:type="dxa"/>
        <w:right w:w="0.0" w:type="dxa"/>
      </w:tblCellMar>
    </w:tblPr>
  </w:style>
  <w:style w:type="table" w:styleId="TableNormalf1" w:customStyle="1">
    <w:name w:val="Table Normal"/>
    <w:tblPr>
      <w:tblCellMar>
        <w:top w:w="0.0" w:type="dxa"/>
        <w:left w:w="0.0" w:type="dxa"/>
        <w:bottom w:w="0.0" w:type="dxa"/>
        <w:right w:w="0.0" w:type="dxa"/>
      </w:tblCellMar>
    </w:tblPr>
  </w:style>
  <w:style w:type="paragraph" w:styleId="NormalWeb">
    <w:name w:val="Normal (Web)"/>
    <w:basedOn w:val="Normal"/>
    <w:uiPriority w:val="99"/>
    <w:unhideWhenUsed w:val="1"/>
    <w:rsid w:val="00A84CA7"/>
    <w:pPr>
      <w:spacing w:after="100" w:afterAutospacing="1" w:before="100" w:beforeAutospacing="1"/>
    </w:pPr>
    <w:rPr>
      <w:rFonts w:ascii="Times New Roman" w:cs="Times New Roman" w:eastAsia="Times New Roman" w:hAnsi="Times New Roman"/>
      <w:lang w:eastAsia="es-ES_tradnl"/>
    </w:rPr>
  </w:style>
  <w:style w:type="paragraph" w:styleId="Encabezado">
    <w:name w:val="header"/>
    <w:basedOn w:val="Normal"/>
    <w:link w:val="EncabezadoCar"/>
    <w:uiPriority w:val="99"/>
    <w:unhideWhenUsed w:val="1"/>
    <w:rsid w:val="0076270B"/>
    <w:pPr>
      <w:tabs>
        <w:tab w:val="center" w:pos="4252"/>
        <w:tab w:val="right" w:pos="8504"/>
      </w:tabs>
    </w:pPr>
  </w:style>
  <w:style w:type="character" w:styleId="EncabezadoCar" w:customStyle="1">
    <w:name w:val="Encabezado Car"/>
    <w:basedOn w:val="Fuentedeprrafopredeter"/>
    <w:link w:val="Encabezado"/>
    <w:uiPriority w:val="99"/>
    <w:rsid w:val="0076270B"/>
  </w:style>
  <w:style w:type="paragraph" w:styleId="Piedepgina">
    <w:name w:val="footer"/>
    <w:basedOn w:val="Normal"/>
    <w:link w:val="PiedepginaCar"/>
    <w:uiPriority w:val="99"/>
    <w:unhideWhenUsed w:val="1"/>
    <w:rsid w:val="0076270B"/>
    <w:pPr>
      <w:tabs>
        <w:tab w:val="center" w:pos="4252"/>
        <w:tab w:val="right" w:pos="8504"/>
      </w:tabs>
    </w:pPr>
  </w:style>
  <w:style w:type="character" w:styleId="PiedepginaCar" w:customStyle="1">
    <w:name w:val="Pie de página Car"/>
    <w:basedOn w:val="Fuentedeprrafopredeter"/>
    <w:link w:val="Piedepgina"/>
    <w:uiPriority w:val="99"/>
    <w:rsid w:val="0076270B"/>
  </w:style>
  <w:style w:type="character" w:styleId="Hipervnculo">
    <w:name w:val="Hyperlink"/>
    <w:basedOn w:val="Fuentedeprrafopredeter"/>
    <w:uiPriority w:val="99"/>
    <w:unhideWhenUsed w:val="1"/>
    <w:rsid w:val="008C4B0B"/>
    <w:rPr>
      <w:color w:val="0563c1" w:themeColor="hyperlink"/>
      <w:u w:val="single"/>
    </w:rPr>
  </w:style>
  <w:style w:type="character" w:styleId="Mencinsinresolver">
    <w:name w:val="Unresolved Mention"/>
    <w:basedOn w:val="Fuentedeprrafopredeter"/>
    <w:uiPriority w:val="99"/>
    <w:semiHidden w:val="1"/>
    <w:unhideWhenUsed w:val="1"/>
    <w:rsid w:val="001B3E98"/>
    <w:rPr>
      <w:color w:val="605e5c"/>
      <w:shd w:color="auto" w:fill="e1dfdd" w:val="clear"/>
    </w:rPr>
  </w:style>
  <w:style w:type="paragraph" w:styleId="Textocomentario">
    <w:name w:val="annotation text"/>
    <w:basedOn w:val="Normal"/>
    <w:link w:val="TextocomentarioCar"/>
    <w:uiPriority w:val="99"/>
    <w:semiHidden w:val="1"/>
    <w:unhideWhenUsed w:val="1"/>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research.fotocasa.es/" TargetMode="External"/><Relationship Id="rId10" Type="http://schemas.openxmlformats.org/officeDocument/2006/relationships/hyperlink" Target="https://www.fotocasa.es" TargetMode="External"/><Relationship Id="rId13" Type="http://schemas.openxmlformats.org/officeDocument/2006/relationships/header" Target="header1.xml"/><Relationship Id="rId12" Type="http://schemas.openxmlformats.org/officeDocument/2006/relationships/hyperlink" Target="mailto:comunicacion@fotocasa.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esearch.fotocasa.es/"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otocasa.es/es/" TargetMode="External"/><Relationship Id="rId8" Type="http://schemas.openxmlformats.org/officeDocument/2006/relationships/hyperlink" Target="https://research.fotocasa.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Light-regular.ttf"/><Relationship Id="rId2" Type="http://schemas.openxmlformats.org/officeDocument/2006/relationships/font" Target="fonts/OpenSansLight-bold.ttf"/><Relationship Id="rId3" Type="http://schemas.openxmlformats.org/officeDocument/2006/relationships/font" Target="fonts/OpenSansLight-italic.ttf"/><Relationship Id="rId4" Type="http://schemas.openxmlformats.org/officeDocument/2006/relationships/font" Target="fonts/OpenSansLigh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bbhOKoyyDmO5FFaw+M4tztjN3w==">CgMxLjAyCGguZ2pkZ3hzOAByITEzeXdydG9oM1paMThKMXZ1dktFUGxPWE5idHFCNGxQYw==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2018-08-31T08:21:00Z</dcterms:created>
  <dc:creator>Sara Urrea Rodriguez</dc:creator>
</cp:coreProperties>
</file>