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55EB35" w14:textId="77777777" w:rsidR="00D519F1" w:rsidRDefault="00000000">
      <w:r>
        <w:rPr>
          <w:noProof/>
        </w:rPr>
        <w:drawing>
          <wp:anchor distT="0" distB="0" distL="114300" distR="114300" simplePos="0" relativeHeight="251658240" behindDoc="0" locked="0" layoutInCell="1" hidden="0" allowOverlap="1" wp14:anchorId="23A0E9F4" wp14:editId="6F3C05D0">
            <wp:simplePos x="0" y="0"/>
            <wp:positionH relativeFrom="column">
              <wp:posOffset>-1080114</wp:posOffset>
            </wp:positionH>
            <wp:positionV relativeFrom="paragraph">
              <wp:posOffset>-654663</wp:posOffset>
            </wp:positionV>
            <wp:extent cx="7581265" cy="1019175"/>
            <wp:effectExtent l="0" t="0" r="0" b="0"/>
            <wp:wrapNone/>
            <wp:docPr id="20668166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792D00E1" w14:textId="77777777" w:rsidR="00D519F1" w:rsidRDefault="00D519F1">
      <w:pPr>
        <w:jc w:val="right"/>
        <w:rPr>
          <w:rFonts w:ascii="National" w:eastAsia="National" w:hAnsi="National" w:cs="National"/>
          <w:color w:val="303AB2"/>
          <w:sz w:val="36"/>
          <w:szCs w:val="36"/>
        </w:rPr>
      </w:pPr>
    </w:p>
    <w:p w14:paraId="4E87B385" w14:textId="77777777" w:rsidR="00D519F1" w:rsidRDefault="00D519F1">
      <w:pPr>
        <w:jc w:val="center"/>
        <w:rPr>
          <w:rFonts w:ascii="National" w:eastAsia="National" w:hAnsi="National" w:cs="National"/>
          <w:b/>
          <w:color w:val="1DBDC5"/>
          <w:sz w:val="34"/>
          <w:szCs w:val="34"/>
        </w:rPr>
      </w:pPr>
    </w:p>
    <w:p w14:paraId="46FED1DA" w14:textId="77777777" w:rsidR="00D519F1" w:rsidRDefault="00000000">
      <w:pPr>
        <w:jc w:val="center"/>
        <w:rPr>
          <w:rFonts w:ascii="National" w:eastAsia="National" w:hAnsi="National" w:cs="National"/>
          <w:b/>
          <w:color w:val="1DBDC5"/>
          <w:sz w:val="34"/>
          <w:szCs w:val="34"/>
        </w:rPr>
      </w:pPr>
      <w:r>
        <w:rPr>
          <w:rFonts w:ascii="National" w:eastAsia="National" w:hAnsi="National" w:cs="National"/>
          <w:b/>
          <w:color w:val="1DBDC5"/>
          <w:sz w:val="34"/>
          <w:szCs w:val="34"/>
        </w:rPr>
        <w:t>EXPERIENCIA EN ALQUILER EN 2025</w:t>
      </w:r>
    </w:p>
    <w:p w14:paraId="38C57E8C" w14:textId="06E2BE34" w:rsidR="00D519F1" w:rsidRDefault="00000000">
      <w:pPr>
        <w:jc w:val="center"/>
        <w:rPr>
          <w:rFonts w:ascii="National" w:eastAsia="National" w:hAnsi="National" w:cs="National"/>
          <w:b/>
          <w:color w:val="303AB2"/>
          <w:sz w:val="52"/>
          <w:szCs w:val="52"/>
        </w:rPr>
      </w:pPr>
      <w:r>
        <w:rPr>
          <w:rFonts w:ascii="National" w:eastAsia="National" w:hAnsi="National" w:cs="National"/>
          <w:b/>
          <w:color w:val="303AB2"/>
          <w:sz w:val="50"/>
          <w:szCs w:val="50"/>
        </w:rPr>
        <w:t>El 3</w:t>
      </w:r>
      <w:r w:rsidR="002E7616">
        <w:rPr>
          <w:rFonts w:ascii="National" w:eastAsia="National" w:hAnsi="National" w:cs="National"/>
          <w:b/>
          <w:color w:val="303AB2"/>
          <w:sz w:val="50"/>
          <w:szCs w:val="50"/>
        </w:rPr>
        <w:t>5</w:t>
      </w:r>
      <w:r>
        <w:rPr>
          <w:rFonts w:ascii="National" w:eastAsia="National" w:hAnsi="National" w:cs="National"/>
          <w:b/>
          <w:color w:val="303AB2"/>
          <w:sz w:val="50"/>
          <w:szCs w:val="50"/>
        </w:rPr>
        <w:t>% de inquilinos tiene dificultades para afrontar los pagos iniciales del alquiler, dos puntos porcentuales más que hace un año</w:t>
      </w:r>
    </w:p>
    <w:p w14:paraId="0B949F59" w14:textId="77777777" w:rsidR="00D519F1" w:rsidRDefault="00D519F1">
      <w:pPr>
        <w:rPr>
          <w:rFonts w:ascii="Open Sans" w:eastAsia="Open Sans" w:hAnsi="Open Sans" w:cs="Open Sans"/>
          <w:color w:val="303AB2"/>
        </w:rPr>
      </w:pPr>
    </w:p>
    <w:p w14:paraId="5FB1CEAE" w14:textId="77777777" w:rsidR="00D519F1"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El 32% de los inquilinos asegura que ha tenido que recurrir a familiares, amigos o a financiación externa para poder afrontar los pagos iniciales del alquiler</w:t>
      </w:r>
    </w:p>
    <w:p w14:paraId="4352CFA3" w14:textId="77777777" w:rsidR="00D519F1"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Los jóvenes de 18 a 24 años son los que tienen más dificultades con los pagos iniciales</w:t>
      </w:r>
    </w:p>
    <w:p w14:paraId="5AF485AB" w14:textId="77777777" w:rsidR="00D519F1"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Los altos precios y la falta de oferta de vivienda en alquiler son los principales problemas para los inquilinos </w:t>
      </w:r>
    </w:p>
    <w:p w14:paraId="71B8C8B6" w14:textId="77777777" w:rsidR="00D519F1" w:rsidRDefault="00D519F1">
      <w:pPr>
        <w:pBdr>
          <w:top w:val="nil"/>
          <w:left w:val="nil"/>
          <w:bottom w:val="nil"/>
          <w:right w:val="nil"/>
          <w:between w:val="nil"/>
        </w:pBdr>
        <w:spacing w:line="276" w:lineRule="auto"/>
        <w:ind w:left="720" w:right="283"/>
        <w:jc w:val="both"/>
        <w:rPr>
          <w:rFonts w:ascii="Open Sans Light" w:eastAsia="Open Sans Light" w:hAnsi="Open Sans Light" w:cs="Open Sans Light"/>
          <w:b/>
          <w:color w:val="303AB2"/>
        </w:rPr>
      </w:pPr>
    </w:p>
    <w:p w14:paraId="58F8D4EB" w14:textId="1CC2298E" w:rsidR="00D519F1"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Madrid, </w:t>
      </w:r>
      <w:r w:rsidR="001D2C56">
        <w:rPr>
          <w:rFonts w:ascii="Open Sans Light" w:eastAsia="Open Sans Light" w:hAnsi="Open Sans Light" w:cs="Open Sans Light"/>
          <w:b/>
          <w:color w:val="303AB2"/>
        </w:rPr>
        <w:t>03 de septiembre</w:t>
      </w:r>
      <w:r>
        <w:rPr>
          <w:rFonts w:ascii="Open Sans Light" w:eastAsia="Open Sans Light" w:hAnsi="Open Sans Light" w:cs="Open Sans Light"/>
          <w:b/>
          <w:color w:val="303AB2"/>
        </w:rPr>
        <w:t xml:space="preserve"> de 2025</w:t>
      </w:r>
    </w:p>
    <w:p w14:paraId="5D0D1D4D" w14:textId="77777777" w:rsidR="00D519F1" w:rsidRDefault="00D519F1">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5B29FC52" w14:textId="1FA07998" w:rsidR="00D519F1"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Un 35% de los inquilinos que ha alquilado un inmueble en el último año asegura que </w:t>
      </w:r>
      <w:r>
        <w:rPr>
          <w:rFonts w:ascii="Open Sans" w:eastAsia="Open Sans" w:hAnsi="Open Sans" w:cs="Open Sans"/>
          <w:b/>
          <w:sz w:val="22"/>
          <w:szCs w:val="22"/>
        </w:rPr>
        <w:t>el desembolso inicial que hay que hacer para alquilar una vivienda ha sido un problema</w:t>
      </w:r>
      <w:r>
        <w:rPr>
          <w:rFonts w:ascii="Open Sans" w:eastAsia="Open Sans" w:hAnsi="Open Sans" w:cs="Open Sans"/>
          <w:sz w:val="22"/>
          <w:szCs w:val="22"/>
        </w:rPr>
        <w:t xml:space="preserve">. Este porcentaje sube dos puntos respecto al año pasado cuando los inquilinos que tuvieron problemas fueron el 33%. Y cuando se pregunta específicamente por esta cuestión, hay </w:t>
      </w:r>
      <w:r>
        <w:rPr>
          <w:rFonts w:ascii="Open Sans" w:eastAsia="Open Sans" w:hAnsi="Open Sans" w:cs="Open Sans"/>
          <w:b/>
          <w:sz w:val="22"/>
          <w:szCs w:val="22"/>
        </w:rPr>
        <w:t xml:space="preserve">un 32% que afirma haber tenido que recurrir a familiares o amigos o financiación externa </w:t>
      </w:r>
      <w:r>
        <w:rPr>
          <w:rFonts w:ascii="Open Sans" w:eastAsia="Open Sans" w:hAnsi="Open Sans" w:cs="Open Sans"/>
          <w:sz w:val="22"/>
          <w:szCs w:val="22"/>
        </w:rPr>
        <w:t xml:space="preserve">para hacer frente a este gasto. Esta cifra está también dos puntos por encima de la de 2024. Esta es una de las principales conclusiones del informe </w:t>
      </w:r>
      <w:r w:rsidR="00223B49">
        <w:rPr>
          <w:rFonts w:ascii="Open Sans" w:eastAsia="Open Sans" w:hAnsi="Open Sans" w:cs="Open Sans"/>
          <w:sz w:val="22"/>
          <w:szCs w:val="22"/>
        </w:rPr>
        <w:t>“</w:t>
      </w:r>
      <w:hyperlink r:id="rId9" w:history="1">
        <w:r w:rsidR="00223B49" w:rsidRPr="005A4788">
          <w:rPr>
            <w:rStyle w:val="Hipervnculo"/>
            <w:rFonts w:ascii="Open Sans" w:eastAsia="Open Sans" w:hAnsi="Open Sans" w:cs="Open Sans"/>
            <w:b/>
            <w:i/>
            <w:sz w:val="22"/>
            <w:szCs w:val="22"/>
          </w:rPr>
          <w:t>Experiencia en alquiler en 2025</w:t>
        </w:r>
      </w:hyperlink>
      <w:r w:rsidR="00223B49">
        <w:rPr>
          <w:rFonts w:ascii="Open Sans" w:eastAsia="Open Sans" w:hAnsi="Open Sans" w:cs="Open Sans"/>
          <w:sz w:val="22"/>
          <w:szCs w:val="22"/>
        </w:rPr>
        <w:t xml:space="preserve">”, </w:t>
      </w:r>
      <w:r>
        <w:rPr>
          <w:rFonts w:ascii="Open Sans" w:eastAsia="Open Sans" w:hAnsi="Open Sans" w:cs="Open Sans"/>
          <w:sz w:val="22"/>
          <w:szCs w:val="22"/>
        </w:rPr>
        <w:t xml:space="preserve">elaborado por </w:t>
      </w:r>
      <w:hyperlink r:id="rId10">
        <w:r w:rsidR="00D519F1">
          <w:rPr>
            <w:rFonts w:ascii="Open Sans" w:eastAsia="Open Sans" w:hAnsi="Open Sans" w:cs="Open Sans"/>
            <w:b/>
            <w:color w:val="0000FF"/>
            <w:sz w:val="22"/>
            <w:szCs w:val="22"/>
            <w:u w:val="single"/>
          </w:rPr>
          <w:t>Fotocasa Research</w:t>
        </w:r>
      </w:hyperlink>
      <w:r>
        <w:rPr>
          <w:rFonts w:ascii="Open Sans" w:eastAsia="Open Sans" w:hAnsi="Open Sans" w:cs="Open Sans"/>
          <w:sz w:val="22"/>
          <w:szCs w:val="22"/>
        </w:rPr>
        <w:t xml:space="preserve"> y que traza una exhaustiva radiografía del mercado de la vivienda en arrendamiento.</w:t>
      </w:r>
    </w:p>
    <w:p w14:paraId="74C1BE76" w14:textId="77777777" w:rsidR="00D519F1" w:rsidRDefault="00D519F1">
      <w:pPr>
        <w:pBdr>
          <w:top w:val="nil"/>
          <w:left w:val="nil"/>
          <w:bottom w:val="nil"/>
          <w:right w:val="nil"/>
          <w:between w:val="nil"/>
        </w:pBdr>
        <w:spacing w:line="276" w:lineRule="auto"/>
        <w:jc w:val="both"/>
        <w:rPr>
          <w:rFonts w:ascii="Open Sans" w:eastAsia="Open Sans" w:hAnsi="Open Sans" w:cs="Open Sans"/>
          <w:sz w:val="22"/>
          <w:szCs w:val="22"/>
        </w:rPr>
      </w:pPr>
    </w:p>
    <w:p w14:paraId="47B4AB8E" w14:textId="77777777" w:rsidR="00D519F1"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De manera desglosada, este porcentaje se reparte entre el </w:t>
      </w:r>
      <w:r>
        <w:rPr>
          <w:rFonts w:ascii="Open Sans" w:eastAsia="Open Sans" w:hAnsi="Open Sans" w:cs="Open Sans"/>
          <w:b/>
          <w:sz w:val="22"/>
          <w:szCs w:val="22"/>
        </w:rPr>
        <w:t>21% que pidió prestado a un familiar</w:t>
      </w:r>
      <w:r>
        <w:rPr>
          <w:rFonts w:ascii="Open Sans" w:eastAsia="Open Sans" w:hAnsi="Open Sans" w:cs="Open Sans"/>
          <w:sz w:val="22"/>
          <w:szCs w:val="22"/>
        </w:rPr>
        <w:t xml:space="preserve">, amigo o conocido, un </w:t>
      </w:r>
      <w:r>
        <w:rPr>
          <w:rFonts w:ascii="Open Sans" w:eastAsia="Open Sans" w:hAnsi="Open Sans" w:cs="Open Sans"/>
          <w:b/>
          <w:sz w:val="22"/>
          <w:szCs w:val="22"/>
        </w:rPr>
        <w:t>6% que solicitó financiación a una entidad bancaria</w:t>
      </w:r>
      <w:r>
        <w:rPr>
          <w:rFonts w:ascii="Open Sans" w:eastAsia="Open Sans" w:hAnsi="Open Sans" w:cs="Open Sans"/>
          <w:sz w:val="22"/>
          <w:szCs w:val="22"/>
        </w:rPr>
        <w:t xml:space="preserve"> y otro </w:t>
      </w:r>
      <w:r>
        <w:rPr>
          <w:rFonts w:ascii="Open Sans" w:eastAsia="Open Sans" w:hAnsi="Open Sans" w:cs="Open Sans"/>
          <w:b/>
          <w:sz w:val="22"/>
          <w:szCs w:val="22"/>
        </w:rPr>
        <w:t>6% que la pidió a otra entidad no bancaria</w:t>
      </w:r>
      <w:r>
        <w:rPr>
          <w:rFonts w:ascii="Open Sans" w:eastAsia="Open Sans" w:hAnsi="Open Sans" w:cs="Open Sans"/>
          <w:sz w:val="22"/>
          <w:szCs w:val="22"/>
        </w:rPr>
        <w:t>. Se trata de un obstáculo al que se enfrentan sobre todo los inquilinos más jóvenes (18-24 años). Así, solamente un 61% de ellos pudo hacer pagar estos gastos iniciales con sus ahorros, si bien es un porcentaje mucho más alto que el 52% del año anterior. En el resto de los grupos de edad fueron el 70% o más, excepto el segmento de edades comprendidas entre los 45 y 54 años, que se quedó en el 64%.</w:t>
      </w:r>
    </w:p>
    <w:p w14:paraId="792635A2" w14:textId="77777777" w:rsidR="00D519F1" w:rsidRDefault="00D519F1">
      <w:pPr>
        <w:pBdr>
          <w:top w:val="nil"/>
          <w:left w:val="nil"/>
          <w:bottom w:val="nil"/>
          <w:right w:val="nil"/>
          <w:between w:val="nil"/>
        </w:pBdr>
        <w:spacing w:line="276" w:lineRule="auto"/>
        <w:jc w:val="both"/>
        <w:rPr>
          <w:rFonts w:ascii="Open Sans" w:eastAsia="Open Sans" w:hAnsi="Open Sans" w:cs="Open Sans"/>
          <w:sz w:val="22"/>
          <w:szCs w:val="22"/>
        </w:rPr>
      </w:pPr>
    </w:p>
    <w:p w14:paraId="49E479E4" w14:textId="77777777" w:rsidR="00D519F1"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lastRenderedPageBreak/>
        <w:t>La consecuencia de este escenario es que los más jóvenes debieron apelar de manera mucho más frecuente al resto de alternativas para cubrir el coste inicial del alquiler. Lo más habitual es que pidieran prestado a familiares, amigos o conocidos (29%) y, seguidamente, a la financiación a través de bancos (8%) u otras entidades (6%).</w:t>
      </w:r>
    </w:p>
    <w:p w14:paraId="5D250B59" w14:textId="77777777" w:rsidR="00D519F1" w:rsidRDefault="00D519F1">
      <w:pPr>
        <w:pBdr>
          <w:top w:val="nil"/>
          <w:left w:val="nil"/>
          <w:bottom w:val="nil"/>
          <w:right w:val="nil"/>
          <w:between w:val="nil"/>
        </w:pBdr>
        <w:spacing w:line="276" w:lineRule="auto"/>
        <w:jc w:val="both"/>
        <w:rPr>
          <w:rFonts w:ascii="Open Sans" w:eastAsia="Open Sans" w:hAnsi="Open Sans" w:cs="Open Sans"/>
          <w:sz w:val="22"/>
          <w:szCs w:val="22"/>
        </w:rPr>
      </w:pPr>
    </w:p>
    <w:p w14:paraId="71314845" w14:textId="77777777" w:rsidR="00D519F1"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noProof/>
        </w:rPr>
        <w:drawing>
          <wp:inline distT="0" distB="0" distL="0" distR="0" wp14:anchorId="6CB7E409" wp14:editId="65B427A0">
            <wp:extent cx="5760720" cy="4782820"/>
            <wp:effectExtent l="0" t="0" r="0" b="0"/>
            <wp:docPr id="2066816629" name="image4.png" descr="Gráfico, Gráfico de barr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Gráfico, Gráfico de barras&#10;&#10;El contenido generado por IA puede ser incorrecto."/>
                    <pic:cNvPicPr preferRelativeResize="0"/>
                  </pic:nvPicPr>
                  <pic:blipFill>
                    <a:blip r:embed="rId11"/>
                    <a:srcRect/>
                    <a:stretch>
                      <a:fillRect/>
                    </a:stretch>
                  </pic:blipFill>
                  <pic:spPr>
                    <a:xfrm>
                      <a:off x="0" y="0"/>
                      <a:ext cx="5760720" cy="4782820"/>
                    </a:xfrm>
                    <a:prstGeom prst="rect">
                      <a:avLst/>
                    </a:prstGeom>
                    <a:ln/>
                  </pic:spPr>
                </pic:pic>
              </a:graphicData>
            </a:graphic>
          </wp:inline>
        </w:drawing>
      </w:r>
    </w:p>
    <w:p w14:paraId="0AAE7156" w14:textId="77777777" w:rsidR="00D519F1" w:rsidRDefault="00D519F1">
      <w:pPr>
        <w:pBdr>
          <w:top w:val="nil"/>
          <w:left w:val="nil"/>
          <w:bottom w:val="nil"/>
          <w:right w:val="nil"/>
          <w:between w:val="nil"/>
        </w:pBdr>
        <w:spacing w:line="276" w:lineRule="auto"/>
        <w:jc w:val="both"/>
        <w:rPr>
          <w:rFonts w:ascii="Open Sans" w:eastAsia="Open Sans" w:hAnsi="Open Sans" w:cs="Open Sans"/>
          <w:sz w:val="22"/>
          <w:szCs w:val="22"/>
        </w:rPr>
      </w:pPr>
    </w:p>
    <w:p w14:paraId="613EA3DE" w14:textId="77777777" w:rsidR="00D519F1"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 xml:space="preserve">“El hecho de que una parte relevante de los inquilinos tenga dificultades para reunir el dinero para acceder a una vivienda pone de manifiesto que el alquiler se ha vuelto económicamente inaccesible para muchos. Los gastos altos iniciales ponen en riesgo la estabilidad financiera de los inquilinos. A esta situación se suman otras tensiones del mercado del alquiler que siguen agravándose año tras año: el encarecimiento continuado de los precios y la escasez de oferta, especialmente en las zonas más tensionadas. Cuando el acceso a la vivienda se dificulta a gran escala, se debilitan pilares fundamentales como la estabilidad, la movilidad residencial y la capacidad de emancipación”, </w:t>
      </w:r>
      <w:r>
        <w:rPr>
          <w:rFonts w:ascii="Open Sans" w:eastAsia="Open Sans" w:hAnsi="Open Sans" w:cs="Open Sans"/>
          <w:b/>
          <w:sz w:val="22"/>
          <w:szCs w:val="22"/>
        </w:rPr>
        <w:t xml:space="preserve">comenta María Matos, directora de Estudios y portavoz de </w:t>
      </w:r>
      <w:hyperlink r:id="rId12">
        <w:r w:rsidR="00D519F1">
          <w:rPr>
            <w:rFonts w:ascii="Open Sans" w:eastAsia="Open Sans" w:hAnsi="Open Sans" w:cs="Open Sans"/>
            <w:b/>
            <w:color w:val="1155CC"/>
            <w:sz w:val="22"/>
            <w:szCs w:val="22"/>
            <w:u w:val="single"/>
          </w:rPr>
          <w:t>Fotocasa</w:t>
        </w:r>
      </w:hyperlink>
      <w:r>
        <w:rPr>
          <w:rFonts w:ascii="Open Sans" w:eastAsia="Open Sans" w:hAnsi="Open Sans" w:cs="Open Sans"/>
          <w:b/>
          <w:sz w:val="22"/>
          <w:szCs w:val="22"/>
        </w:rPr>
        <w:t>.</w:t>
      </w:r>
      <w:r>
        <w:rPr>
          <w:rFonts w:ascii="Open Sans" w:eastAsia="Open Sans" w:hAnsi="Open Sans" w:cs="Open Sans"/>
          <w:sz w:val="22"/>
          <w:szCs w:val="22"/>
        </w:rPr>
        <w:t xml:space="preserve"> </w:t>
      </w:r>
    </w:p>
    <w:p w14:paraId="3B215B42" w14:textId="77777777" w:rsidR="00D519F1" w:rsidRDefault="00D519F1">
      <w:pPr>
        <w:spacing w:line="276" w:lineRule="auto"/>
        <w:ind w:right="4"/>
        <w:jc w:val="both"/>
        <w:rPr>
          <w:rFonts w:ascii="Open Sans" w:eastAsia="Open Sans" w:hAnsi="Open Sans" w:cs="Open Sans"/>
          <w:sz w:val="22"/>
          <w:szCs w:val="22"/>
        </w:rPr>
      </w:pPr>
    </w:p>
    <w:p w14:paraId="09B6C421" w14:textId="77777777" w:rsidR="00D519F1" w:rsidRDefault="00D519F1">
      <w:pPr>
        <w:spacing w:line="276" w:lineRule="auto"/>
        <w:ind w:right="4"/>
        <w:jc w:val="both"/>
        <w:rPr>
          <w:rFonts w:ascii="Open Sans" w:eastAsia="Open Sans" w:hAnsi="Open Sans" w:cs="Open Sans"/>
          <w:sz w:val="22"/>
          <w:szCs w:val="22"/>
        </w:rPr>
      </w:pPr>
    </w:p>
    <w:p w14:paraId="222BD189" w14:textId="77777777" w:rsidR="001C16DF" w:rsidRDefault="001C16DF">
      <w:pPr>
        <w:spacing w:line="276" w:lineRule="auto"/>
        <w:ind w:right="4"/>
        <w:jc w:val="both"/>
        <w:rPr>
          <w:rFonts w:ascii="Open Sans" w:eastAsia="Open Sans" w:hAnsi="Open Sans" w:cs="Open Sans"/>
          <w:sz w:val="22"/>
          <w:szCs w:val="22"/>
        </w:rPr>
      </w:pPr>
    </w:p>
    <w:p w14:paraId="438ECE99" w14:textId="77777777" w:rsidR="00D519F1" w:rsidRDefault="00000000">
      <w:pPr>
        <w:spacing w:line="276" w:lineRule="auto"/>
        <w:ind w:right="4"/>
        <w:jc w:val="both"/>
        <w:rPr>
          <w:rFonts w:ascii="Open Sans" w:eastAsia="Open Sans" w:hAnsi="Open Sans" w:cs="Open Sans"/>
          <w:sz w:val="26"/>
          <w:szCs w:val="26"/>
        </w:rPr>
      </w:pPr>
      <w:r>
        <w:rPr>
          <w:rFonts w:ascii="Open Sans Light" w:eastAsia="Open Sans Light" w:hAnsi="Open Sans Light" w:cs="Open Sans Light"/>
          <w:b/>
          <w:color w:val="303AB2"/>
          <w:sz w:val="26"/>
          <w:szCs w:val="26"/>
        </w:rPr>
        <w:lastRenderedPageBreak/>
        <w:t xml:space="preserve">Los precios y la poca oferta de alquiler son los principales problemas </w:t>
      </w:r>
    </w:p>
    <w:p w14:paraId="5898AEA7" w14:textId="77777777" w:rsidR="00D519F1" w:rsidRDefault="00D519F1">
      <w:pPr>
        <w:pBdr>
          <w:top w:val="nil"/>
          <w:left w:val="nil"/>
          <w:bottom w:val="nil"/>
          <w:right w:val="nil"/>
          <w:between w:val="nil"/>
        </w:pBdr>
        <w:spacing w:line="276" w:lineRule="auto"/>
        <w:jc w:val="both"/>
        <w:rPr>
          <w:rFonts w:ascii="Open Sans" w:eastAsia="Open Sans" w:hAnsi="Open Sans" w:cs="Open Sans"/>
          <w:sz w:val="22"/>
          <w:szCs w:val="22"/>
        </w:rPr>
      </w:pPr>
    </w:p>
    <w:p w14:paraId="74712C29" w14:textId="77777777" w:rsidR="00D519F1"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Existen distintos avatares que pueden incidir en el proceso de búsqueda de una vivienda de alquiler. Para los inquilinos que efectivamente firmaron un contrato de arrendamiento en los últimos doce meses, </w:t>
      </w:r>
      <w:r>
        <w:rPr>
          <w:rFonts w:ascii="Open Sans" w:eastAsia="Open Sans" w:hAnsi="Open Sans" w:cs="Open Sans"/>
          <w:b/>
          <w:sz w:val="22"/>
          <w:szCs w:val="22"/>
        </w:rPr>
        <w:t>el primero de los obstáculos son sin duda los elevados precios</w:t>
      </w:r>
      <w:r>
        <w:rPr>
          <w:rFonts w:ascii="Open Sans" w:eastAsia="Open Sans" w:hAnsi="Open Sans" w:cs="Open Sans"/>
          <w:sz w:val="22"/>
          <w:szCs w:val="22"/>
        </w:rPr>
        <w:t>. Así lo expresan siete de cada diez inquilinos (71%) que han conseguido arrendar un inmueble para vivir en él. Es un punto más que en 2024.</w:t>
      </w:r>
    </w:p>
    <w:p w14:paraId="34B80586" w14:textId="77777777" w:rsidR="00D519F1" w:rsidRDefault="00D519F1">
      <w:pPr>
        <w:pBdr>
          <w:top w:val="nil"/>
          <w:left w:val="nil"/>
          <w:bottom w:val="nil"/>
          <w:right w:val="nil"/>
          <w:between w:val="nil"/>
        </w:pBdr>
        <w:spacing w:line="276" w:lineRule="auto"/>
        <w:jc w:val="both"/>
        <w:rPr>
          <w:rFonts w:ascii="Open Sans" w:eastAsia="Open Sans" w:hAnsi="Open Sans" w:cs="Open Sans"/>
          <w:sz w:val="22"/>
          <w:szCs w:val="22"/>
        </w:rPr>
      </w:pPr>
    </w:p>
    <w:p w14:paraId="12B8BD6C" w14:textId="77777777" w:rsidR="00D519F1"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A continuación, encontramos </w:t>
      </w:r>
      <w:r>
        <w:rPr>
          <w:rFonts w:ascii="Open Sans" w:eastAsia="Open Sans" w:hAnsi="Open Sans" w:cs="Open Sans"/>
          <w:b/>
          <w:sz w:val="22"/>
          <w:szCs w:val="22"/>
        </w:rPr>
        <w:t>la barrera de la escasez de oferta de vivienda</w:t>
      </w:r>
      <w:r>
        <w:rPr>
          <w:rFonts w:ascii="Open Sans" w:eastAsia="Open Sans" w:hAnsi="Open Sans" w:cs="Open Sans"/>
          <w:sz w:val="22"/>
          <w:szCs w:val="22"/>
        </w:rPr>
        <w:t xml:space="preserve">, dificultad que alega el 42%, tres puntos porcentuales más que el año anterior. Cerca de esta traba se sitúa la tercera de la lista: </w:t>
      </w:r>
      <w:r>
        <w:rPr>
          <w:rFonts w:ascii="Open Sans" w:eastAsia="Open Sans" w:hAnsi="Open Sans" w:cs="Open Sans"/>
          <w:b/>
          <w:sz w:val="22"/>
          <w:szCs w:val="22"/>
        </w:rPr>
        <w:t>los requisitos de los propietarios</w:t>
      </w:r>
      <w:r>
        <w:rPr>
          <w:rFonts w:ascii="Open Sans" w:eastAsia="Open Sans" w:hAnsi="Open Sans" w:cs="Open Sans"/>
          <w:sz w:val="22"/>
          <w:szCs w:val="22"/>
        </w:rPr>
        <w:t xml:space="preserve"> (38%). En cuarta posición se encuentra </w:t>
      </w:r>
      <w:r>
        <w:rPr>
          <w:rFonts w:ascii="Open Sans" w:eastAsia="Open Sans" w:hAnsi="Open Sans" w:cs="Open Sans"/>
          <w:b/>
          <w:sz w:val="22"/>
          <w:szCs w:val="22"/>
        </w:rPr>
        <w:t>el alto desembolso económico inicial</w:t>
      </w:r>
      <w:r>
        <w:rPr>
          <w:rFonts w:ascii="Open Sans" w:eastAsia="Open Sans" w:hAnsi="Open Sans" w:cs="Open Sans"/>
          <w:sz w:val="22"/>
          <w:szCs w:val="22"/>
        </w:rPr>
        <w:t xml:space="preserve"> (35%).</w:t>
      </w:r>
    </w:p>
    <w:p w14:paraId="5447A69C" w14:textId="77777777" w:rsidR="00D519F1" w:rsidRDefault="00D519F1">
      <w:pPr>
        <w:pBdr>
          <w:top w:val="nil"/>
          <w:left w:val="nil"/>
          <w:bottom w:val="nil"/>
          <w:right w:val="nil"/>
          <w:between w:val="nil"/>
        </w:pBdr>
        <w:spacing w:line="276" w:lineRule="auto"/>
        <w:jc w:val="both"/>
        <w:rPr>
          <w:rFonts w:ascii="Open Sans" w:eastAsia="Open Sans" w:hAnsi="Open Sans" w:cs="Open Sans"/>
          <w:sz w:val="22"/>
          <w:szCs w:val="22"/>
        </w:rPr>
      </w:pPr>
    </w:p>
    <w:p w14:paraId="5BCF885C" w14:textId="77777777" w:rsidR="00D519F1"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noProof/>
        </w:rPr>
        <w:drawing>
          <wp:inline distT="0" distB="0" distL="0" distR="0" wp14:anchorId="4B6116CA" wp14:editId="66B43246">
            <wp:extent cx="5760720" cy="3672840"/>
            <wp:effectExtent l="0" t="0" r="0" b="0"/>
            <wp:docPr id="2066816627" name="image3.png" descr="Gráfico, Gráfico de barr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Gráfico, Gráfico de barras&#10;&#10;El contenido generado por IA puede ser incorrecto."/>
                    <pic:cNvPicPr preferRelativeResize="0"/>
                  </pic:nvPicPr>
                  <pic:blipFill>
                    <a:blip r:embed="rId13"/>
                    <a:srcRect/>
                    <a:stretch>
                      <a:fillRect/>
                    </a:stretch>
                  </pic:blipFill>
                  <pic:spPr>
                    <a:xfrm>
                      <a:off x="0" y="0"/>
                      <a:ext cx="5760720" cy="3672840"/>
                    </a:xfrm>
                    <a:prstGeom prst="rect">
                      <a:avLst/>
                    </a:prstGeom>
                    <a:ln/>
                  </pic:spPr>
                </pic:pic>
              </a:graphicData>
            </a:graphic>
          </wp:inline>
        </w:drawing>
      </w:r>
    </w:p>
    <w:p w14:paraId="43AF1B85" w14:textId="77777777" w:rsidR="00D519F1" w:rsidRDefault="00D519F1">
      <w:pPr>
        <w:pBdr>
          <w:top w:val="nil"/>
          <w:left w:val="nil"/>
          <w:bottom w:val="nil"/>
          <w:right w:val="nil"/>
          <w:between w:val="nil"/>
        </w:pBdr>
        <w:spacing w:line="276" w:lineRule="auto"/>
        <w:jc w:val="both"/>
        <w:rPr>
          <w:rFonts w:ascii="Open Sans" w:eastAsia="Open Sans" w:hAnsi="Open Sans" w:cs="Open Sans"/>
          <w:sz w:val="22"/>
          <w:szCs w:val="22"/>
        </w:rPr>
      </w:pPr>
    </w:p>
    <w:p w14:paraId="2FBF9EF3" w14:textId="77777777" w:rsidR="00D519F1"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Se observa que las principales dificultades se incrementan respecto a 2024, lo que repercute, por otro lado, en fluctuaciones significativas a la baja en aspectos relacionados con las características de las propias viviendas, ante las que los demandantes parecen haber relajado sus expectativas, quizás precisamente por el impulso de las barreras primordiales.</w:t>
      </w:r>
    </w:p>
    <w:p w14:paraId="65419DC0" w14:textId="77777777" w:rsidR="00D519F1" w:rsidRDefault="00D519F1">
      <w:pPr>
        <w:pBdr>
          <w:top w:val="nil"/>
          <w:left w:val="nil"/>
          <w:bottom w:val="nil"/>
          <w:right w:val="nil"/>
          <w:between w:val="nil"/>
        </w:pBdr>
        <w:spacing w:line="276" w:lineRule="auto"/>
        <w:jc w:val="both"/>
        <w:rPr>
          <w:rFonts w:ascii="Open Sans" w:eastAsia="Open Sans" w:hAnsi="Open Sans" w:cs="Open Sans"/>
          <w:sz w:val="22"/>
          <w:szCs w:val="22"/>
        </w:rPr>
      </w:pPr>
    </w:p>
    <w:p w14:paraId="214DC7E9" w14:textId="77777777" w:rsidR="00D519F1"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De este modo, </w:t>
      </w:r>
      <w:r>
        <w:rPr>
          <w:rFonts w:ascii="Open Sans" w:eastAsia="Open Sans" w:hAnsi="Open Sans" w:cs="Open Sans"/>
          <w:b/>
          <w:sz w:val="22"/>
          <w:szCs w:val="22"/>
        </w:rPr>
        <w:t>la dificultad que entraña el estado de las viviendas disminuye del 38 % al 33%,</w:t>
      </w:r>
      <w:r>
        <w:rPr>
          <w:rFonts w:ascii="Open Sans" w:eastAsia="Open Sans" w:hAnsi="Open Sans" w:cs="Open Sans"/>
          <w:sz w:val="22"/>
          <w:szCs w:val="22"/>
        </w:rPr>
        <w:t xml:space="preserve"> mientras que </w:t>
      </w:r>
      <w:r>
        <w:rPr>
          <w:rFonts w:ascii="Open Sans" w:eastAsia="Open Sans" w:hAnsi="Open Sans" w:cs="Open Sans"/>
          <w:b/>
          <w:sz w:val="22"/>
          <w:szCs w:val="22"/>
        </w:rPr>
        <w:t>su antigüedad rebaja su incidencia del 31% al 27%.</w:t>
      </w:r>
      <w:r>
        <w:rPr>
          <w:rFonts w:ascii="Open Sans" w:eastAsia="Open Sans" w:hAnsi="Open Sans" w:cs="Open Sans"/>
          <w:sz w:val="22"/>
          <w:szCs w:val="22"/>
        </w:rPr>
        <w:t xml:space="preserve"> Otras cuestiones vinculadas directamente con los inmuebles, como su tamaño, también </w:t>
      </w:r>
      <w:r>
        <w:rPr>
          <w:rFonts w:ascii="Open Sans" w:eastAsia="Open Sans" w:hAnsi="Open Sans" w:cs="Open Sans"/>
          <w:sz w:val="22"/>
          <w:szCs w:val="22"/>
        </w:rPr>
        <w:lastRenderedPageBreak/>
        <w:t xml:space="preserve">pierden fuelle como trabas para los inquilinos. Así, este factor retrocede del 27% al 23%. Por el contrario, </w:t>
      </w:r>
      <w:r>
        <w:rPr>
          <w:rFonts w:ascii="Open Sans" w:eastAsia="Open Sans" w:hAnsi="Open Sans" w:cs="Open Sans"/>
          <w:b/>
          <w:sz w:val="22"/>
          <w:szCs w:val="22"/>
        </w:rPr>
        <w:t>la ubicación de la vivienda gana enteros como dificultad</w:t>
      </w:r>
      <w:r>
        <w:rPr>
          <w:rFonts w:ascii="Open Sans" w:eastAsia="Open Sans" w:hAnsi="Open Sans" w:cs="Open Sans"/>
          <w:sz w:val="22"/>
          <w:szCs w:val="22"/>
        </w:rPr>
        <w:t>, pasando del 19% al 24% en doce meses.</w:t>
      </w:r>
    </w:p>
    <w:p w14:paraId="3FFB0478" w14:textId="77777777" w:rsidR="00D519F1" w:rsidRDefault="00D519F1">
      <w:pPr>
        <w:pBdr>
          <w:top w:val="nil"/>
          <w:left w:val="nil"/>
          <w:bottom w:val="nil"/>
          <w:right w:val="nil"/>
          <w:between w:val="nil"/>
        </w:pBdr>
        <w:spacing w:line="276" w:lineRule="auto"/>
        <w:jc w:val="both"/>
        <w:rPr>
          <w:rFonts w:ascii="Open Sans" w:eastAsia="Open Sans" w:hAnsi="Open Sans" w:cs="Open Sans"/>
          <w:sz w:val="22"/>
          <w:szCs w:val="22"/>
        </w:rPr>
      </w:pPr>
    </w:p>
    <w:p w14:paraId="1BE74CBB" w14:textId="5853FFB0" w:rsidR="00D519F1" w:rsidRDefault="00000000">
      <w:pPr>
        <w:spacing w:line="276" w:lineRule="auto"/>
        <w:ind w:right="4"/>
        <w:jc w:val="both"/>
        <w:rPr>
          <w:rFonts w:ascii="Open Sans" w:eastAsia="Open Sans" w:hAnsi="Open Sans" w:cs="Open Sans"/>
          <w:sz w:val="22"/>
          <w:szCs w:val="22"/>
        </w:rPr>
      </w:pPr>
      <w:r>
        <w:rPr>
          <w:rFonts w:ascii="Open Sans Light" w:eastAsia="Open Sans Light" w:hAnsi="Open Sans Light" w:cs="Open Sans Light"/>
          <w:b/>
          <w:color w:val="303AB2"/>
          <w:sz w:val="26"/>
          <w:szCs w:val="26"/>
        </w:rPr>
        <w:t xml:space="preserve">Diferencias según la </w:t>
      </w:r>
      <w:r w:rsidR="00702A67">
        <w:rPr>
          <w:rFonts w:ascii="Open Sans Light" w:eastAsia="Open Sans Light" w:hAnsi="Open Sans Light" w:cs="Open Sans Light"/>
          <w:b/>
          <w:color w:val="303AB2"/>
          <w:sz w:val="26"/>
          <w:szCs w:val="26"/>
        </w:rPr>
        <w:t>c</w:t>
      </w:r>
      <w:r>
        <w:rPr>
          <w:rFonts w:ascii="Open Sans Light" w:eastAsia="Open Sans Light" w:hAnsi="Open Sans Light" w:cs="Open Sans Light"/>
          <w:b/>
          <w:color w:val="303AB2"/>
          <w:sz w:val="26"/>
          <w:szCs w:val="26"/>
        </w:rPr>
        <w:t xml:space="preserve">omunidad </w:t>
      </w:r>
      <w:r w:rsidR="00702A67">
        <w:rPr>
          <w:rFonts w:ascii="Open Sans Light" w:eastAsia="Open Sans Light" w:hAnsi="Open Sans Light" w:cs="Open Sans Light"/>
          <w:b/>
          <w:color w:val="303AB2"/>
          <w:sz w:val="26"/>
          <w:szCs w:val="26"/>
        </w:rPr>
        <w:t>a</w:t>
      </w:r>
      <w:r>
        <w:rPr>
          <w:rFonts w:ascii="Open Sans Light" w:eastAsia="Open Sans Light" w:hAnsi="Open Sans Light" w:cs="Open Sans Light"/>
          <w:b/>
          <w:color w:val="303AB2"/>
          <w:sz w:val="26"/>
          <w:szCs w:val="26"/>
        </w:rPr>
        <w:t>utónoma y la edad</w:t>
      </w:r>
    </w:p>
    <w:p w14:paraId="1377734F" w14:textId="77777777" w:rsidR="00D519F1" w:rsidRDefault="00D519F1">
      <w:pPr>
        <w:pBdr>
          <w:top w:val="nil"/>
          <w:left w:val="nil"/>
          <w:bottom w:val="nil"/>
          <w:right w:val="nil"/>
          <w:between w:val="nil"/>
        </w:pBdr>
        <w:spacing w:line="276" w:lineRule="auto"/>
        <w:jc w:val="both"/>
        <w:rPr>
          <w:rFonts w:ascii="Open Sans" w:eastAsia="Open Sans" w:hAnsi="Open Sans" w:cs="Open Sans"/>
          <w:sz w:val="22"/>
          <w:szCs w:val="22"/>
        </w:rPr>
      </w:pPr>
    </w:p>
    <w:p w14:paraId="688F5B37" w14:textId="77777777" w:rsidR="00D519F1"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Como es comprensible, estas dificultades no repercuten de igual modo sobre todos los inquilinos, dado que cuestiones como la edad o la ubicación inciden en gran medida en el proceso de alquilar una vivienda.</w:t>
      </w:r>
    </w:p>
    <w:p w14:paraId="5EAB2BB0" w14:textId="77777777" w:rsidR="00D519F1" w:rsidRDefault="00D519F1">
      <w:pPr>
        <w:pBdr>
          <w:top w:val="nil"/>
          <w:left w:val="nil"/>
          <w:bottom w:val="nil"/>
          <w:right w:val="nil"/>
          <w:between w:val="nil"/>
        </w:pBdr>
        <w:spacing w:line="276" w:lineRule="auto"/>
        <w:jc w:val="both"/>
        <w:rPr>
          <w:rFonts w:ascii="Open Sans" w:eastAsia="Open Sans" w:hAnsi="Open Sans" w:cs="Open Sans"/>
          <w:sz w:val="22"/>
          <w:szCs w:val="22"/>
        </w:rPr>
      </w:pPr>
    </w:p>
    <w:p w14:paraId="67B7EF8D" w14:textId="23FEADFD" w:rsidR="00D519F1"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Si analizamos estas inquietudes desde el punto de vista territorial vemos que el precio constituye un obstáculo común, aunque en la </w:t>
      </w:r>
      <w:r>
        <w:rPr>
          <w:rFonts w:ascii="Open Sans" w:eastAsia="Open Sans" w:hAnsi="Open Sans" w:cs="Open Sans"/>
          <w:b/>
          <w:sz w:val="22"/>
          <w:szCs w:val="22"/>
        </w:rPr>
        <w:t>Comunidad Valenciana resulta especialmente relevante, con un 78%</w:t>
      </w:r>
      <w:r>
        <w:rPr>
          <w:rFonts w:ascii="Open Sans" w:eastAsia="Open Sans" w:hAnsi="Open Sans" w:cs="Open Sans"/>
          <w:sz w:val="22"/>
          <w:szCs w:val="22"/>
        </w:rPr>
        <w:t xml:space="preserve">. Sin embargo, existen otros factores que destacan sobremanera en algunas comunidades. Es el caso del </w:t>
      </w:r>
      <w:r>
        <w:rPr>
          <w:rFonts w:ascii="Open Sans" w:eastAsia="Open Sans" w:hAnsi="Open Sans" w:cs="Open Sans"/>
          <w:b/>
          <w:sz w:val="22"/>
          <w:szCs w:val="22"/>
        </w:rPr>
        <w:t>alto desembolso económico inicial, una cuestión mucho más presente en territorios como Madrid</w:t>
      </w:r>
      <w:r>
        <w:rPr>
          <w:rFonts w:ascii="Open Sans" w:eastAsia="Open Sans" w:hAnsi="Open Sans" w:cs="Open Sans"/>
          <w:sz w:val="22"/>
          <w:szCs w:val="22"/>
        </w:rPr>
        <w:t xml:space="preserve">, con un 44%, </w:t>
      </w:r>
      <w:r w:rsidR="00690057">
        <w:rPr>
          <w:rFonts w:ascii="Open Sans" w:eastAsia="Open Sans" w:hAnsi="Open Sans" w:cs="Open Sans"/>
          <w:sz w:val="22"/>
          <w:szCs w:val="22"/>
        </w:rPr>
        <w:t>que,</w:t>
      </w:r>
      <w:r>
        <w:rPr>
          <w:rFonts w:ascii="Open Sans" w:eastAsia="Open Sans" w:hAnsi="Open Sans" w:cs="Open Sans"/>
          <w:sz w:val="22"/>
          <w:szCs w:val="22"/>
        </w:rPr>
        <w:t xml:space="preserve"> en Andalucía, donde constituye una barrera solo para el 31%. O el de </w:t>
      </w:r>
      <w:r>
        <w:rPr>
          <w:rFonts w:ascii="Open Sans" w:eastAsia="Open Sans" w:hAnsi="Open Sans" w:cs="Open Sans"/>
          <w:b/>
          <w:sz w:val="22"/>
          <w:szCs w:val="22"/>
        </w:rPr>
        <w:t>la cantidad insuficiente de ofertas, que incide de manera mucho más acusada en Cataluña</w:t>
      </w:r>
      <w:r>
        <w:rPr>
          <w:rFonts w:ascii="Open Sans" w:eastAsia="Open Sans" w:hAnsi="Open Sans" w:cs="Open Sans"/>
          <w:sz w:val="22"/>
          <w:szCs w:val="22"/>
        </w:rPr>
        <w:t xml:space="preserve"> (46%) que nuevamente en Andalucía (31%).</w:t>
      </w:r>
    </w:p>
    <w:p w14:paraId="166DF4A7" w14:textId="77777777" w:rsidR="00D519F1" w:rsidRDefault="00D519F1">
      <w:pPr>
        <w:pBdr>
          <w:top w:val="nil"/>
          <w:left w:val="nil"/>
          <w:bottom w:val="nil"/>
          <w:right w:val="nil"/>
          <w:between w:val="nil"/>
        </w:pBdr>
        <w:spacing w:line="276" w:lineRule="auto"/>
        <w:jc w:val="both"/>
        <w:rPr>
          <w:rFonts w:ascii="Open Sans" w:eastAsia="Open Sans" w:hAnsi="Open Sans" w:cs="Open Sans"/>
          <w:sz w:val="22"/>
          <w:szCs w:val="22"/>
        </w:rPr>
      </w:pPr>
    </w:p>
    <w:p w14:paraId="134F6AE2" w14:textId="77777777" w:rsidR="00D519F1"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En cuanto a la edad, comprobamos que el coste de la vivienda es una dificultad compartida. Más diferencias se encuentran en otras cuestiones, como la insuficiencia de ofertas, especialmente relevante a partir de los 25 años y los requisitos de los propietarios, motivo que se acentúa para el colectivo de 35-44 años.</w:t>
      </w:r>
    </w:p>
    <w:p w14:paraId="68C42D20" w14:textId="77777777" w:rsidR="00D519F1" w:rsidRDefault="00D519F1">
      <w:pPr>
        <w:pBdr>
          <w:top w:val="nil"/>
          <w:left w:val="nil"/>
          <w:bottom w:val="nil"/>
          <w:right w:val="nil"/>
          <w:between w:val="nil"/>
        </w:pBdr>
        <w:spacing w:line="276" w:lineRule="auto"/>
        <w:jc w:val="both"/>
        <w:rPr>
          <w:rFonts w:ascii="Open Sans" w:eastAsia="Open Sans" w:hAnsi="Open Sans" w:cs="Open Sans"/>
          <w:sz w:val="22"/>
          <w:szCs w:val="22"/>
        </w:rPr>
      </w:pPr>
    </w:p>
    <w:p w14:paraId="49041A56" w14:textId="77777777" w:rsidR="00D519F1"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Otros problemas relacionados con la entrada inicial del piso, como el estado de la vivienda o su antigüedad, son más relevantes a partir de los 25 años. Por ejemplo, la cantidad insuficiente de ofertas se padece más a partir de esa edad.</w:t>
      </w:r>
    </w:p>
    <w:p w14:paraId="3D733CCB" w14:textId="77777777" w:rsidR="00D519F1" w:rsidRDefault="00D519F1">
      <w:pPr>
        <w:pBdr>
          <w:top w:val="nil"/>
          <w:left w:val="nil"/>
          <w:bottom w:val="nil"/>
          <w:right w:val="nil"/>
          <w:between w:val="nil"/>
        </w:pBdr>
        <w:spacing w:line="276" w:lineRule="auto"/>
        <w:jc w:val="both"/>
        <w:rPr>
          <w:rFonts w:ascii="Open Sans" w:eastAsia="Open Sans" w:hAnsi="Open Sans" w:cs="Open Sans"/>
          <w:sz w:val="22"/>
          <w:szCs w:val="22"/>
        </w:rPr>
      </w:pPr>
    </w:p>
    <w:p w14:paraId="08F012A3" w14:textId="77777777" w:rsidR="00D519F1" w:rsidRDefault="00D519F1">
      <w:pPr>
        <w:pBdr>
          <w:top w:val="nil"/>
          <w:left w:val="nil"/>
          <w:bottom w:val="nil"/>
          <w:right w:val="nil"/>
          <w:between w:val="nil"/>
        </w:pBdr>
        <w:spacing w:line="276" w:lineRule="auto"/>
        <w:jc w:val="both"/>
        <w:rPr>
          <w:rFonts w:ascii="Open Sans" w:eastAsia="Open Sans" w:hAnsi="Open Sans" w:cs="Open Sans"/>
          <w:sz w:val="22"/>
          <w:szCs w:val="22"/>
        </w:rPr>
      </w:pPr>
    </w:p>
    <w:p w14:paraId="7D07B75A" w14:textId="77777777" w:rsidR="00D519F1"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2C11E41E" w14:textId="77777777" w:rsidR="00D519F1"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4">
        <w:r w:rsidR="00D519F1">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45692672" w14:textId="77777777" w:rsidR="00D519F1"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5">
        <w:r w:rsidR="00D519F1">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6DF4AB31" w14:textId="77777777" w:rsidR="00D519F1"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5E587773" w14:textId="77777777" w:rsidR="00D519F1"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Adevinta</w:t>
      </w:r>
    </w:p>
    <w:p w14:paraId="02EB7257" w14:textId="77777777" w:rsidR="00D519F1" w:rsidRDefault="00000000">
      <w:pPr>
        <w:spacing w:before="143" w:after="200"/>
        <w:jc w:val="both"/>
        <w:rPr>
          <w:rFonts w:ascii="Open Sans" w:eastAsia="Open Sans" w:hAnsi="Open Sans" w:cs="Open Sans"/>
        </w:rPr>
      </w:pPr>
      <w:r>
        <w:rPr>
          <w:rFonts w:ascii="Open Sans" w:eastAsia="Open Sans" w:hAnsi="Open Sans" w:cs="Open Sans"/>
          <w:sz w:val="22"/>
          <w:szCs w:val="22"/>
        </w:rPr>
        <w:t>Adevinta es un grupo de empresas líder en marketplaces digitales y una de las principales empresas del sector tecnológico del país, con más de 18 millones de usuarios únicos al mes en sus plataformas de los sectores inmobiliario (</w:t>
      </w:r>
      <w:hyperlink r:id="rId16">
        <w:r w:rsidR="00D519F1">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7">
        <w:r w:rsidR="00D519F1">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18">
        <w:r w:rsidR="00D519F1">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9">
        <w:r w:rsidR="00D519F1">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0">
        <w:r w:rsidR="00D519F1">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1">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1D8E14E0" w14:textId="77777777" w:rsidR="00D519F1"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6EC3A1BA" w14:textId="77777777" w:rsidR="00D519F1"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2.500 millones de visitas cada mes. </w:t>
      </w:r>
    </w:p>
    <w:p w14:paraId="0CCDBE1D" w14:textId="2E3F4478" w:rsidR="00D519F1" w:rsidRDefault="00000000">
      <w:pPr>
        <w:spacing w:before="143" w:after="200"/>
        <w:jc w:val="both"/>
      </w:pPr>
      <w:r>
        <w:rPr>
          <w:rFonts w:ascii="Open Sans" w:eastAsia="Open Sans" w:hAnsi="Open Sans" w:cs="Open Sans"/>
          <w:sz w:val="22"/>
          <w:szCs w:val="22"/>
        </w:rPr>
        <w:t xml:space="preserve">Más información en </w:t>
      </w:r>
      <w:hyperlink r:id="rId22">
        <w:r w:rsidR="00D519F1">
          <w:rPr>
            <w:rFonts w:ascii="Open Sans" w:eastAsia="Open Sans" w:hAnsi="Open Sans" w:cs="Open Sans"/>
            <w:color w:val="1155CC"/>
            <w:sz w:val="22"/>
            <w:szCs w:val="22"/>
            <w:u w:val="single"/>
          </w:rPr>
          <w:t>adevinta.es</w:t>
        </w:r>
      </w:hyperlink>
    </w:p>
    <w:p w14:paraId="4C03177B" w14:textId="77777777" w:rsidR="00D519F1" w:rsidRDefault="00D519F1">
      <w:pPr>
        <w:spacing w:before="143" w:after="200"/>
        <w:jc w:val="both"/>
        <w:rPr>
          <w:rFonts w:ascii="Open Sans" w:eastAsia="Open Sans" w:hAnsi="Open Sans" w:cs="Open Sans"/>
        </w:rPr>
      </w:pPr>
    </w:p>
    <w:p w14:paraId="2DA8A553" w14:textId="77777777" w:rsidR="00D519F1"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39DB1A40" w14:textId="77777777" w:rsidR="00D519F1"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258ACC76" w14:textId="77777777" w:rsidR="00D519F1" w:rsidRDefault="00D519F1">
      <w:pPr>
        <w:shd w:val="clear" w:color="auto" w:fill="FFFFFF"/>
        <w:spacing w:line="276" w:lineRule="auto"/>
        <w:rPr>
          <w:rFonts w:ascii="Open Sans" w:eastAsia="Open Sans" w:hAnsi="Open Sans" w:cs="Open Sans"/>
          <w:color w:val="0000FF"/>
          <w:sz w:val="22"/>
          <w:szCs w:val="22"/>
          <w:u w:val="single"/>
        </w:rPr>
      </w:pPr>
      <w:hyperlink r:id="rId23">
        <w:r>
          <w:rPr>
            <w:rFonts w:ascii="Open Sans" w:eastAsia="Open Sans" w:hAnsi="Open Sans" w:cs="Open Sans"/>
            <w:color w:val="0000FF"/>
            <w:sz w:val="22"/>
            <w:szCs w:val="22"/>
            <w:u w:val="single"/>
          </w:rPr>
          <w:t>comunicacion@fotocasa.es</w:t>
        </w:r>
      </w:hyperlink>
    </w:p>
    <w:p w14:paraId="58D2A215" w14:textId="77777777" w:rsidR="00D519F1"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D519F1">
      <w:footerReference w:type="default" r:id="rId24"/>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E0759" w14:textId="77777777" w:rsidR="003F3969" w:rsidRDefault="003F3969">
      <w:r>
        <w:separator/>
      </w:r>
    </w:p>
  </w:endnote>
  <w:endnote w:type="continuationSeparator" w:id="0">
    <w:p w14:paraId="34D33FE2" w14:textId="77777777" w:rsidR="003F3969" w:rsidRDefault="003F3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412D4CF-3A0F-4984-B315-1B8635443A0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CF22FAD-DF5B-4050-B995-3CD45026A3A6}"/>
    <w:embedBold r:id="rId3" w:fontKey="{2CA52BC7-BDB7-4C21-AF82-7BE23D007FCC}"/>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764F50C9-00E4-4839-8941-0E2A549B33F0}"/>
  </w:font>
  <w:font w:name="Georgia">
    <w:panose1 w:val="02040502050405020303"/>
    <w:charset w:val="00"/>
    <w:family w:val="roman"/>
    <w:pitch w:val="variable"/>
    <w:sig w:usb0="00000287" w:usb1="00000000" w:usb2="00000000" w:usb3="00000000" w:csb0="0000009F" w:csb1="00000000"/>
    <w:embedRegular r:id="rId5" w:fontKey="{E692CBBE-015E-45BA-9AAB-A36CBC341E6B}"/>
    <w:embedItalic r:id="rId6" w:fontKey="{54BDE054-E87A-4A71-B096-134317AD1380}"/>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FD2A1F8C-47EB-478A-87D3-2520F4B4EF96}"/>
    <w:embedBold r:id="rId8" w:fontKey="{DE0C3927-A408-4EFB-9CC5-D7C28E23307E}"/>
    <w:embedBoldItalic r:id="rId9" w:fontKey="{67C44AE2-A091-4F74-8065-1F12CD9BB034}"/>
  </w:font>
  <w:font w:name="Open Sans Light">
    <w:charset w:val="00"/>
    <w:family w:val="swiss"/>
    <w:pitch w:val="variable"/>
    <w:sig w:usb0="E00002EF" w:usb1="4000205B" w:usb2="00000028" w:usb3="00000000" w:csb0="0000019F" w:csb1="00000000"/>
    <w:embedRegular r:id="rId10" w:fontKey="{3FB16887-9270-4921-B8ED-D57E86BC472D}"/>
    <w:embedBold r:id="rId11" w:fontKey="{4B340C1A-09F8-4160-9CBB-87663831B6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514F2" w14:textId="77777777" w:rsidR="00D519F1"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19F0BC94" wp14:editId="437F4080">
          <wp:simplePos x="0" y="0"/>
          <wp:positionH relativeFrom="column">
            <wp:posOffset>-1068038</wp:posOffset>
          </wp:positionH>
          <wp:positionV relativeFrom="paragraph">
            <wp:posOffset>174608</wp:posOffset>
          </wp:positionV>
          <wp:extent cx="7670550" cy="451315"/>
          <wp:effectExtent l="0" t="0" r="0" b="0"/>
          <wp:wrapNone/>
          <wp:docPr id="20668166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26E8BA" w14:textId="77777777" w:rsidR="003F3969" w:rsidRDefault="003F3969">
      <w:r>
        <w:separator/>
      </w:r>
    </w:p>
  </w:footnote>
  <w:footnote w:type="continuationSeparator" w:id="0">
    <w:p w14:paraId="225AAB8A" w14:textId="77777777" w:rsidR="003F3969" w:rsidRDefault="003F39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BC5011"/>
    <w:multiLevelType w:val="multilevel"/>
    <w:tmpl w:val="D7A2F2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16501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9F1"/>
    <w:rsid w:val="001C16DF"/>
    <w:rsid w:val="001D2C56"/>
    <w:rsid w:val="00223B49"/>
    <w:rsid w:val="002E7616"/>
    <w:rsid w:val="003F3969"/>
    <w:rsid w:val="00653FC4"/>
    <w:rsid w:val="00690057"/>
    <w:rsid w:val="00702A67"/>
    <w:rsid w:val="007F438F"/>
    <w:rsid w:val="0091240D"/>
    <w:rsid w:val="00B35BE4"/>
    <w:rsid w:val="00D519F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82674"/>
  <w15:docId w15:val="{6A8929AE-1F98-4F1F-81A8-0E7043585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3">
    <w:name w:val="Table Normal23"/>
    <w:tblPr>
      <w:tblCellMar>
        <w:top w:w="0" w:type="dxa"/>
        <w:left w:w="0" w:type="dxa"/>
        <w:bottom w:w="0" w:type="dxa"/>
        <w:right w:w="0" w:type="dxa"/>
      </w:tblCellMar>
    </w:tblPr>
  </w:style>
  <w:style w:type="table" w:customStyle="1" w:styleId="TableNormal22">
    <w:name w:val="Table Normal22"/>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4">
    <w:name w:val="Table Normal2"/>
    <w:tblPr>
      <w:tblCellMar>
        <w:top w:w="0" w:type="dxa"/>
        <w:left w:w="0" w:type="dxa"/>
        <w:bottom w:w="0" w:type="dxa"/>
        <w:right w:w="0" w:type="dxa"/>
      </w:tblCellMar>
    </w:tblPr>
  </w:style>
  <w:style w:type="table" w:customStyle="1" w:styleId="TableNormal1a">
    <w:name w:val="Table Normal1"/>
    <w:tblPr>
      <w:tblCellMar>
        <w:top w:w="0" w:type="dxa"/>
        <w:left w:w="0" w:type="dxa"/>
        <w:bottom w:w="0" w:type="dxa"/>
        <w:right w:w="0" w:type="dxa"/>
      </w:tblCellMar>
    </w:tblPr>
  </w:style>
  <w:style w:type="table" w:customStyle="1" w:styleId="5">
    <w:name w:val="5"/>
    <w:basedOn w:val="TableNormal1a"/>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4">
    <w:name w:val="4"/>
    <w:basedOn w:val="TableNormal1a"/>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3"/>
    <w:basedOn w:val="TableNormal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2">
    <w:name w:val="2"/>
    <w:basedOn w:val="TableNormal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1">
    <w:name w:val="1"/>
    <w:basedOn w:val="TableNormal15"/>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infojobs.ne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milanuncios.com/" TargetMode="External"/><Relationship Id="rId7" Type="http://schemas.openxmlformats.org/officeDocument/2006/relationships/endnotes" Target="endnotes.xml"/><Relationship Id="rId12" Type="http://schemas.openxmlformats.org/officeDocument/2006/relationships/hyperlink" Target="https://www.fotocasa.es/es/" TargetMode="External"/><Relationship Id="rId17" Type="http://schemas.openxmlformats.org/officeDocument/2006/relationships/hyperlink" Target="https://www.habitaclia.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otocasa.es/es/" TargetMode="External"/><Relationship Id="rId20" Type="http://schemas.openxmlformats.org/officeDocument/2006/relationships/hyperlink" Target="https://motos.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prensa.fotocasa.es" TargetMode="External"/><Relationship Id="rId23" Type="http://schemas.openxmlformats.org/officeDocument/2006/relationships/hyperlink" Target="mailto:comunicacion@fotocasa.es" TargetMode="External"/><Relationship Id="rId10" Type="http://schemas.openxmlformats.org/officeDocument/2006/relationships/hyperlink" Target="https://research.fotocasa.es/" TargetMode="External"/><Relationship Id="rId19" Type="http://schemas.openxmlformats.org/officeDocument/2006/relationships/hyperlink" Target="https://www.coches.net/" TargetMode="External"/><Relationship Id="rId4" Type="http://schemas.openxmlformats.org/officeDocument/2006/relationships/settings" Target="settings.xml"/><Relationship Id="rId9" Type="http://schemas.openxmlformats.org/officeDocument/2006/relationships/hyperlink" Target="https://s36360.pcdn.co/wp-content/uploads/2025/07/Informe-Experiencia-alquiler-en-2025.pdf" TargetMode="External"/><Relationship Id="rId14" Type="http://schemas.openxmlformats.org/officeDocument/2006/relationships/hyperlink" Target="https://www.fotocasa.es/indice/" TargetMode="External"/><Relationship Id="rId22" Type="http://schemas.openxmlformats.org/officeDocument/2006/relationships/hyperlink" Target="http://adevint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nXNq/ilfdalTIxaWgwclSaVE2Q==">CgMxLjAyCWguMnM4ZXlvMTgAciExdVVIN19pclBPMmVQSHh5bnVwel9JNlRUNFpLcTRJd1g=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1285</Words>
  <Characters>7069</Characters>
  <Application>Microsoft Office Word</Application>
  <DocSecurity>0</DocSecurity>
  <Lines>58</Lines>
  <Paragraphs>16</Paragraphs>
  <ScaleCrop>false</ScaleCrop>
  <Company/>
  <LinksUpToDate>false</LinksUpToDate>
  <CharactersWithSpaces>8338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 Torne</dc:creator>
  <cp:lastModifiedBy>Anaïs López García</cp:lastModifiedBy>
  <cp:revision>8</cp:revision>
  <cp:lastPrinted>2025-07-31T21:25:00Z</cp:lastPrinted>
  <dcterms:created xsi:type="dcterms:W3CDTF">2024-02-06T13:46:00Z</dcterms:created>
  <dcterms:modified xsi:type="dcterms:W3CDTF">2025-07-31T21:28:00Z</dcterms:modified>
</cp:coreProperties>
</file>