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A0877" w14:textId="77777777" w:rsidR="00D927C8" w:rsidRDefault="00000000">
      <w:r>
        <w:rPr>
          <w:noProof/>
        </w:rPr>
        <w:drawing>
          <wp:anchor distT="0" distB="0" distL="114300" distR="114300" simplePos="0" relativeHeight="251658240" behindDoc="0" locked="0" layoutInCell="1" hidden="0" allowOverlap="1" wp14:anchorId="4644C5CD" wp14:editId="57651440">
            <wp:simplePos x="0" y="0"/>
            <wp:positionH relativeFrom="column">
              <wp:posOffset>-1080114</wp:posOffset>
            </wp:positionH>
            <wp:positionV relativeFrom="paragraph">
              <wp:posOffset>-654663</wp:posOffset>
            </wp:positionV>
            <wp:extent cx="7581265" cy="1019175"/>
            <wp:effectExtent l="0" t="0" r="0" b="0"/>
            <wp:wrapNone/>
            <wp:docPr id="2066816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443683D" w14:textId="77777777" w:rsidR="00D927C8" w:rsidRDefault="00D927C8">
      <w:pPr>
        <w:jc w:val="right"/>
        <w:rPr>
          <w:rFonts w:ascii="National" w:eastAsia="National" w:hAnsi="National" w:cs="National"/>
          <w:color w:val="303AB2"/>
          <w:sz w:val="36"/>
          <w:szCs w:val="36"/>
        </w:rPr>
      </w:pPr>
    </w:p>
    <w:p w14:paraId="5902D00A" w14:textId="77777777" w:rsidR="00D927C8" w:rsidRDefault="00D927C8">
      <w:pPr>
        <w:jc w:val="center"/>
        <w:rPr>
          <w:rFonts w:ascii="National" w:eastAsia="National" w:hAnsi="National" w:cs="National"/>
          <w:b/>
          <w:color w:val="1DBDC5"/>
          <w:sz w:val="34"/>
          <w:szCs w:val="34"/>
        </w:rPr>
      </w:pPr>
    </w:p>
    <w:p w14:paraId="5BF3EE6A" w14:textId="77777777" w:rsidR="00D927C8"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380E5018" w14:textId="77777777" w:rsidR="00D927C8" w:rsidRPr="001A4E3C" w:rsidRDefault="001A4E3C" w:rsidP="001A4E3C">
      <w:pPr>
        <w:jc w:val="center"/>
        <w:rPr>
          <w:rFonts w:ascii="National" w:eastAsia="National" w:hAnsi="National" w:cs="National"/>
          <w:b/>
          <w:color w:val="303AB2"/>
          <w:sz w:val="50"/>
          <w:szCs w:val="50"/>
        </w:rPr>
      </w:pPr>
      <w:r w:rsidRPr="001A4E3C">
        <w:rPr>
          <w:rFonts w:ascii="National" w:eastAsia="National" w:hAnsi="National" w:cs="National"/>
          <w:b/>
          <w:color w:val="303AB2"/>
          <w:sz w:val="50"/>
          <w:szCs w:val="50"/>
        </w:rPr>
        <w:t>El 48% de los propietarios señala la desconfianza hacia los inquilinos como su mayor obstáculo para alquilar</w:t>
      </w:r>
    </w:p>
    <w:p w14:paraId="18237EAA" w14:textId="77777777" w:rsidR="00D927C8" w:rsidRDefault="00D927C8">
      <w:pPr>
        <w:rPr>
          <w:rFonts w:ascii="Open Sans" w:eastAsia="Open Sans" w:hAnsi="Open Sans" w:cs="Open Sans"/>
          <w:color w:val="303AB2"/>
        </w:rPr>
      </w:pPr>
    </w:p>
    <w:p w14:paraId="24BF0059" w14:textId="77777777" w:rsidR="00D927C8"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En solo un año la desconfianza que sienten los propietarios por los posibles inquilinos se incrementa en ocho puntos porcentuales</w:t>
      </w:r>
    </w:p>
    <w:p w14:paraId="4E7D1FD6" w14:textId="77777777" w:rsidR="00D927C8"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La falta de tiempo para enseñar las viviendas o la elevada cantidad de ofertas que reciben son otras de las dificultades que señalan los propietarios</w:t>
      </w:r>
    </w:p>
    <w:p w14:paraId="313B35DA" w14:textId="77777777" w:rsidR="00D927C8"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Tener una renta cada mes es el principal motivo para alquilar y no vender: un 66% dice que es una fuente de ingresos y un 41% la rentabilidad que ofrece</w:t>
      </w:r>
    </w:p>
    <w:p w14:paraId="478DAF42" w14:textId="77777777" w:rsidR="00D927C8" w:rsidRDefault="00D927C8" w:rsidP="001A4E3C">
      <w:p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p>
    <w:p w14:paraId="21894042" w14:textId="230CECE0" w:rsidR="00D927C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EB63B5">
        <w:rPr>
          <w:rFonts w:ascii="Open Sans Light" w:eastAsia="Open Sans Light" w:hAnsi="Open Sans Light" w:cs="Open Sans Light"/>
          <w:b/>
          <w:color w:val="303AB2"/>
        </w:rPr>
        <w:t>10</w:t>
      </w:r>
      <w:r>
        <w:rPr>
          <w:rFonts w:ascii="Open Sans Light" w:eastAsia="Open Sans Light" w:hAnsi="Open Sans Light" w:cs="Open Sans Light"/>
          <w:b/>
          <w:color w:val="303AB2"/>
        </w:rPr>
        <w:t xml:space="preserve"> de septiembre de 2025</w:t>
      </w:r>
    </w:p>
    <w:p w14:paraId="2972F02E" w14:textId="77777777" w:rsidR="00D927C8" w:rsidRDefault="00D927C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974E423" w14:textId="77777777" w:rsidR="001A4E3C" w:rsidRDefault="00000000" w:rsidP="001A4E3C">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Los propietarios de viviendas en alquiler arrastran complicaciones durante el proceso de arrendamiento de una vivienda. </w:t>
      </w:r>
      <w:r w:rsidRPr="00EB63B5">
        <w:rPr>
          <w:rFonts w:ascii="Open Sans" w:eastAsia="Open Sans" w:hAnsi="Open Sans" w:cs="Open Sans"/>
          <w:b/>
          <w:bCs/>
          <w:sz w:val="22"/>
          <w:szCs w:val="22"/>
        </w:rPr>
        <w:t>La primera preocupación que se les presenta e igual que sucedía en años anteriores es la desconfianza sobre los posibles inquilinos</w:t>
      </w:r>
      <w:r>
        <w:rPr>
          <w:rFonts w:ascii="Open Sans" w:eastAsia="Open Sans" w:hAnsi="Open Sans" w:cs="Open Sans"/>
          <w:sz w:val="22"/>
          <w:szCs w:val="22"/>
        </w:rPr>
        <w:t xml:space="preserve">, a la que hacen referencia el 48 % de ellos, un porcentaje significativamente superior al del anterior informe, cuando era del 40%. Esta es una de las principales conclusiones del informe </w:t>
      </w:r>
      <w:r w:rsidR="001A4E3C">
        <w:rPr>
          <w:rFonts w:ascii="Open Sans" w:eastAsia="Open Sans" w:hAnsi="Open Sans" w:cs="Open Sans"/>
          <w:sz w:val="22"/>
          <w:szCs w:val="22"/>
        </w:rPr>
        <w:t>“</w:t>
      </w:r>
      <w:hyperlink r:id="rId9" w:history="1">
        <w:r w:rsidR="001A4E3C" w:rsidRPr="005A4788">
          <w:rPr>
            <w:rStyle w:val="Hipervnculo"/>
            <w:rFonts w:ascii="Open Sans" w:eastAsia="Open Sans" w:hAnsi="Open Sans" w:cs="Open Sans"/>
            <w:b/>
            <w:i/>
            <w:sz w:val="22"/>
            <w:szCs w:val="22"/>
          </w:rPr>
          <w:t>Experiencia en alquiler en 2025</w:t>
        </w:r>
      </w:hyperlink>
      <w:r w:rsidR="001A4E3C">
        <w:rPr>
          <w:rFonts w:ascii="Open Sans" w:eastAsia="Open Sans" w:hAnsi="Open Sans" w:cs="Open Sans"/>
          <w:sz w:val="22"/>
          <w:szCs w:val="22"/>
        </w:rPr>
        <w:t xml:space="preserve">”, elaborado por </w:t>
      </w:r>
      <w:hyperlink r:id="rId10">
        <w:r w:rsidR="001A4E3C">
          <w:rPr>
            <w:rFonts w:ascii="Open Sans" w:eastAsia="Open Sans" w:hAnsi="Open Sans" w:cs="Open Sans"/>
            <w:b/>
            <w:color w:val="0000FF"/>
            <w:sz w:val="22"/>
            <w:szCs w:val="22"/>
            <w:u w:val="single"/>
          </w:rPr>
          <w:t xml:space="preserve">Fotocasa </w:t>
        </w:r>
        <w:proofErr w:type="spellStart"/>
        <w:r w:rsidR="001A4E3C">
          <w:rPr>
            <w:rFonts w:ascii="Open Sans" w:eastAsia="Open Sans" w:hAnsi="Open Sans" w:cs="Open Sans"/>
            <w:b/>
            <w:color w:val="0000FF"/>
            <w:sz w:val="22"/>
            <w:szCs w:val="22"/>
            <w:u w:val="single"/>
          </w:rPr>
          <w:t>Research</w:t>
        </w:r>
        <w:proofErr w:type="spellEnd"/>
      </w:hyperlink>
      <w:r w:rsidR="001A4E3C">
        <w:rPr>
          <w:rFonts w:ascii="Open Sans" w:eastAsia="Open Sans" w:hAnsi="Open Sans" w:cs="Open Sans"/>
          <w:sz w:val="22"/>
          <w:szCs w:val="22"/>
        </w:rPr>
        <w:t xml:space="preserve"> y que traza una exhaustiva radiografía del mercado de la vivienda en arrendamiento.</w:t>
      </w:r>
    </w:p>
    <w:p w14:paraId="5460DADF"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22B973C8" w14:textId="15E59FBB" w:rsidR="00D927C8" w:rsidRPr="00EB63B5" w:rsidRDefault="00000000">
      <w:pPr>
        <w:pBdr>
          <w:top w:val="nil"/>
          <w:left w:val="nil"/>
          <w:bottom w:val="nil"/>
          <w:right w:val="nil"/>
          <w:between w:val="nil"/>
        </w:pBdr>
        <w:spacing w:line="276" w:lineRule="auto"/>
        <w:jc w:val="both"/>
        <w:rPr>
          <w:rFonts w:ascii="Open Sans" w:eastAsia="Open Sans" w:hAnsi="Open Sans" w:cs="Open Sans"/>
          <w:b/>
          <w:bCs/>
          <w:sz w:val="22"/>
          <w:szCs w:val="22"/>
        </w:rPr>
      </w:pPr>
      <w:r>
        <w:rPr>
          <w:rFonts w:ascii="Open Sans" w:eastAsia="Open Sans" w:hAnsi="Open Sans" w:cs="Open Sans"/>
          <w:sz w:val="22"/>
          <w:szCs w:val="22"/>
        </w:rPr>
        <w:t xml:space="preserve">A continuación, aunque en mucha menor medida, encuentran otros peajes como </w:t>
      </w:r>
      <w:r w:rsidRPr="00EB63B5">
        <w:rPr>
          <w:rFonts w:ascii="Open Sans" w:eastAsia="Open Sans" w:hAnsi="Open Sans" w:cs="Open Sans"/>
          <w:b/>
          <w:bCs/>
          <w:sz w:val="22"/>
          <w:szCs w:val="22"/>
        </w:rPr>
        <w:t>la disponibilidad de tiempo para enseñar la vivienda (13%) o la cantidad elevada de ofertas</w:t>
      </w:r>
      <w:r w:rsidR="00EB63B5">
        <w:rPr>
          <w:rFonts w:ascii="Open Sans" w:eastAsia="Open Sans" w:hAnsi="Open Sans" w:cs="Open Sans"/>
          <w:b/>
          <w:bCs/>
          <w:sz w:val="22"/>
          <w:szCs w:val="22"/>
        </w:rPr>
        <w:t xml:space="preserve"> que reciben</w:t>
      </w:r>
      <w:r w:rsidRPr="00EB63B5">
        <w:rPr>
          <w:rFonts w:ascii="Open Sans" w:eastAsia="Open Sans" w:hAnsi="Open Sans" w:cs="Open Sans"/>
          <w:b/>
          <w:bCs/>
          <w:sz w:val="22"/>
          <w:szCs w:val="22"/>
        </w:rPr>
        <w:t xml:space="preserve"> (10%).</w:t>
      </w:r>
    </w:p>
    <w:p w14:paraId="3F9B802B"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4B90DA85" w14:textId="13D2AC78" w:rsidR="00D927C8"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 xml:space="preserve">“Las preocupaciones de los propietarios sobre posibles impagos, destrozos o incluso ocupaciones en su vivienda y el hecho de no tener garantías sobre la recuperación de </w:t>
      </w:r>
      <w:proofErr w:type="gramStart"/>
      <w:r>
        <w:rPr>
          <w:rFonts w:ascii="Open Sans" w:eastAsia="Open Sans" w:hAnsi="Open Sans" w:cs="Open Sans"/>
          <w:sz w:val="22"/>
          <w:szCs w:val="22"/>
        </w:rPr>
        <w:t>la misma</w:t>
      </w:r>
      <w:proofErr w:type="gramEnd"/>
      <w:r>
        <w:rPr>
          <w:rFonts w:ascii="Open Sans" w:eastAsia="Open Sans" w:hAnsi="Open Sans" w:cs="Open Sans"/>
          <w:sz w:val="22"/>
          <w:szCs w:val="22"/>
        </w:rPr>
        <w:t xml:space="preserve">, desincentivan la puesta en alquiler de los inmuebles. Esta creciente desconfianza, que este año ha aumentado ocho puntos porcentuales, está directamente relacionada con la falta de seguridad jurídica y la percepción de desprotección ante situaciones problemáticas. Muchos propietarios sienten que, una vez alquilada la vivienda, pierden capacidad de actuación ante imprevistos o incumplimientos. Por ello, es imprescindible garantizar mecanismos que aporten seguridad y certidumbre a ambas partes </w:t>
      </w:r>
      <w:r>
        <w:rPr>
          <w:rFonts w:ascii="Open Sans" w:eastAsia="Open Sans" w:hAnsi="Open Sans" w:cs="Open Sans"/>
          <w:sz w:val="22"/>
          <w:szCs w:val="22"/>
        </w:rPr>
        <w:lastRenderedPageBreak/>
        <w:t xml:space="preserve">fundamentales del mercado, tanto inquilinos como </w:t>
      </w:r>
      <w:r w:rsidR="00EB63B5">
        <w:rPr>
          <w:rFonts w:ascii="Open Sans" w:eastAsia="Open Sans" w:hAnsi="Open Sans" w:cs="Open Sans"/>
          <w:sz w:val="22"/>
          <w:szCs w:val="22"/>
        </w:rPr>
        <w:t>propietarios “</w:t>
      </w:r>
      <w:r>
        <w:rPr>
          <w:rFonts w:ascii="Open Sans" w:eastAsia="Open Sans" w:hAnsi="Open Sans" w:cs="Open Sans"/>
          <w:sz w:val="22"/>
          <w:szCs w:val="22"/>
        </w:rPr>
        <w:t xml:space="preserve">, </w:t>
      </w:r>
      <w:r>
        <w:rPr>
          <w:rFonts w:ascii="Open Sans" w:eastAsia="Open Sans" w:hAnsi="Open Sans" w:cs="Open Sans"/>
          <w:b/>
          <w:sz w:val="22"/>
          <w:szCs w:val="22"/>
        </w:rPr>
        <w:t xml:space="preserve">comenta María Matos, directora de Estudios y portavoz de </w:t>
      </w:r>
      <w:hyperlink r:id="rId11">
        <w:r w:rsidR="00D927C8">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p>
    <w:p w14:paraId="0F1C058C" w14:textId="77777777" w:rsidR="00D927C8" w:rsidRDefault="00D927C8">
      <w:pPr>
        <w:spacing w:line="276" w:lineRule="auto"/>
        <w:ind w:right="4"/>
        <w:jc w:val="both"/>
        <w:rPr>
          <w:rFonts w:ascii="Open Sans" w:eastAsia="Open Sans" w:hAnsi="Open Sans" w:cs="Open Sans"/>
          <w:b/>
          <w:sz w:val="22"/>
          <w:szCs w:val="22"/>
        </w:rPr>
      </w:pPr>
    </w:p>
    <w:p w14:paraId="410D8E8C" w14:textId="77777777" w:rsidR="00D927C8" w:rsidRDefault="00000000">
      <w:pPr>
        <w:spacing w:line="276" w:lineRule="auto"/>
        <w:ind w:right="4"/>
        <w:jc w:val="center"/>
        <w:rPr>
          <w:rFonts w:ascii="Open Sans Light" w:eastAsia="Open Sans Light" w:hAnsi="Open Sans Light" w:cs="Open Sans Light"/>
          <w:b/>
          <w:color w:val="303AB2"/>
        </w:rPr>
      </w:pPr>
      <w:r>
        <w:rPr>
          <w:noProof/>
        </w:rPr>
        <w:drawing>
          <wp:inline distT="0" distB="0" distL="0" distR="0" wp14:anchorId="5BC6BFBA" wp14:editId="72B632A9">
            <wp:extent cx="5643337" cy="3961906"/>
            <wp:effectExtent l="0" t="0" r="0" b="0"/>
            <wp:docPr id="2066816629" name="image5.png" descr="Gráfico, Escala de tiemp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Escala de tiempo, Gráfico de barras&#10;&#10;El contenido generado por IA puede ser incorrecto."/>
                    <pic:cNvPicPr preferRelativeResize="0"/>
                  </pic:nvPicPr>
                  <pic:blipFill>
                    <a:blip r:embed="rId12"/>
                    <a:srcRect/>
                    <a:stretch>
                      <a:fillRect/>
                    </a:stretch>
                  </pic:blipFill>
                  <pic:spPr>
                    <a:xfrm>
                      <a:off x="0" y="0"/>
                      <a:ext cx="5643337" cy="3961906"/>
                    </a:xfrm>
                    <a:prstGeom prst="rect">
                      <a:avLst/>
                    </a:prstGeom>
                    <a:ln/>
                  </pic:spPr>
                </pic:pic>
              </a:graphicData>
            </a:graphic>
          </wp:inline>
        </w:drawing>
      </w:r>
    </w:p>
    <w:p w14:paraId="40225DA9" w14:textId="77777777" w:rsidR="00D927C8" w:rsidRDefault="00D927C8">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p>
    <w:p w14:paraId="016FFD35" w14:textId="77777777" w:rsidR="00D927C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La renta mensual, principal aliciente para los arrendadores</w:t>
      </w:r>
    </w:p>
    <w:p w14:paraId="40518171" w14:textId="77777777" w:rsidR="00D927C8" w:rsidRDefault="00D927C8">
      <w:pPr>
        <w:spacing w:line="276" w:lineRule="auto"/>
        <w:ind w:right="4"/>
        <w:jc w:val="both"/>
        <w:rPr>
          <w:rFonts w:ascii="Open Sans" w:eastAsia="Open Sans" w:hAnsi="Open Sans" w:cs="Open Sans"/>
          <w:sz w:val="22"/>
          <w:szCs w:val="22"/>
        </w:rPr>
      </w:pPr>
    </w:p>
    <w:p w14:paraId="11DFA5D2" w14:textId="77777777" w:rsidR="00D927C8"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Como cada año, la principal motivación de los arrendadores a la hora de sumar al mercado del alquiler un inmueble de su propiedad se basa en la economía. Así, </w:t>
      </w:r>
      <w:r>
        <w:rPr>
          <w:rFonts w:ascii="Open Sans" w:eastAsia="Open Sans" w:hAnsi="Open Sans" w:cs="Open Sans"/>
          <w:b/>
          <w:sz w:val="22"/>
          <w:szCs w:val="22"/>
        </w:rPr>
        <w:t>para el 66% constituye una fuente de ingresos</w:t>
      </w:r>
      <w:r>
        <w:rPr>
          <w:rFonts w:ascii="Open Sans" w:eastAsia="Open Sans" w:hAnsi="Open Sans" w:cs="Open Sans"/>
          <w:sz w:val="22"/>
          <w:szCs w:val="22"/>
        </w:rPr>
        <w:t xml:space="preserve"> (64% un año antes), mientras que el 41% señala la rentabilidad que ofrece esta decisión (42% en 2024).</w:t>
      </w:r>
    </w:p>
    <w:p w14:paraId="4BE91918" w14:textId="77777777" w:rsidR="00D927C8" w:rsidRDefault="00D927C8">
      <w:pPr>
        <w:spacing w:line="276" w:lineRule="auto"/>
        <w:ind w:right="4"/>
        <w:jc w:val="both"/>
        <w:rPr>
          <w:rFonts w:ascii="Open Sans" w:eastAsia="Open Sans" w:hAnsi="Open Sans" w:cs="Open Sans"/>
          <w:sz w:val="22"/>
          <w:szCs w:val="22"/>
        </w:rPr>
      </w:pPr>
    </w:p>
    <w:p w14:paraId="48748336" w14:textId="77777777" w:rsidR="00D927C8"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Tras este bloque se sitúa el argumento de que </w:t>
      </w:r>
      <w:r>
        <w:rPr>
          <w:rFonts w:ascii="Open Sans" w:eastAsia="Open Sans" w:hAnsi="Open Sans" w:cs="Open Sans"/>
          <w:b/>
          <w:sz w:val="22"/>
          <w:szCs w:val="22"/>
        </w:rPr>
        <w:t>se prefiere que el inmueble esté habitado</w:t>
      </w:r>
      <w:r>
        <w:rPr>
          <w:rFonts w:ascii="Open Sans" w:eastAsia="Open Sans" w:hAnsi="Open Sans" w:cs="Open Sans"/>
          <w:sz w:val="22"/>
          <w:szCs w:val="22"/>
        </w:rPr>
        <w:t>, al que se acogen el 38% de los consultados, el mismo porcentaje que en el anterior estudio, aunque lejos del 43% de 2022. En este apartado también resulta relevante el repunte que experimenta la respuesta basada en la subida de los precios del alquiler, que pasa del 6% de 2024 al 10% de un año más tarde, un significativo incremento de cuatro puntos porcentuales.</w:t>
      </w:r>
    </w:p>
    <w:p w14:paraId="38DA921F"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3424917E"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79EE6DA1"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4AF0B80B"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0FD14FE5"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6BF2CC1F" w14:textId="77777777" w:rsidR="00D927C8"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52C27368" wp14:editId="08D239EC">
            <wp:extent cx="5718176" cy="3674710"/>
            <wp:effectExtent l="0" t="0" r="0" b="0"/>
            <wp:docPr id="2066816628" name="image4.png" descr="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de barras&#10;&#10;El contenido generado por IA puede ser incorrecto."/>
                    <pic:cNvPicPr preferRelativeResize="0"/>
                  </pic:nvPicPr>
                  <pic:blipFill>
                    <a:blip r:embed="rId13"/>
                    <a:srcRect/>
                    <a:stretch>
                      <a:fillRect/>
                    </a:stretch>
                  </pic:blipFill>
                  <pic:spPr>
                    <a:xfrm>
                      <a:off x="0" y="0"/>
                      <a:ext cx="5718176" cy="3674710"/>
                    </a:xfrm>
                    <a:prstGeom prst="rect">
                      <a:avLst/>
                    </a:prstGeom>
                    <a:ln/>
                  </pic:spPr>
                </pic:pic>
              </a:graphicData>
            </a:graphic>
          </wp:inline>
        </w:drawing>
      </w:r>
    </w:p>
    <w:p w14:paraId="5C8DA97C" w14:textId="77777777" w:rsidR="00D927C8" w:rsidRDefault="00D927C8">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p>
    <w:p w14:paraId="41ABED5D" w14:textId="77777777" w:rsidR="00D927C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La rentabilidad: principal motivo personal para alquilar una vivienda</w:t>
      </w:r>
    </w:p>
    <w:p w14:paraId="7BBDD12A"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3C0E23EE" w14:textId="77777777" w:rsidR="00D927C8"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Respecto a los motivos personales que los propietarios presentan a la hora de decidirse sumar su inmueble al mercado del alquiler, destaca, en primer lugar, </w:t>
      </w:r>
      <w:r>
        <w:rPr>
          <w:rFonts w:ascii="Open Sans" w:eastAsia="Open Sans" w:hAnsi="Open Sans" w:cs="Open Sans"/>
          <w:b/>
          <w:sz w:val="22"/>
          <w:szCs w:val="22"/>
        </w:rPr>
        <w:t>la rentabilidad que ofrece la vivienda, y que no ofrece ningún otro producto de inversión (37%</w:t>
      </w:r>
      <w:r>
        <w:rPr>
          <w:rFonts w:ascii="Open Sans" w:eastAsia="Open Sans" w:hAnsi="Open Sans" w:cs="Open Sans"/>
          <w:sz w:val="22"/>
          <w:szCs w:val="22"/>
        </w:rPr>
        <w:t xml:space="preserve">, el mismo porcentaje que el año anterior). El factor que sí cobra un notable auge este año es la consideración del alquiler como una fuente de ingresos que </w:t>
      </w:r>
      <w:r>
        <w:rPr>
          <w:rFonts w:ascii="Open Sans" w:eastAsia="Open Sans" w:hAnsi="Open Sans" w:cs="Open Sans"/>
          <w:b/>
          <w:sz w:val="22"/>
          <w:szCs w:val="22"/>
        </w:rPr>
        <w:t>ayuda a financiar el pago de la hipoteca</w:t>
      </w:r>
      <w:r>
        <w:rPr>
          <w:rFonts w:ascii="Open Sans" w:eastAsia="Open Sans" w:hAnsi="Open Sans" w:cs="Open Sans"/>
          <w:sz w:val="22"/>
          <w:szCs w:val="22"/>
        </w:rPr>
        <w:t>, que pasa del apoyo del 27% de los consultados al 36% en estos últimos doce meses.</w:t>
      </w:r>
    </w:p>
    <w:p w14:paraId="05853C0E"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635D8959" w14:textId="77777777" w:rsidR="00D927C8"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tercera posición encontramos el propósito de </w:t>
      </w:r>
      <w:r>
        <w:rPr>
          <w:rFonts w:ascii="Open Sans" w:eastAsia="Open Sans" w:hAnsi="Open Sans" w:cs="Open Sans"/>
          <w:b/>
          <w:sz w:val="22"/>
          <w:szCs w:val="22"/>
        </w:rPr>
        <w:t>mejorar su vivienda actual</w:t>
      </w:r>
      <w:r>
        <w:rPr>
          <w:rFonts w:ascii="Open Sans" w:eastAsia="Open Sans" w:hAnsi="Open Sans" w:cs="Open Sans"/>
          <w:sz w:val="22"/>
          <w:szCs w:val="22"/>
        </w:rPr>
        <w:t xml:space="preserve">, argumentado por el 17% de los arrendadores, el mismo dígito que en 2024. También destacan los que explican que su decisión de poner la vivienda en alquiler se debe a </w:t>
      </w:r>
      <w:r>
        <w:rPr>
          <w:rFonts w:ascii="Open Sans" w:eastAsia="Open Sans" w:hAnsi="Open Sans" w:cs="Open Sans"/>
          <w:b/>
          <w:sz w:val="22"/>
          <w:szCs w:val="22"/>
        </w:rPr>
        <w:t>haberla recibido en herencia</w:t>
      </w:r>
      <w:r>
        <w:rPr>
          <w:rFonts w:ascii="Open Sans" w:eastAsia="Open Sans" w:hAnsi="Open Sans" w:cs="Open Sans"/>
          <w:sz w:val="22"/>
          <w:szCs w:val="22"/>
        </w:rPr>
        <w:t xml:space="preserve"> (16%)</w:t>
      </w:r>
    </w:p>
    <w:p w14:paraId="166B183E"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258DAE22" w14:textId="77777777" w:rsidR="00D927C8"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0404BDBF" wp14:editId="44F005E7">
            <wp:extent cx="5760720" cy="4295140"/>
            <wp:effectExtent l="0" t="0" r="0" b="0"/>
            <wp:docPr id="2066816630"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4"/>
                    <a:srcRect/>
                    <a:stretch>
                      <a:fillRect/>
                    </a:stretch>
                  </pic:blipFill>
                  <pic:spPr>
                    <a:xfrm>
                      <a:off x="0" y="0"/>
                      <a:ext cx="5760720" cy="4295140"/>
                    </a:xfrm>
                    <a:prstGeom prst="rect">
                      <a:avLst/>
                    </a:prstGeom>
                    <a:ln/>
                  </pic:spPr>
                </pic:pic>
              </a:graphicData>
            </a:graphic>
          </wp:inline>
        </w:drawing>
      </w:r>
    </w:p>
    <w:p w14:paraId="475E1D40"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0095045C"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6FD4E44F" w14:textId="77777777" w:rsidR="00D927C8" w:rsidRDefault="00D927C8">
      <w:pPr>
        <w:pBdr>
          <w:top w:val="nil"/>
          <w:left w:val="nil"/>
          <w:bottom w:val="nil"/>
          <w:right w:val="nil"/>
          <w:between w:val="nil"/>
        </w:pBdr>
        <w:spacing w:line="276" w:lineRule="auto"/>
        <w:jc w:val="both"/>
        <w:rPr>
          <w:rFonts w:ascii="Open Sans" w:eastAsia="Open Sans" w:hAnsi="Open Sans" w:cs="Open Sans"/>
          <w:sz w:val="22"/>
          <w:szCs w:val="22"/>
        </w:rPr>
      </w:pPr>
    </w:p>
    <w:p w14:paraId="55478EF4" w14:textId="77777777" w:rsidR="00D927C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5440D5E" w14:textId="77777777" w:rsidR="00D92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D927C8">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EC1AA1D" w14:textId="77777777" w:rsidR="00D92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D927C8">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6A7E1A5" w14:textId="77777777" w:rsidR="00D927C8"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18838E0" w14:textId="77777777" w:rsidR="00D927C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1FAE395" w14:textId="77777777" w:rsidR="00D927C8"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D927C8">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D927C8">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D927C8">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D927C8">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D927C8">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0F9AEC8" w14:textId="77777777" w:rsidR="00D927C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5B31ED4" w14:textId="77777777" w:rsidR="00D927C8"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3B25B46" w14:textId="77777777" w:rsidR="00D927C8" w:rsidRDefault="00000000">
      <w:pPr>
        <w:spacing w:before="143" w:after="200"/>
        <w:jc w:val="both"/>
      </w:pPr>
      <w:r>
        <w:rPr>
          <w:rFonts w:ascii="Open Sans" w:eastAsia="Open Sans" w:hAnsi="Open Sans" w:cs="Open Sans"/>
          <w:sz w:val="22"/>
          <w:szCs w:val="22"/>
        </w:rPr>
        <w:t xml:space="preserve">Más información en </w:t>
      </w:r>
      <w:hyperlink r:id="rId22">
        <w:r w:rsidR="00D927C8">
          <w:rPr>
            <w:rFonts w:ascii="Open Sans" w:eastAsia="Open Sans" w:hAnsi="Open Sans" w:cs="Open Sans"/>
            <w:color w:val="1155CC"/>
            <w:sz w:val="22"/>
            <w:szCs w:val="22"/>
            <w:u w:val="single"/>
          </w:rPr>
          <w:t>adevinta.es</w:t>
        </w:r>
      </w:hyperlink>
    </w:p>
    <w:p w14:paraId="3C643F02" w14:textId="77777777" w:rsidR="00D927C8" w:rsidRDefault="00D927C8">
      <w:pPr>
        <w:spacing w:before="143" w:after="200"/>
        <w:jc w:val="both"/>
        <w:rPr>
          <w:rFonts w:ascii="Open Sans" w:eastAsia="Open Sans" w:hAnsi="Open Sans" w:cs="Open Sans"/>
        </w:rPr>
      </w:pPr>
    </w:p>
    <w:p w14:paraId="6CD1FA81" w14:textId="77777777" w:rsidR="00D927C8"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E840B57" w14:textId="77777777" w:rsidR="00D927C8"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AB3F8C6" w14:textId="77777777" w:rsidR="00D927C8" w:rsidRDefault="00D927C8">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255B9A8C" w14:textId="77777777" w:rsidR="00D927C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927C8">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2E042" w14:textId="77777777" w:rsidR="00EC5BFE" w:rsidRDefault="00EC5BFE">
      <w:r>
        <w:separator/>
      </w:r>
    </w:p>
  </w:endnote>
  <w:endnote w:type="continuationSeparator" w:id="0">
    <w:p w14:paraId="10F6F531" w14:textId="77777777" w:rsidR="00EC5BFE" w:rsidRDefault="00EC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0E159B-F5E5-42C8-A454-3190D9B7F0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BD00E4-09A7-4CC1-9890-3DD5598FC243}"/>
    <w:embedBold r:id="rId3" w:fontKey="{7AD106D7-87E5-45F6-A97C-6C147338E11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9466C7F-B632-481B-87CF-461CAC860C7D}"/>
  </w:font>
  <w:font w:name="Georgia">
    <w:panose1 w:val="02040502050405020303"/>
    <w:charset w:val="00"/>
    <w:family w:val="roman"/>
    <w:pitch w:val="variable"/>
    <w:sig w:usb0="00000287" w:usb1="00000000" w:usb2="00000000" w:usb3="00000000" w:csb0="0000009F" w:csb1="00000000"/>
    <w:embedRegular r:id="rId5" w:fontKey="{23250006-0AEB-4FED-A2B6-0DE574C1F733}"/>
    <w:embedItalic r:id="rId6" w:fontKey="{272131B1-2010-4129-A3F5-495E115A762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1E6A1DB-C763-4D67-B4F3-93D21050DB7E}"/>
    <w:embedBold r:id="rId8" w:fontKey="{492A06A6-7B29-4150-9A29-B757347D7ECC}"/>
    <w:embedBoldItalic r:id="rId9" w:fontKey="{944BB1DC-DB8A-4115-9CA9-83AABAD6B1C5}"/>
  </w:font>
  <w:font w:name="Open Sans Light">
    <w:charset w:val="00"/>
    <w:family w:val="swiss"/>
    <w:pitch w:val="variable"/>
    <w:sig w:usb0="E00002EF" w:usb1="4000205B" w:usb2="00000028" w:usb3="00000000" w:csb0="0000019F" w:csb1="00000000"/>
    <w:embedRegular r:id="rId10" w:fontKey="{7B6148EB-EF27-45B9-BC10-B12ECE0E8B6C}"/>
    <w:embedBold r:id="rId11" w:fontKey="{D92D2D4F-8309-4933-BDA6-33DD340A3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F64D" w14:textId="77777777" w:rsidR="00D927C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AB4A83D" wp14:editId="5FA71F06">
          <wp:simplePos x="0" y="0"/>
          <wp:positionH relativeFrom="column">
            <wp:posOffset>-1068038</wp:posOffset>
          </wp:positionH>
          <wp:positionV relativeFrom="paragraph">
            <wp:posOffset>174608</wp:posOffset>
          </wp:positionV>
          <wp:extent cx="7670550" cy="451315"/>
          <wp:effectExtent l="0" t="0" r="0" b="0"/>
          <wp:wrapNone/>
          <wp:docPr id="20668166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E7A68" w14:textId="77777777" w:rsidR="00EC5BFE" w:rsidRDefault="00EC5BFE">
      <w:r>
        <w:separator/>
      </w:r>
    </w:p>
  </w:footnote>
  <w:footnote w:type="continuationSeparator" w:id="0">
    <w:p w14:paraId="1F316C82" w14:textId="77777777" w:rsidR="00EC5BFE" w:rsidRDefault="00EC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443DA"/>
    <w:multiLevelType w:val="multilevel"/>
    <w:tmpl w:val="A00C8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6042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C8"/>
    <w:rsid w:val="001A4E3C"/>
    <w:rsid w:val="00651956"/>
    <w:rsid w:val="007F438F"/>
    <w:rsid w:val="00A6250B"/>
    <w:rsid w:val="00CC7610"/>
    <w:rsid w:val="00D927C8"/>
    <w:rsid w:val="00EB63B5"/>
    <w:rsid w:val="00EC5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6A5C"/>
  <w15:docId w15:val="{6A8929AE-1F98-4F1F-81A8-0E704358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4.png"/><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z0ENUXLaiJXWwsxlm8XO1R2Mw==">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955</Words>
  <Characters>5255</Characters>
  <Application>Microsoft Office Word</Application>
  <DocSecurity>0</DocSecurity>
  <Lines>43</Lines>
  <Paragraphs>12</Paragraphs>
  <ScaleCrop>false</ScaleCrop>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2024-02-06T13:46:00Z</dcterms:created>
  <dcterms:modified xsi:type="dcterms:W3CDTF">2025-08-06T07:40:00Z</dcterms:modified>
</cp:coreProperties>
</file>