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E2AD1" w14:textId="77777777" w:rsidR="00581C84" w:rsidRDefault="00000000">
      <w:r>
        <w:rPr>
          <w:noProof/>
        </w:rPr>
        <w:drawing>
          <wp:anchor distT="0" distB="0" distL="114300" distR="114300" simplePos="0" relativeHeight="251658240" behindDoc="0" locked="0" layoutInCell="1" hidden="0" allowOverlap="1" wp14:anchorId="34866EA4" wp14:editId="244F6AD6">
            <wp:simplePos x="0" y="0"/>
            <wp:positionH relativeFrom="column">
              <wp:posOffset>-1080113</wp:posOffset>
            </wp:positionH>
            <wp:positionV relativeFrom="paragraph">
              <wp:posOffset>-654661</wp:posOffset>
            </wp:positionV>
            <wp:extent cx="7581265" cy="1019175"/>
            <wp:effectExtent l="0" t="0" r="0" b="0"/>
            <wp:wrapNone/>
            <wp:docPr id="20668166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98D5C4E" w14:textId="77777777" w:rsidR="00581C84" w:rsidRDefault="00581C84">
      <w:pPr>
        <w:jc w:val="right"/>
        <w:rPr>
          <w:rFonts w:ascii="National" w:eastAsia="National" w:hAnsi="National" w:cs="National"/>
          <w:color w:val="303AB2"/>
          <w:sz w:val="36"/>
          <w:szCs w:val="36"/>
        </w:rPr>
      </w:pPr>
    </w:p>
    <w:p w14:paraId="1F1B0803" w14:textId="77777777" w:rsidR="00581C84" w:rsidRDefault="00581C84">
      <w:pPr>
        <w:jc w:val="center"/>
        <w:rPr>
          <w:rFonts w:ascii="National" w:eastAsia="National" w:hAnsi="National" w:cs="National"/>
          <w:b/>
          <w:color w:val="1DBDC5"/>
          <w:sz w:val="34"/>
          <w:szCs w:val="34"/>
        </w:rPr>
      </w:pPr>
    </w:p>
    <w:p w14:paraId="6B0F0F3D" w14:textId="77777777" w:rsidR="00581C84"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3BC8812F" w14:textId="77777777" w:rsidR="00581C84"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El precio del alquiler es </w:t>
      </w:r>
      <w:r>
        <w:rPr>
          <w:rFonts w:ascii="National" w:eastAsia="National" w:hAnsi="National" w:cs="National"/>
          <w:b/>
          <w:i/>
          <w:color w:val="303AB2"/>
          <w:sz w:val="54"/>
          <w:szCs w:val="54"/>
        </w:rPr>
        <w:t>muy caro</w:t>
      </w:r>
      <w:r>
        <w:rPr>
          <w:rFonts w:ascii="National" w:eastAsia="National" w:hAnsi="National" w:cs="National"/>
          <w:b/>
          <w:color w:val="303AB2"/>
          <w:sz w:val="54"/>
          <w:szCs w:val="54"/>
        </w:rPr>
        <w:t xml:space="preserve"> para el 79% de los inquilinos, dos puntos más que hace un año</w:t>
      </w:r>
    </w:p>
    <w:p w14:paraId="1610C2D1" w14:textId="77777777" w:rsidR="00581C84" w:rsidRDefault="00581C84">
      <w:pPr>
        <w:rPr>
          <w:rFonts w:ascii="Open Sans" w:eastAsia="Open Sans" w:hAnsi="Open Sans" w:cs="Open Sans"/>
          <w:color w:val="303AB2"/>
        </w:rPr>
      </w:pPr>
    </w:p>
    <w:p w14:paraId="1C0E7E21" w14:textId="77777777" w:rsidR="00581C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93% de las personas demandantes de alquiler en España creen que los precios son caros o muy caros</w:t>
      </w:r>
    </w:p>
    <w:p w14:paraId="73098649" w14:textId="77777777" w:rsidR="00581C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76% de los inquilinos culpan a los alquileres vacaciones o de corta duración de la subida del precio de la vivienda</w:t>
      </w:r>
    </w:p>
    <w:p w14:paraId="4F71979A" w14:textId="77777777" w:rsidR="00581C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82% de los mayores de 45 años consideran el precio del alquiler “muy caro” y es el grupo de edad que más lo considera</w:t>
      </w:r>
    </w:p>
    <w:p w14:paraId="53D1DD2A" w14:textId="77777777" w:rsidR="00581C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La Comunidad Valenciana, con un 82%, y Madrid, con un 81%, son las comunidades donde más se considera la vivienda de alquiler ‘muy cara’</w:t>
      </w:r>
    </w:p>
    <w:p w14:paraId="351E7584" w14:textId="77777777" w:rsidR="00581C84" w:rsidRDefault="00581C84">
      <w:p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p>
    <w:p w14:paraId="6C8F19F3" w14:textId="7541753B" w:rsidR="00581C8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1E0AD6">
        <w:rPr>
          <w:rFonts w:ascii="Open Sans Light" w:eastAsia="Open Sans Light" w:hAnsi="Open Sans Light" w:cs="Open Sans Light"/>
          <w:b/>
          <w:color w:val="303AB2"/>
        </w:rPr>
        <w:t>26</w:t>
      </w:r>
      <w:r>
        <w:rPr>
          <w:rFonts w:ascii="Open Sans Light" w:eastAsia="Open Sans Light" w:hAnsi="Open Sans Light" w:cs="Open Sans Light"/>
          <w:b/>
          <w:color w:val="303AB2"/>
        </w:rPr>
        <w:t xml:space="preserve"> de </w:t>
      </w:r>
      <w:r w:rsidR="00301BD6">
        <w:rPr>
          <w:rFonts w:ascii="Open Sans Light" w:eastAsia="Open Sans Light" w:hAnsi="Open Sans Light" w:cs="Open Sans Light"/>
          <w:b/>
          <w:color w:val="303AB2"/>
        </w:rPr>
        <w:t>septiembre</w:t>
      </w:r>
      <w:r>
        <w:rPr>
          <w:rFonts w:ascii="Open Sans Light" w:eastAsia="Open Sans Light" w:hAnsi="Open Sans Light" w:cs="Open Sans Light"/>
          <w:b/>
          <w:color w:val="303AB2"/>
        </w:rPr>
        <w:t xml:space="preserve"> de 2025</w:t>
      </w:r>
    </w:p>
    <w:p w14:paraId="48E366AE" w14:textId="77777777" w:rsidR="00581C84" w:rsidRDefault="00581C8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6E6EE29"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demandantes de vivienda de alquiler creen que los precios siguen disparados. Así, los que en 2025 han buscado una vivienda como inquilinos creen que el arrendamiento es “</w:t>
      </w:r>
      <w:r>
        <w:rPr>
          <w:rFonts w:ascii="Open Sans" w:eastAsia="Open Sans" w:hAnsi="Open Sans" w:cs="Open Sans"/>
          <w:b/>
          <w:sz w:val="22"/>
          <w:szCs w:val="22"/>
        </w:rPr>
        <w:t>muy caro”</w:t>
      </w:r>
      <w:r>
        <w:rPr>
          <w:rFonts w:ascii="Open Sans" w:eastAsia="Open Sans" w:hAnsi="Open Sans" w:cs="Open Sans"/>
          <w:sz w:val="22"/>
          <w:szCs w:val="22"/>
        </w:rPr>
        <w:t xml:space="preserve"> en el 79% de los casos, dos puntos porcentuales más que el 77% de 2024, cuando ya se había incrementado en otro punto respecto al 76 % de 2023. Por su parte, los que se limitan a considerar “</w:t>
      </w:r>
      <w:r>
        <w:rPr>
          <w:rFonts w:ascii="Open Sans" w:eastAsia="Open Sans" w:hAnsi="Open Sans" w:cs="Open Sans"/>
          <w:b/>
          <w:sz w:val="22"/>
          <w:szCs w:val="22"/>
        </w:rPr>
        <w:t>algo caro</w:t>
      </w:r>
      <w:r>
        <w:rPr>
          <w:rFonts w:ascii="Open Sans" w:eastAsia="Open Sans" w:hAnsi="Open Sans" w:cs="Open Sans"/>
          <w:sz w:val="22"/>
          <w:szCs w:val="22"/>
        </w:rPr>
        <w:t>” el coste son el 14 % del total, un punto menos que en 2024. Esto se traduce en que la percepción sigue trasvasándose desde la cierta moderación o el encarecimiento leve hacia un escenario extremo. Esta es una de las principales conclusiones del informe “</w:t>
      </w:r>
      <w:hyperlink r:id="rId9">
        <w:r w:rsidR="00581C84">
          <w:rPr>
            <w:rFonts w:ascii="Open Sans" w:eastAsia="Open Sans" w:hAnsi="Open Sans" w:cs="Open Sans"/>
            <w:b/>
            <w:i/>
            <w:color w:val="0000FF"/>
            <w:sz w:val="22"/>
            <w:szCs w:val="22"/>
            <w:u w:val="single"/>
          </w:rPr>
          <w:t>Experiencia en alquiler en 2025</w:t>
        </w:r>
      </w:hyperlink>
      <w:r>
        <w:rPr>
          <w:rFonts w:ascii="Open Sans" w:eastAsia="Open Sans" w:hAnsi="Open Sans" w:cs="Open Sans"/>
          <w:sz w:val="22"/>
          <w:szCs w:val="22"/>
        </w:rPr>
        <w:t xml:space="preserve">”, elaborado por </w:t>
      </w:r>
      <w:hyperlink r:id="rId10">
        <w:r w:rsidR="00581C84">
          <w:rPr>
            <w:rFonts w:ascii="Open Sans" w:eastAsia="Open Sans" w:hAnsi="Open Sans" w:cs="Open Sans"/>
            <w:b/>
            <w:color w:val="0000FF"/>
            <w:sz w:val="22"/>
            <w:szCs w:val="22"/>
            <w:u w:val="single"/>
          </w:rPr>
          <w:t xml:space="preserve">Fotocasa </w:t>
        </w:r>
        <w:proofErr w:type="spellStart"/>
        <w:r w:rsidR="00581C84">
          <w:rPr>
            <w:rFonts w:ascii="Open Sans" w:eastAsia="Open Sans" w:hAnsi="Open Sans" w:cs="Open Sans"/>
            <w:b/>
            <w:color w:val="0000FF"/>
            <w:sz w:val="22"/>
            <w:szCs w:val="22"/>
            <w:u w:val="single"/>
          </w:rPr>
          <w:t>Research</w:t>
        </w:r>
        <w:proofErr w:type="spellEnd"/>
      </w:hyperlink>
      <w:r>
        <w:rPr>
          <w:rFonts w:ascii="Open Sans" w:eastAsia="Open Sans" w:hAnsi="Open Sans" w:cs="Open Sans"/>
          <w:sz w:val="22"/>
          <w:szCs w:val="22"/>
        </w:rPr>
        <w:t xml:space="preserve"> y que traza una exhaustiva radiografía del mercado de la vivienda en arrendamiento.</w:t>
      </w:r>
    </w:p>
    <w:p w14:paraId="744B89A3"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10EC1DE4" w14:textId="741327E0"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suma de ambos porcentajes es concluyente: el 93% de las personas demandantes de alquiler en España creen que los precios son caros o muy caros. Esta cifra supera el 92% de 2024, aunque iguala la de 2023, si bien con el matiz de que la tendencia vira desde </w:t>
      </w:r>
      <w:proofErr w:type="gramStart"/>
      <w:r>
        <w:rPr>
          <w:rFonts w:ascii="Open Sans" w:eastAsia="Open Sans" w:hAnsi="Open Sans" w:cs="Open Sans"/>
          <w:sz w:val="22"/>
          <w:szCs w:val="22"/>
        </w:rPr>
        <w:t>el</w:t>
      </w:r>
      <w:r w:rsidR="002169F8">
        <w:rPr>
          <w:rFonts w:ascii="Open Sans" w:eastAsia="Open Sans" w:hAnsi="Open Sans" w:cs="Open Sans"/>
          <w:sz w:val="22"/>
          <w:szCs w:val="22"/>
        </w:rPr>
        <w:t xml:space="preserve"> </w:t>
      </w:r>
      <w:r>
        <w:rPr>
          <w:rFonts w:ascii="Open Sans" w:eastAsia="Open Sans" w:hAnsi="Open Sans" w:cs="Open Sans"/>
          <w:sz w:val="22"/>
          <w:szCs w:val="22"/>
        </w:rPr>
        <w:t>”</w:t>
      </w:r>
      <w:proofErr w:type="gramEnd"/>
      <w:r>
        <w:rPr>
          <w:rFonts w:ascii="Open Sans" w:eastAsia="Open Sans" w:hAnsi="Open Sans" w:cs="Open Sans"/>
          <w:sz w:val="22"/>
          <w:szCs w:val="22"/>
        </w:rPr>
        <w:t>‘</w:t>
      </w:r>
      <w:r>
        <w:rPr>
          <w:rFonts w:ascii="Open Sans" w:eastAsia="Open Sans" w:hAnsi="Open Sans" w:cs="Open Sans"/>
          <w:b/>
          <w:sz w:val="22"/>
          <w:szCs w:val="22"/>
        </w:rPr>
        <w:t>algo caro</w:t>
      </w:r>
      <w:r>
        <w:rPr>
          <w:rFonts w:ascii="Open Sans" w:eastAsia="Open Sans" w:hAnsi="Open Sans" w:cs="Open Sans"/>
          <w:sz w:val="22"/>
          <w:szCs w:val="22"/>
        </w:rPr>
        <w:t>” hacia el “</w:t>
      </w:r>
      <w:r>
        <w:rPr>
          <w:rFonts w:ascii="Open Sans" w:eastAsia="Open Sans" w:hAnsi="Open Sans" w:cs="Open Sans"/>
          <w:b/>
          <w:sz w:val="22"/>
          <w:szCs w:val="22"/>
        </w:rPr>
        <w:t>muy caro</w:t>
      </w:r>
      <w:r>
        <w:rPr>
          <w:rFonts w:ascii="Open Sans" w:eastAsia="Open Sans" w:hAnsi="Open Sans" w:cs="Open Sans"/>
          <w:sz w:val="22"/>
          <w:szCs w:val="22"/>
        </w:rPr>
        <w:t>”. De esta manera, los números confirman la línea seguida de los últimos ocho años, excepto por un breve periodo registrado tras la pandemia.</w:t>
      </w:r>
    </w:p>
    <w:p w14:paraId="4D43680D"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2DFBABB7"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2AF76206" w14:textId="77777777" w:rsidR="00581C84" w:rsidRDefault="00000000">
      <w:pPr>
        <w:pBdr>
          <w:top w:val="nil"/>
          <w:left w:val="nil"/>
          <w:bottom w:val="nil"/>
          <w:right w:val="nil"/>
          <w:between w:val="nil"/>
        </w:pBdr>
        <w:spacing w:line="276" w:lineRule="auto"/>
        <w:jc w:val="both"/>
      </w:pPr>
      <w:r>
        <w:rPr>
          <w:noProof/>
        </w:rPr>
        <w:lastRenderedPageBreak/>
        <w:drawing>
          <wp:inline distT="0" distB="0" distL="0" distR="0" wp14:anchorId="15C264BE" wp14:editId="5D9F8E0F">
            <wp:extent cx="5760720" cy="3736975"/>
            <wp:effectExtent l="0" t="0" r="0" b="0"/>
            <wp:docPr id="2066816631" name="image5.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líneas&#10;&#10;El contenido generado por IA puede ser incorrecto."/>
                    <pic:cNvPicPr preferRelativeResize="0"/>
                  </pic:nvPicPr>
                  <pic:blipFill>
                    <a:blip r:embed="rId11"/>
                    <a:srcRect/>
                    <a:stretch>
                      <a:fillRect/>
                    </a:stretch>
                  </pic:blipFill>
                  <pic:spPr>
                    <a:xfrm>
                      <a:off x="0" y="0"/>
                      <a:ext cx="5760720" cy="3736975"/>
                    </a:xfrm>
                    <a:prstGeom prst="rect">
                      <a:avLst/>
                    </a:prstGeom>
                    <a:ln/>
                  </pic:spPr>
                </pic:pic>
              </a:graphicData>
            </a:graphic>
          </wp:inline>
        </w:drawing>
      </w:r>
    </w:p>
    <w:p w14:paraId="6F785226"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“La percepción de los inquilinos es un reflejo directo de la realidad que vivimos: cada año, el precio del alquiler es más alto, y hoy, en 2025, nunca en la historia nos habíamos enfrentado a cifras tan abultadas como las actuales. Mientras la demanda de vivienda en alquiler no deja de crecer, mientras el parque disponible sigue reduciéndose o desplazándose hacia usos alternativos como el alquiler vacacional. De hecho, estamos atravesando la peor crisis de oferta disponible del siglo XXI. Esto genera una presión muy intensa sobre los precios que perjudica la accesibilidad a la principal vía de emancipación de nuestros jóvenes, el alquiler”,</w:t>
      </w:r>
      <w:r>
        <w:rPr>
          <w:rFonts w:ascii="Open Sans" w:eastAsia="Open Sans" w:hAnsi="Open Sans" w:cs="Open Sans"/>
          <w:b/>
          <w:sz w:val="22"/>
          <w:szCs w:val="22"/>
        </w:rPr>
        <w:t xml:space="preserve"> explica María Matos, directora de Estudios y portavoz de </w:t>
      </w:r>
      <w:hyperlink r:id="rId12">
        <w:r w:rsidR="00581C84">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75F47111"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3DA27D5B" w14:textId="77777777" w:rsidR="00581C8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76% de los inquilinos culpan a los alquileres vacaciones o de corta duración de la subida del precio de la vivienda</w:t>
      </w:r>
    </w:p>
    <w:p w14:paraId="1DAFE05B" w14:textId="77777777" w:rsidR="00581C84" w:rsidRDefault="00581C8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F3EC3CB"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Ante un escenario en el que una amplia mayoría de demandantes de alquiler creen que los precios están altos y que van a seguir subiendo, es importante indagar sobre las causas a las que atribuyen esta situación.</w:t>
      </w:r>
    </w:p>
    <w:p w14:paraId="25EA408D"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26BB3A2A" w14:textId="77777777" w:rsidR="00581C84" w:rsidRDefault="00000000">
      <w:pPr>
        <w:pBdr>
          <w:top w:val="nil"/>
          <w:left w:val="nil"/>
          <w:bottom w:val="nil"/>
          <w:right w:val="nil"/>
          <w:between w:val="nil"/>
        </w:pBdr>
        <w:spacing w:line="276" w:lineRule="auto"/>
        <w:jc w:val="both"/>
        <w:rPr>
          <w:rFonts w:ascii="Open Sans" w:eastAsia="Open Sans" w:hAnsi="Open Sans" w:cs="Open Sans"/>
          <w:b/>
          <w:sz w:val="22"/>
          <w:szCs w:val="22"/>
        </w:rPr>
      </w:pPr>
      <w:r>
        <w:rPr>
          <w:rFonts w:ascii="Open Sans" w:eastAsia="Open Sans" w:hAnsi="Open Sans" w:cs="Open Sans"/>
          <w:sz w:val="22"/>
          <w:szCs w:val="22"/>
        </w:rPr>
        <w:t xml:space="preserve">La mayoría, en este sentido, </w:t>
      </w:r>
      <w:r>
        <w:rPr>
          <w:rFonts w:ascii="Open Sans" w:eastAsia="Open Sans" w:hAnsi="Open Sans" w:cs="Open Sans"/>
          <w:b/>
          <w:sz w:val="22"/>
          <w:szCs w:val="22"/>
        </w:rPr>
        <w:t xml:space="preserve">apunta a la escasez de oferta, que convive de igual forma con el aumento de la demanda. </w:t>
      </w:r>
      <w:r>
        <w:rPr>
          <w:rFonts w:ascii="Open Sans" w:eastAsia="Open Sans" w:hAnsi="Open Sans" w:cs="Open Sans"/>
          <w:sz w:val="22"/>
          <w:szCs w:val="22"/>
        </w:rPr>
        <w:t xml:space="preserve">El primer factor obtiene un respaldo del 73%, mientras que el segundo alcanza el 71%. Sin embargo, incluso por delante de las dos causas citadas, </w:t>
      </w:r>
      <w:r>
        <w:rPr>
          <w:rFonts w:ascii="Open Sans" w:eastAsia="Open Sans" w:hAnsi="Open Sans" w:cs="Open Sans"/>
          <w:b/>
          <w:sz w:val="22"/>
          <w:szCs w:val="22"/>
        </w:rPr>
        <w:t>destacan los alquileres vacacionales o de corta duración como el factor clave para esta subida</w:t>
      </w:r>
      <w:r>
        <w:rPr>
          <w:rFonts w:ascii="Open Sans" w:eastAsia="Open Sans" w:hAnsi="Open Sans" w:cs="Open Sans"/>
          <w:sz w:val="22"/>
          <w:szCs w:val="22"/>
        </w:rPr>
        <w:t xml:space="preserve">. Así lo consideran el 76% de los consultados, un porcentaje en clara progresión en los últimos años: </w:t>
      </w:r>
      <w:r>
        <w:rPr>
          <w:rFonts w:ascii="Open Sans" w:eastAsia="Open Sans" w:hAnsi="Open Sans" w:cs="Open Sans"/>
          <w:b/>
          <w:sz w:val="22"/>
          <w:szCs w:val="22"/>
        </w:rPr>
        <w:t>en 2023 era del 62% y en 2024 se situó en el 70%.</w:t>
      </w:r>
    </w:p>
    <w:p w14:paraId="77B32808"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2F13C5C0"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Otro factor que sitúa en la parte alta de las causas de las subidas de precio es </w:t>
      </w:r>
      <w:r>
        <w:rPr>
          <w:rFonts w:ascii="Open Sans" w:eastAsia="Open Sans" w:hAnsi="Open Sans" w:cs="Open Sans"/>
          <w:b/>
          <w:sz w:val="22"/>
          <w:szCs w:val="22"/>
        </w:rPr>
        <w:t>el interés de los inversores por la vivienda</w:t>
      </w:r>
      <w:r>
        <w:rPr>
          <w:rFonts w:ascii="Open Sans" w:eastAsia="Open Sans" w:hAnsi="Open Sans" w:cs="Open Sans"/>
          <w:sz w:val="22"/>
          <w:szCs w:val="22"/>
        </w:rPr>
        <w:t xml:space="preserve">, que mantiene el consenso del 67% que registró en 2024. También destaca la percepción del </w:t>
      </w:r>
      <w:r>
        <w:rPr>
          <w:rFonts w:ascii="Open Sans" w:eastAsia="Open Sans" w:hAnsi="Open Sans" w:cs="Open Sans"/>
          <w:b/>
          <w:sz w:val="22"/>
          <w:szCs w:val="22"/>
        </w:rPr>
        <w:t>aumento de inmuebles vacíos</w:t>
      </w:r>
      <w:r>
        <w:rPr>
          <w:rFonts w:ascii="Open Sans" w:eastAsia="Open Sans" w:hAnsi="Open Sans" w:cs="Open Sans"/>
          <w:sz w:val="22"/>
          <w:szCs w:val="22"/>
        </w:rPr>
        <w:t xml:space="preserve"> (procedentes de herencias, entre otras causas) que no salen al mercado del alquiler, un factor que pasa del 52% al 55%.</w:t>
      </w:r>
    </w:p>
    <w:p w14:paraId="2496208E"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2E6BBE34"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Por el contrario, </w:t>
      </w:r>
      <w:r>
        <w:rPr>
          <w:rFonts w:ascii="Open Sans" w:eastAsia="Open Sans" w:hAnsi="Open Sans" w:cs="Open Sans"/>
          <w:b/>
          <w:sz w:val="22"/>
          <w:szCs w:val="22"/>
        </w:rPr>
        <w:t xml:space="preserve">el descenso de los tipos de interés y del euríbor </w:t>
      </w:r>
      <w:r>
        <w:rPr>
          <w:rFonts w:ascii="Open Sans" w:eastAsia="Open Sans" w:hAnsi="Open Sans" w:cs="Open Sans"/>
          <w:sz w:val="22"/>
          <w:szCs w:val="22"/>
        </w:rPr>
        <w:t>solo es tomado en consideración por el 37% de los demandantes de alquiler como causa del incremento de las tarifas de arrendamiento.</w:t>
      </w:r>
    </w:p>
    <w:p w14:paraId="766CA9D4"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41BC1B28" w14:textId="77777777" w:rsidR="00581C8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noProof/>
        </w:rPr>
        <w:drawing>
          <wp:inline distT="0" distB="0" distL="0" distR="0" wp14:anchorId="4D19C8C3" wp14:editId="7137CF95">
            <wp:extent cx="5760720" cy="4887595"/>
            <wp:effectExtent l="0" t="0" r="0" b="0"/>
            <wp:docPr id="2066816630"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13"/>
                    <a:srcRect/>
                    <a:stretch>
                      <a:fillRect/>
                    </a:stretch>
                  </pic:blipFill>
                  <pic:spPr>
                    <a:xfrm>
                      <a:off x="0" y="0"/>
                      <a:ext cx="5760720" cy="4887595"/>
                    </a:xfrm>
                    <a:prstGeom prst="rect">
                      <a:avLst/>
                    </a:prstGeom>
                    <a:ln/>
                  </pic:spPr>
                </pic:pic>
              </a:graphicData>
            </a:graphic>
          </wp:inline>
        </w:drawing>
      </w:r>
    </w:p>
    <w:p w14:paraId="686AB228" w14:textId="77777777" w:rsidR="00581C84" w:rsidRDefault="00581C8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041A68F" w14:textId="77777777" w:rsidR="00581C84" w:rsidRDefault="00581C8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19FA9B8" w14:textId="77777777" w:rsidR="00581C8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mayores de 45 años, los que más consideran cara la vivienda en alquiler </w:t>
      </w:r>
    </w:p>
    <w:p w14:paraId="753ED5A7"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06975165"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Al efectuar el análisis por grupos de edad, vemos que es </w:t>
      </w:r>
      <w:r>
        <w:rPr>
          <w:rFonts w:ascii="Open Sans" w:eastAsia="Open Sans" w:hAnsi="Open Sans" w:cs="Open Sans"/>
          <w:b/>
          <w:sz w:val="22"/>
          <w:szCs w:val="22"/>
        </w:rPr>
        <w:t>desde los 25 años cuando aumenta drásticamente la visión del encarecimiento en la vivienda de alquiler.</w:t>
      </w:r>
      <w:r>
        <w:rPr>
          <w:rFonts w:ascii="Open Sans" w:eastAsia="Open Sans" w:hAnsi="Open Sans" w:cs="Open Sans"/>
          <w:sz w:val="22"/>
          <w:szCs w:val="22"/>
        </w:rPr>
        <w:t xml:space="preserve"> De esta manera, mientras que los más jóvenes (18 a 24 años) ‘solo’ lo consideran muy caro </w:t>
      </w:r>
      <w:r>
        <w:rPr>
          <w:rFonts w:ascii="Open Sans" w:eastAsia="Open Sans" w:hAnsi="Open Sans" w:cs="Open Sans"/>
          <w:sz w:val="22"/>
          <w:szCs w:val="22"/>
        </w:rPr>
        <w:lastRenderedPageBreak/>
        <w:t xml:space="preserve">en el 67% de los casos (eso sí, seis puntos porcentuales más que en 2024), a partir de los 25 la cifra sube hasta el 80%, para mantenerse en este registro de manera aproximada en el resto de los grupos. </w:t>
      </w:r>
      <w:r>
        <w:rPr>
          <w:rFonts w:ascii="Open Sans" w:eastAsia="Open Sans" w:hAnsi="Open Sans" w:cs="Open Sans"/>
          <w:b/>
          <w:sz w:val="22"/>
          <w:szCs w:val="22"/>
        </w:rPr>
        <w:t>En este sentido, la cifra más alta se alcanza entre los mayores de 45 años, donde esta opinión llega hasta el 82%.</w:t>
      </w:r>
    </w:p>
    <w:p w14:paraId="761A4E8E"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A4486A2"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1EDE82A"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el punto de vista territorial, </w:t>
      </w:r>
      <w:r>
        <w:rPr>
          <w:rFonts w:ascii="Open Sans" w:eastAsia="Open Sans" w:hAnsi="Open Sans" w:cs="Open Sans"/>
          <w:b/>
          <w:sz w:val="22"/>
          <w:szCs w:val="22"/>
        </w:rPr>
        <w:t>la Comunidad Valenciana</w:t>
      </w:r>
      <w:r>
        <w:rPr>
          <w:rFonts w:ascii="Open Sans" w:eastAsia="Open Sans" w:hAnsi="Open Sans" w:cs="Open Sans"/>
          <w:sz w:val="22"/>
          <w:szCs w:val="22"/>
        </w:rPr>
        <w:t xml:space="preserve">, con un 82%, y </w:t>
      </w:r>
      <w:r>
        <w:rPr>
          <w:rFonts w:ascii="Open Sans" w:eastAsia="Open Sans" w:hAnsi="Open Sans" w:cs="Open Sans"/>
          <w:b/>
          <w:sz w:val="22"/>
          <w:szCs w:val="22"/>
        </w:rPr>
        <w:t>Madrid</w:t>
      </w:r>
      <w:r>
        <w:rPr>
          <w:rFonts w:ascii="Open Sans" w:eastAsia="Open Sans" w:hAnsi="Open Sans" w:cs="Open Sans"/>
          <w:sz w:val="22"/>
          <w:szCs w:val="22"/>
        </w:rPr>
        <w:t>, con un 81%, son las comunidades donde en mayor medida se considera la vivienda de alquiler “</w:t>
      </w:r>
      <w:r>
        <w:rPr>
          <w:rFonts w:ascii="Open Sans" w:eastAsia="Open Sans" w:hAnsi="Open Sans" w:cs="Open Sans"/>
          <w:b/>
          <w:sz w:val="22"/>
          <w:szCs w:val="22"/>
        </w:rPr>
        <w:t>muy cara</w:t>
      </w:r>
      <w:r>
        <w:rPr>
          <w:rFonts w:ascii="Open Sans" w:eastAsia="Open Sans" w:hAnsi="Open Sans" w:cs="Open Sans"/>
          <w:sz w:val="22"/>
          <w:szCs w:val="22"/>
        </w:rPr>
        <w:t xml:space="preserve">”. Por su parte, </w:t>
      </w:r>
      <w:r>
        <w:rPr>
          <w:rFonts w:ascii="Open Sans" w:eastAsia="Open Sans" w:hAnsi="Open Sans" w:cs="Open Sans"/>
          <w:b/>
          <w:sz w:val="22"/>
          <w:szCs w:val="22"/>
        </w:rPr>
        <w:t>Cataluña</w:t>
      </w:r>
      <w:r>
        <w:rPr>
          <w:rFonts w:ascii="Open Sans" w:eastAsia="Open Sans" w:hAnsi="Open Sans" w:cs="Open Sans"/>
          <w:sz w:val="22"/>
          <w:szCs w:val="22"/>
        </w:rPr>
        <w:t xml:space="preserve"> se queda en el 80 %, mientras que </w:t>
      </w:r>
      <w:r>
        <w:rPr>
          <w:rFonts w:ascii="Open Sans" w:eastAsia="Open Sans" w:hAnsi="Open Sans" w:cs="Open Sans"/>
          <w:b/>
          <w:sz w:val="22"/>
          <w:szCs w:val="22"/>
        </w:rPr>
        <w:t>Andalucía</w:t>
      </w:r>
      <w:r>
        <w:rPr>
          <w:rFonts w:ascii="Open Sans" w:eastAsia="Open Sans" w:hAnsi="Open Sans" w:cs="Open Sans"/>
          <w:sz w:val="22"/>
          <w:szCs w:val="22"/>
        </w:rPr>
        <w:t xml:space="preserve"> anota un 73%. </w:t>
      </w:r>
    </w:p>
    <w:p w14:paraId="7EF08200"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BB825AB"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Respecto a la evolución de los precios, los arrendatarios —considerando como tales a quienes han alquilado o intentado alquilar en los últimos 12 meses— creen que </w:t>
      </w:r>
      <w:r>
        <w:rPr>
          <w:rFonts w:ascii="Open Sans" w:eastAsia="Open Sans" w:hAnsi="Open Sans" w:cs="Open Sans"/>
          <w:b/>
          <w:sz w:val="22"/>
          <w:szCs w:val="22"/>
        </w:rPr>
        <w:t>cada vez serán más caros</w:t>
      </w:r>
      <w:r>
        <w:rPr>
          <w:rFonts w:ascii="Open Sans" w:eastAsia="Open Sans" w:hAnsi="Open Sans" w:cs="Open Sans"/>
          <w:sz w:val="22"/>
          <w:szCs w:val="22"/>
        </w:rPr>
        <w:t>. Es lo que piensan el 84% de los consultados, una cifra sensiblemente superior al 80% anotado en los dos años anteriores. Por el contrario, solo el 13% opina que las tarifas son más o menos estables (17% doce meses antes), mientras que solo el 3% prevé que tiendan a bajar.</w:t>
      </w:r>
    </w:p>
    <w:p w14:paraId="128A1213"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55E42D9B"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052372CE" wp14:editId="3BF7FD10">
            <wp:extent cx="5760720" cy="4511040"/>
            <wp:effectExtent l="0" t="0" r="0" b="0"/>
            <wp:docPr id="2066816632"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4"/>
                    <a:srcRect/>
                    <a:stretch>
                      <a:fillRect/>
                    </a:stretch>
                  </pic:blipFill>
                  <pic:spPr>
                    <a:xfrm>
                      <a:off x="0" y="0"/>
                      <a:ext cx="5760720" cy="4511040"/>
                    </a:xfrm>
                    <a:prstGeom prst="rect">
                      <a:avLst/>
                    </a:prstGeom>
                    <a:ln/>
                  </pic:spPr>
                </pic:pic>
              </a:graphicData>
            </a:graphic>
          </wp:inline>
        </w:drawing>
      </w:r>
    </w:p>
    <w:p w14:paraId="2DB670D2"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4B12F624"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3179925A"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Desde la perspectiva territorial existe coincidencia creciente en este vaticinio, ya que </w:t>
      </w:r>
      <w:r>
        <w:rPr>
          <w:rFonts w:ascii="Open Sans" w:eastAsia="Open Sans" w:hAnsi="Open Sans" w:cs="Open Sans"/>
          <w:b/>
          <w:sz w:val="22"/>
          <w:szCs w:val="22"/>
        </w:rPr>
        <w:t>en todas las comunidades se pronostica que los precios continuarán subiendo en el futuro</w:t>
      </w:r>
      <w:r>
        <w:rPr>
          <w:rFonts w:ascii="Open Sans" w:eastAsia="Open Sans" w:hAnsi="Open Sans" w:cs="Open Sans"/>
          <w:sz w:val="22"/>
          <w:szCs w:val="22"/>
        </w:rPr>
        <w:t>. Así lo creen el 89% de los consultados en la Comunidad Valenciana, el 86% en Andalucía, el 84% en Cataluña y el 82% en Madrid. Son, en todos los casos, porcentajes superiores a los de 2024. comunidades donde en mayor medida se considera la vivienda de alquiler ‘muy cara’. Por su parte, Cataluña se queda en el 80 %, mientras que Andalucía anota un 73%.</w:t>
      </w:r>
    </w:p>
    <w:p w14:paraId="1FF06748"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4B6EDCD" w14:textId="77777777" w:rsidR="00581C8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cuanto a los segmentos de edad, </w:t>
      </w:r>
      <w:r>
        <w:rPr>
          <w:rFonts w:ascii="Open Sans" w:eastAsia="Open Sans" w:hAnsi="Open Sans" w:cs="Open Sans"/>
          <w:b/>
          <w:sz w:val="22"/>
          <w:szCs w:val="22"/>
        </w:rPr>
        <w:t xml:space="preserve">los menos pesimistas vuelven a ser los más jóvenes </w:t>
      </w:r>
      <w:r>
        <w:rPr>
          <w:rFonts w:ascii="Open Sans" w:eastAsia="Open Sans" w:hAnsi="Open Sans" w:cs="Open Sans"/>
          <w:sz w:val="22"/>
          <w:szCs w:val="22"/>
        </w:rPr>
        <w:t>(‘solo’ el 77% de los que cuentan entre 18 y 24 años creen que los precios serán cada vez más caros), mientras que los más agoreros son los que cumplen entre 45 y 54 años, que opinan en este sentido en un 88 % de los casos, seis puntos más que el año anterior.</w:t>
      </w:r>
    </w:p>
    <w:p w14:paraId="58CDB799"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7095886"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6C95F4C1" w14:textId="77777777" w:rsidR="00581C84" w:rsidRDefault="00581C84">
      <w:pPr>
        <w:pBdr>
          <w:top w:val="nil"/>
          <w:left w:val="nil"/>
          <w:bottom w:val="nil"/>
          <w:right w:val="nil"/>
          <w:between w:val="nil"/>
        </w:pBdr>
        <w:spacing w:line="276" w:lineRule="auto"/>
        <w:jc w:val="both"/>
        <w:rPr>
          <w:rFonts w:ascii="Open Sans" w:eastAsia="Open Sans" w:hAnsi="Open Sans" w:cs="Open Sans"/>
          <w:sz w:val="22"/>
          <w:szCs w:val="22"/>
        </w:rPr>
      </w:pPr>
    </w:p>
    <w:p w14:paraId="4FDB756A" w14:textId="77777777" w:rsidR="00581C8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1345387" w14:textId="77777777" w:rsidR="00581C8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581C84">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F752AB9" w14:textId="77777777" w:rsidR="00581C8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581C84">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CF4DC64" w14:textId="77777777" w:rsidR="00581C8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8B7B25C" w14:textId="77777777" w:rsidR="00581C8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A423895" w14:textId="77777777" w:rsidR="00581C84"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581C84">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581C84">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581C84">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581C84">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581C84">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581C84">
        <w:fldChar w:fldCharType="begin"/>
      </w:r>
      <w:r w:rsidR="00581C84">
        <w:instrText>HYPERLINK "https://www.milanuncios.com/" \h</w:instrText>
      </w:r>
      <w:r w:rsidR="00581C84">
        <w:fldChar w:fldCharType="separate"/>
      </w:r>
      <w:r w:rsidR="00581C84">
        <w:rPr>
          <w:rFonts w:ascii="Open Sans" w:eastAsia="Open Sans" w:hAnsi="Open Sans" w:cs="Open Sans"/>
          <w:color w:val="1155CC"/>
          <w:sz w:val="22"/>
          <w:szCs w:val="22"/>
          <w:u w:val="single"/>
        </w:rPr>
        <w:t>Milanuncios</w:t>
      </w:r>
      <w:proofErr w:type="spellEnd"/>
      <w:r w:rsidR="00581C84">
        <w:fldChar w:fldCharType="end"/>
      </w:r>
      <w:r>
        <w:rPr>
          <w:rFonts w:ascii="Open Sans" w:eastAsia="Open Sans" w:hAnsi="Open Sans" w:cs="Open Sans"/>
          <w:sz w:val="22"/>
          <w:szCs w:val="22"/>
        </w:rPr>
        <w:t>).</w:t>
      </w:r>
    </w:p>
    <w:p w14:paraId="498178B5" w14:textId="77777777" w:rsidR="00581C8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70083A9" w14:textId="77777777" w:rsidR="00581C84"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9C79DF2" w14:textId="77777777" w:rsidR="00581C84" w:rsidRDefault="00000000">
      <w:pPr>
        <w:spacing w:before="143" w:after="200"/>
        <w:jc w:val="both"/>
      </w:pPr>
      <w:r>
        <w:rPr>
          <w:rFonts w:ascii="Open Sans" w:eastAsia="Open Sans" w:hAnsi="Open Sans" w:cs="Open Sans"/>
          <w:sz w:val="22"/>
          <w:szCs w:val="22"/>
        </w:rPr>
        <w:t xml:space="preserve">Más información en </w:t>
      </w:r>
      <w:hyperlink r:id="rId22">
        <w:r w:rsidR="00581C84">
          <w:rPr>
            <w:rFonts w:ascii="Open Sans" w:eastAsia="Open Sans" w:hAnsi="Open Sans" w:cs="Open Sans"/>
            <w:color w:val="1155CC"/>
            <w:sz w:val="22"/>
            <w:szCs w:val="22"/>
            <w:u w:val="single"/>
          </w:rPr>
          <w:t>adevinta.es</w:t>
        </w:r>
      </w:hyperlink>
    </w:p>
    <w:p w14:paraId="3A03258E" w14:textId="77777777" w:rsidR="00581C84" w:rsidRDefault="00581C84">
      <w:pPr>
        <w:spacing w:before="143" w:after="200"/>
        <w:jc w:val="both"/>
        <w:rPr>
          <w:rFonts w:ascii="Open Sans" w:eastAsia="Open Sans" w:hAnsi="Open Sans" w:cs="Open Sans"/>
        </w:rPr>
      </w:pPr>
    </w:p>
    <w:p w14:paraId="25C48DDB" w14:textId="77777777" w:rsidR="00581C8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82D92A" w14:textId="77777777" w:rsidR="00581C8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6D1C220" w14:textId="77777777" w:rsidR="00581C84" w:rsidRDefault="00581C84">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2811235D" w14:textId="77777777" w:rsidR="00581C8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581C84">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E4F48" w14:textId="77777777" w:rsidR="0068436C" w:rsidRDefault="0068436C">
      <w:r>
        <w:separator/>
      </w:r>
    </w:p>
  </w:endnote>
  <w:endnote w:type="continuationSeparator" w:id="0">
    <w:p w14:paraId="22DED13B" w14:textId="77777777" w:rsidR="0068436C" w:rsidRDefault="0068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9C1F980-A39E-4F4A-A0C4-7CE374D385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91B740-0838-4288-BD87-FED493611455}"/>
    <w:embedBold r:id="rId3" w:fontKey="{51F95AED-A510-4B47-A16D-BC28B937BCE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FBD303F-C893-43E6-BC4D-A2BF53A2AAAD}"/>
  </w:font>
  <w:font w:name="Georgia">
    <w:panose1 w:val="02040502050405020303"/>
    <w:charset w:val="00"/>
    <w:family w:val="roman"/>
    <w:pitch w:val="variable"/>
    <w:sig w:usb0="00000287" w:usb1="00000000" w:usb2="00000000" w:usb3="00000000" w:csb0="0000009F" w:csb1="00000000"/>
    <w:embedRegular r:id="rId5" w:fontKey="{7B4B1931-7F99-4012-92A8-45C1DDEFA7AE}"/>
    <w:embedItalic r:id="rId6" w:fontKey="{7EDE59BB-B9CF-415F-9D39-DEE10717078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EBE7AD9-8EB8-48E1-83B3-A3451FA51352}"/>
    <w:embedBold r:id="rId8" w:fontKey="{81D3AEDF-B372-41D6-88C5-FD834287B2C7}"/>
    <w:embedBoldItalic r:id="rId9" w:fontKey="{1AB52EEA-1698-4CDF-9F2F-41B6B34EB032}"/>
  </w:font>
  <w:font w:name="Open Sans Light">
    <w:charset w:val="00"/>
    <w:family w:val="swiss"/>
    <w:pitch w:val="variable"/>
    <w:sig w:usb0="E00002EF" w:usb1="4000205B" w:usb2="00000028" w:usb3="00000000" w:csb0="0000019F" w:csb1="00000000"/>
    <w:embedRegular r:id="rId10" w:fontKey="{8931627F-933F-4B8B-B3FF-1C886CD519E5}"/>
    <w:embedBold r:id="rId11" w:fontKey="{94E8E5BB-AC5E-4021-9FD4-40FC915C49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31B5" w14:textId="77777777" w:rsidR="00581C8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F2E013C" wp14:editId="02F24E6A">
          <wp:simplePos x="0" y="0"/>
          <wp:positionH relativeFrom="column">
            <wp:posOffset>-1068037</wp:posOffset>
          </wp:positionH>
          <wp:positionV relativeFrom="paragraph">
            <wp:posOffset>174608</wp:posOffset>
          </wp:positionV>
          <wp:extent cx="7670550" cy="451315"/>
          <wp:effectExtent l="0" t="0" r="0" b="0"/>
          <wp:wrapNone/>
          <wp:docPr id="20668166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6D45C" w14:textId="77777777" w:rsidR="0068436C" w:rsidRDefault="0068436C">
      <w:r>
        <w:separator/>
      </w:r>
    </w:p>
  </w:footnote>
  <w:footnote w:type="continuationSeparator" w:id="0">
    <w:p w14:paraId="7B148B17" w14:textId="77777777" w:rsidR="0068436C" w:rsidRDefault="00684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4CFB"/>
    <w:multiLevelType w:val="multilevel"/>
    <w:tmpl w:val="38A43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6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84"/>
    <w:rsid w:val="001638CC"/>
    <w:rsid w:val="001E0AD6"/>
    <w:rsid w:val="002169F8"/>
    <w:rsid w:val="00301BD6"/>
    <w:rsid w:val="00581C84"/>
    <w:rsid w:val="0068436C"/>
    <w:rsid w:val="006909AE"/>
    <w:rsid w:val="00716FCD"/>
    <w:rsid w:val="007951CF"/>
    <w:rsid w:val="00832336"/>
    <w:rsid w:val="00CC47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7823F"/>
  <w15:docId w15:val="{2D04B230-B65E-4096-ACFC-6F6C4678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4.png"/><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ad+bCiz1912dm1AK9P5aLBXq+A==">CgMxLjAyCWguMnM4ZXlvMTgAciExdU5HQXU3Vmo2STFJd1lvU2VwSHFWTXU4VmxZc3BmbWs=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1318</Words>
  <Characters>7250</Characters>
  <Application>Microsoft Office Word</Application>
  <DocSecurity>0</DocSecurity>
  <Lines>60</Lines>
  <Paragraphs>17</Paragraphs>
  <ScaleCrop>false</ScaleCrop>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6</cp:revision>
  <cp:lastPrinted>2025-09-15T12:02:00Z</cp:lastPrinted>
  <dcterms:created xsi:type="dcterms:W3CDTF">2024-02-06T13:46:00Z</dcterms:created>
  <dcterms:modified xsi:type="dcterms:W3CDTF">2025-09-15T12:02:00Z</dcterms:modified>
</cp:coreProperties>
</file>