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B0BBD" w14:textId="77777777" w:rsidR="00EE4151" w:rsidRDefault="00000000">
      <w:r>
        <w:t xml:space="preserve"> </w:t>
      </w:r>
      <w:r>
        <w:rPr>
          <w:noProof/>
        </w:rPr>
        <w:drawing>
          <wp:anchor distT="0" distB="0" distL="114300" distR="114300" simplePos="0" relativeHeight="251658240" behindDoc="0" locked="0" layoutInCell="1" hidden="0" allowOverlap="1" wp14:anchorId="726A26FF" wp14:editId="6D66FC25">
            <wp:simplePos x="0" y="0"/>
            <wp:positionH relativeFrom="column">
              <wp:posOffset>-1080119</wp:posOffset>
            </wp:positionH>
            <wp:positionV relativeFrom="paragraph">
              <wp:posOffset>-654669</wp:posOffset>
            </wp:positionV>
            <wp:extent cx="7581265" cy="1019175"/>
            <wp:effectExtent l="0" t="0" r="0" b="0"/>
            <wp:wrapNone/>
            <wp:docPr id="2066816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98E46ED" w14:textId="77777777" w:rsidR="00EE4151" w:rsidRDefault="00EE4151"/>
    <w:p w14:paraId="3243AFEA" w14:textId="77777777" w:rsidR="00EE4151" w:rsidRDefault="00EE4151"/>
    <w:p w14:paraId="7825F7D8" w14:textId="77777777" w:rsidR="00310FBA" w:rsidRDefault="00310FBA">
      <w:pPr>
        <w:jc w:val="center"/>
        <w:rPr>
          <w:rFonts w:ascii="National" w:eastAsia="National" w:hAnsi="National" w:cs="National"/>
          <w:b/>
          <w:color w:val="1DBDC5"/>
          <w:sz w:val="30"/>
          <w:szCs w:val="30"/>
        </w:rPr>
      </w:pPr>
    </w:p>
    <w:p w14:paraId="4E268B74" w14:textId="21040D88" w:rsidR="00EE4151" w:rsidRPr="00310FBA" w:rsidRDefault="00310FBA">
      <w:pPr>
        <w:jc w:val="center"/>
        <w:rPr>
          <w:rFonts w:ascii="National" w:eastAsia="National" w:hAnsi="National" w:cs="National"/>
          <w:b/>
          <w:color w:val="1DBDC5"/>
          <w:sz w:val="32"/>
          <w:szCs w:val="32"/>
        </w:rPr>
      </w:pPr>
      <w:r w:rsidRPr="00310FBA">
        <w:rPr>
          <w:rFonts w:ascii="National" w:eastAsia="National" w:hAnsi="National" w:cs="National"/>
          <w:b/>
          <w:color w:val="1DBDC5"/>
          <w:sz w:val="32"/>
          <w:szCs w:val="32"/>
        </w:rPr>
        <w:t>INFORME “</w:t>
      </w:r>
      <w:r w:rsidR="00000000" w:rsidRPr="00310FBA">
        <w:rPr>
          <w:rFonts w:ascii="National" w:eastAsia="National" w:hAnsi="National" w:cs="National"/>
          <w:b/>
          <w:color w:val="1DBDC5"/>
          <w:sz w:val="32"/>
          <w:szCs w:val="32"/>
        </w:rPr>
        <w:t>EXPERIENCIA EN COMPRAVENTA EN 2025</w:t>
      </w:r>
      <w:r w:rsidRPr="00310FBA">
        <w:rPr>
          <w:rFonts w:ascii="National" w:eastAsia="National" w:hAnsi="National" w:cs="National"/>
          <w:b/>
          <w:color w:val="1DBDC5"/>
          <w:sz w:val="32"/>
          <w:szCs w:val="32"/>
        </w:rPr>
        <w:t>”</w:t>
      </w:r>
    </w:p>
    <w:p w14:paraId="37C0B9A2" w14:textId="77777777" w:rsidR="00EE4151" w:rsidRPr="00310FBA" w:rsidRDefault="00000000">
      <w:pPr>
        <w:jc w:val="center"/>
        <w:rPr>
          <w:rFonts w:ascii="National" w:eastAsia="National" w:hAnsi="National" w:cs="National"/>
          <w:b/>
          <w:color w:val="303AB2"/>
          <w:sz w:val="46"/>
          <w:szCs w:val="46"/>
        </w:rPr>
      </w:pPr>
      <w:r w:rsidRPr="00310FBA">
        <w:rPr>
          <w:rFonts w:ascii="National" w:eastAsia="National" w:hAnsi="National" w:cs="National"/>
          <w:b/>
          <w:color w:val="303AB2"/>
          <w:sz w:val="46"/>
          <w:szCs w:val="46"/>
        </w:rPr>
        <w:t>El mercado consolida su desequilibrio: la demanda de vivienda en propiedad cuadruplica a una oferta cada vez más reducida</w:t>
      </w:r>
    </w:p>
    <w:p w14:paraId="779E432E" w14:textId="77777777" w:rsidR="00EE4151" w:rsidRDefault="00EE4151">
      <w:pPr>
        <w:jc w:val="center"/>
        <w:rPr>
          <w:rFonts w:ascii="Open Sans" w:eastAsia="Open Sans" w:hAnsi="Open Sans" w:cs="Open Sans"/>
          <w:color w:val="303AB2"/>
        </w:rPr>
      </w:pPr>
    </w:p>
    <w:p w14:paraId="0D8438EB" w14:textId="77777777" w:rsidR="00EE4151"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 13% de los españoles mayores de edad quiere comprar una vivienda, pero solo el 3% la ofrece en el mercado</w:t>
      </w:r>
    </w:p>
    <w:p w14:paraId="248856EE" w14:textId="77777777" w:rsidR="00EE4151"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mayoría de los potenciales compradores no pueden cerrar una operación: la demanda insatisfecha también multiplica por tres a la efectiva</w:t>
      </w:r>
    </w:p>
    <w:p w14:paraId="1D7BADD9" w14:textId="77777777" w:rsidR="00EE4151"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actividad total en el segmento de compraventa se mantiene prácticamente estable y se sitúa en el 15%</w:t>
      </w:r>
    </w:p>
    <w:p w14:paraId="2CC918F4" w14:textId="77777777" w:rsidR="00EE4151" w:rsidRDefault="00EE4151">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9CF082E" w14:textId="77777777" w:rsidR="00EE4151"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 de octubre de 2025</w:t>
      </w:r>
    </w:p>
    <w:p w14:paraId="5679A7BF" w14:textId="77777777" w:rsidR="00EE4151" w:rsidRDefault="00EE4151">
      <w:pPr>
        <w:pBdr>
          <w:top w:val="nil"/>
          <w:left w:val="nil"/>
          <w:bottom w:val="nil"/>
          <w:right w:val="nil"/>
          <w:between w:val="nil"/>
        </w:pBdr>
        <w:spacing w:line="276" w:lineRule="auto"/>
        <w:jc w:val="both"/>
        <w:rPr>
          <w:rFonts w:ascii="Open Sans" w:eastAsia="Open Sans" w:hAnsi="Open Sans" w:cs="Open Sans"/>
        </w:rPr>
      </w:pPr>
    </w:p>
    <w:p w14:paraId="14253ED4" w14:textId="77777777" w:rsidR="00EE415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desequilibrio en el mercado de compraventa se cronifica y la demanda cuadruplica la oferta de vivienda. Actualmente, </w:t>
      </w:r>
      <w:r w:rsidRPr="00310FBA">
        <w:rPr>
          <w:rFonts w:ascii="Open Sans" w:eastAsia="Open Sans" w:hAnsi="Open Sans" w:cs="Open Sans"/>
          <w:b/>
          <w:bCs/>
        </w:rPr>
        <w:t>un 13% de los españoles mayores de 18 años quiere comprar un inmueble en propiedad, pero únicamente el 3% lo ofrecen en el mercado</w:t>
      </w:r>
      <w:r>
        <w:rPr>
          <w:rFonts w:ascii="Open Sans" w:eastAsia="Open Sans" w:hAnsi="Open Sans" w:cs="Open Sans"/>
        </w:rPr>
        <w:t xml:space="preserve">. Se trata de dos porcentajes que han disminuido, respectivamente, en un punto porcentual en comparación con 2024. Si se desglosan estas cifras, en el ámbito de la demanda, sólo el 3% de los españoles ha logrado comprar una vivienda de forma efectiva, mientras que un 10% lo ha intentado sin conseguirlo. En la vertiente de la oferta, un 2% de los encuestados han vendido una vivienda, mientras que el 1% lo han intentado sin éxito, según las cifras del </w:t>
      </w:r>
      <w:r>
        <w:rPr>
          <w:rFonts w:ascii="Open Sans" w:eastAsia="Open Sans" w:hAnsi="Open Sans" w:cs="Open Sans"/>
          <w:b/>
        </w:rPr>
        <w:t>informe “</w:t>
      </w:r>
      <w:hyperlink r:id="rId9">
        <w:r>
          <w:rPr>
            <w:rFonts w:ascii="Open Sans" w:eastAsia="Open Sans" w:hAnsi="Open Sans" w:cs="Open Sans"/>
            <w:b/>
            <w:color w:val="0000FF"/>
            <w:u w:val="single"/>
          </w:rPr>
          <w:t>Experiencia en compraventa en 2025</w:t>
        </w:r>
      </w:hyperlink>
      <w:r>
        <w:rPr>
          <w:rFonts w:ascii="Open Sans" w:eastAsia="Open Sans" w:hAnsi="Open Sans" w:cs="Open Sans"/>
          <w:b/>
        </w:rPr>
        <w:t xml:space="preserve">”, elaborado por </w:t>
      </w:r>
      <w:hyperlink r:id="rId10">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w:t>
      </w:r>
    </w:p>
    <w:p w14:paraId="73E808D4" w14:textId="77777777" w:rsidR="00EE4151" w:rsidRDefault="00EE4151">
      <w:pPr>
        <w:pBdr>
          <w:top w:val="nil"/>
          <w:left w:val="nil"/>
          <w:bottom w:val="nil"/>
          <w:right w:val="nil"/>
          <w:between w:val="nil"/>
        </w:pBdr>
        <w:spacing w:line="276" w:lineRule="auto"/>
        <w:jc w:val="both"/>
        <w:rPr>
          <w:rFonts w:ascii="Open Sans" w:eastAsia="Open Sans" w:hAnsi="Open Sans" w:cs="Open Sans"/>
        </w:rPr>
      </w:pPr>
    </w:p>
    <w:p w14:paraId="27A7A79A" w14:textId="77777777" w:rsidR="00EE4151" w:rsidRDefault="00000000">
      <w:pPr>
        <w:spacing w:line="276" w:lineRule="auto"/>
        <w:jc w:val="both"/>
        <w:rPr>
          <w:rFonts w:ascii="Open Sans" w:eastAsia="Open Sans" w:hAnsi="Open Sans" w:cs="Open Sans"/>
          <w:b/>
        </w:rPr>
      </w:pPr>
      <w:r>
        <w:rPr>
          <w:rFonts w:ascii="Open Sans" w:eastAsia="Open Sans" w:hAnsi="Open Sans" w:cs="Open Sans"/>
        </w:rPr>
        <w:t xml:space="preserve">“El desequilibrio entre oferta y demanda es cada vez más acusado. Ha pasado de mostrar 3 puntos de diferencia en el periodo de 2018 a 10 puntos en el de 2025. Esta situación de gran desfase impacta directamente en los precios y dificulta la accesibilidad. Es especialmente preocupante que, de ese 13% de ciudadanos con intención de compra, solo un 3% haya logrado cerrar la operación. Esto significa que por cada comprador que consigue acceder a una vivienda hay más de tres </w:t>
      </w:r>
      <w:r>
        <w:rPr>
          <w:rFonts w:ascii="Open Sans" w:eastAsia="Open Sans" w:hAnsi="Open Sans" w:cs="Open Sans"/>
        </w:rPr>
        <w:lastRenderedPageBreak/>
        <w:t xml:space="preserve">que se quedan fuera del mercado, lo que incrementa la frustración de los demandantes. Del lado de la oferta, el porcentaje de particulares que venden su vivienda se ha reducido a la mitad en comparación con hace 7 años. Esta contracción es uno de los principales obstáculos que impiden que la elevada demanda se traduzca en un mayor volumen de transacciones”,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4984E00B" w14:textId="77777777" w:rsidR="00EE4151" w:rsidRDefault="00EE4151">
      <w:pPr>
        <w:spacing w:line="276" w:lineRule="auto"/>
        <w:jc w:val="both"/>
        <w:rPr>
          <w:rFonts w:ascii="Open Sans" w:eastAsia="Open Sans" w:hAnsi="Open Sans" w:cs="Open Sans"/>
        </w:rPr>
      </w:pPr>
    </w:p>
    <w:p w14:paraId="0993DE7D" w14:textId="77777777" w:rsidR="00EE4151" w:rsidRDefault="00000000">
      <w:pPr>
        <w:spacing w:line="276" w:lineRule="auto"/>
        <w:jc w:val="center"/>
        <w:rPr>
          <w:rFonts w:ascii="Open Sans" w:eastAsia="Open Sans" w:hAnsi="Open Sans" w:cs="Open Sans"/>
        </w:rPr>
      </w:pPr>
      <w:r>
        <w:rPr>
          <w:noProof/>
        </w:rPr>
        <w:drawing>
          <wp:inline distT="0" distB="0" distL="0" distR="0" wp14:anchorId="22E40CDB" wp14:editId="4387440A">
            <wp:extent cx="5798820" cy="7178040"/>
            <wp:effectExtent l="0" t="0" r="0" b="3810"/>
            <wp:docPr id="2066816619" name="image2.png" descr="Interfaz de usuario gráfica, Calendari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Calendario&#10;&#10;El contenido generado por IA puede ser incorrecto."/>
                    <pic:cNvPicPr preferRelativeResize="0"/>
                  </pic:nvPicPr>
                  <pic:blipFill>
                    <a:blip r:embed="rId12"/>
                    <a:srcRect/>
                    <a:stretch>
                      <a:fillRect/>
                    </a:stretch>
                  </pic:blipFill>
                  <pic:spPr>
                    <a:xfrm>
                      <a:off x="0" y="0"/>
                      <a:ext cx="5798820" cy="7178040"/>
                    </a:xfrm>
                    <a:prstGeom prst="rect">
                      <a:avLst/>
                    </a:prstGeom>
                    <a:ln/>
                  </pic:spPr>
                </pic:pic>
              </a:graphicData>
            </a:graphic>
          </wp:inline>
        </w:drawing>
      </w:r>
    </w:p>
    <w:p w14:paraId="74E6D7DD" w14:textId="77777777" w:rsidR="00EE4151"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Analizando estas cifras a nivel histórico, se puede observar que </w:t>
      </w:r>
      <w:r>
        <w:rPr>
          <w:rFonts w:ascii="Open Sans" w:eastAsia="Open Sans" w:hAnsi="Open Sans" w:cs="Open Sans"/>
          <w:b/>
        </w:rPr>
        <w:t>en la última década se ha incrementado progresivamente el desajuste entre la oferta y la demanda de vivienda en propiedad en España</w:t>
      </w:r>
      <w:r>
        <w:rPr>
          <w:rFonts w:ascii="Open Sans" w:eastAsia="Open Sans" w:hAnsi="Open Sans" w:cs="Open Sans"/>
        </w:rPr>
        <w:t>, tanto por el paulatino auge de quienes quieren comprar como por la contracción ininterrumpida del porcentaje de vendedores de inmuebles. Concretamente, esta oferta se ha reducido a la mitad en comparación con el periodo 2017-2019, cuando el porcentaje de españoles vendedores de vivienda alcanzaba el 6% en el mercado, mientras que actualmente se encuentran en el mencionado 3% (la tasa más baja de la serie). Por su parte, la demanda ha ido incrementándose con vaivenes, pero creciendo claramente del 9% registrado en 2018 al 13% actual.</w:t>
      </w:r>
    </w:p>
    <w:p w14:paraId="56F42721" w14:textId="77777777" w:rsidR="00EE4151" w:rsidRDefault="00EE4151">
      <w:pPr>
        <w:spacing w:line="276" w:lineRule="auto"/>
        <w:jc w:val="both"/>
        <w:rPr>
          <w:rFonts w:ascii="Open Sans" w:eastAsia="Open Sans" w:hAnsi="Open Sans" w:cs="Open Sans"/>
        </w:rPr>
      </w:pPr>
    </w:p>
    <w:p w14:paraId="6F8E01EA" w14:textId="77777777" w:rsidR="00EE4151" w:rsidRDefault="00000000">
      <w:pPr>
        <w:spacing w:line="276" w:lineRule="auto"/>
        <w:jc w:val="both"/>
        <w:rPr>
          <w:rFonts w:ascii="Open Sans" w:eastAsia="Open Sans" w:hAnsi="Open Sans" w:cs="Open Sans"/>
        </w:rPr>
      </w:pPr>
      <w:r>
        <w:rPr>
          <w:rFonts w:ascii="Open Sans" w:eastAsia="Open Sans" w:hAnsi="Open Sans" w:cs="Open Sans"/>
        </w:rPr>
        <w:t xml:space="preserve">Según los datos del informe, el 13% de los españoles mayores de 18 años ha manifestado intención de comprar una vivienda en el último año. De ellos, únicamente un 3% ha logrado materializar la operación, mientras que el 10% restante no ha podido cerrarla. </w:t>
      </w:r>
      <w:r>
        <w:rPr>
          <w:rFonts w:ascii="Open Sans" w:eastAsia="Open Sans" w:hAnsi="Open Sans" w:cs="Open Sans"/>
          <w:b/>
        </w:rPr>
        <w:t>Esto supone que la demanda insatisfecha es tres veces superior a la demanda efectiva</w:t>
      </w:r>
      <w:r>
        <w:rPr>
          <w:rFonts w:ascii="Open Sans" w:eastAsia="Open Sans" w:hAnsi="Open Sans" w:cs="Open Sans"/>
        </w:rPr>
        <w:t>. El gráfico anterior refleja de forma clara esta distribución, mostrando cómo la mayor parte de los potenciales compradores permanece activa en el mercado sin llegar a completar la transacción.</w:t>
      </w:r>
    </w:p>
    <w:p w14:paraId="35EC618C" w14:textId="77777777" w:rsidR="00EE4151" w:rsidRDefault="00EE4151">
      <w:pPr>
        <w:spacing w:line="276" w:lineRule="auto"/>
        <w:jc w:val="both"/>
        <w:rPr>
          <w:rFonts w:ascii="Open Sans" w:eastAsia="Open Sans" w:hAnsi="Open Sans" w:cs="Open Sans"/>
        </w:rPr>
      </w:pPr>
    </w:p>
    <w:p w14:paraId="4867154B" w14:textId="77777777" w:rsidR="00EE4151" w:rsidRDefault="00000000">
      <w:pPr>
        <w:spacing w:line="276" w:lineRule="auto"/>
        <w:jc w:val="both"/>
        <w:rPr>
          <w:rFonts w:ascii="Open Sans" w:eastAsia="Open Sans" w:hAnsi="Open Sans" w:cs="Open Sans"/>
        </w:rPr>
      </w:pPr>
      <w:r>
        <w:rPr>
          <w:noProof/>
        </w:rPr>
        <w:drawing>
          <wp:inline distT="0" distB="0" distL="0" distR="0" wp14:anchorId="75E23E09" wp14:editId="0372E685">
            <wp:extent cx="5760720" cy="3136900"/>
            <wp:effectExtent l="0" t="0" r="0" b="0"/>
            <wp:docPr id="2066816618" name="image5.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Gráfico&#10;&#10;El contenido generado por IA puede ser incorrecto."/>
                    <pic:cNvPicPr preferRelativeResize="0"/>
                  </pic:nvPicPr>
                  <pic:blipFill>
                    <a:blip r:embed="rId13"/>
                    <a:srcRect/>
                    <a:stretch>
                      <a:fillRect/>
                    </a:stretch>
                  </pic:blipFill>
                  <pic:spPr>
                    <a:xfrm>
                      <a:off x="0" y="0"/>
                      <a:ext cx="5760720" cy="3136900"/>
                    </a:xfrm>
                    <a:prstGeom prst="rect">
                      <a:avLst/>
                    </a:prstGeom>
                    <a:ln/>
                  </pic:spPr>
                </pic:pic>
              </a:graphicData>
            </a:graphic>
          </wp:inline>
        </w:drawing>
      </w:r>
    </w:p>
    <w:p w14:paraId="35A8CB7E" w14:textId="77777777" w:rsidR="00EE4151" w:rsidRDefault="00EE4151">
      <w:pPr>
        <w:spacing w:line="276" w:lineRule="auto"/>
        <w:jc w:val="both"/>
        <w:rPr>
          <w:rFonts w:ascii="Open Sans" w:eastAsia="Open Sans" w:hAnsi="Open Sans" w:cs="Open Sans"/>
        </w:rPr>
      </w:pPr>
    </w:p>
    <w:p w14:paraId="2EBFEEF5" w14:textId="77777777" w:rsidR="00310FBA" w:rsidRDefault="00310FBA">
      <w:pPr>
        <w:spacing w:line="276" w:lineRule="auto"/>
        <w:jc w:val="both"/>
        <w:rPr>
          <w:rFonts w:ascii="National" w:eastAsia="National" w:hAnsi="National" w:cs="National"/>
          <w:b/>
          <w:color w:val="303AB2"/>
          <w:sz w:val="32"/>
          <w:szCs w:val="32"/>
        </w:rPr>
      </w:pPr>
    </w:p>
    <w:p w14:paraId="2793742C" w14:textId="374A0C20" w:rsidR="00EE4151"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La participación total en el mercado de compraventa se mantiene, pero ligeramente a la baja</w:t>
      </w:r>
    </w:p>
    <w:p w14:paraId="5EDC75D4" w14:textId="77777777" w:rsidR="00EE4151" w:rsidRDefault="00EE4151">
      <w:pPr>
        <w:spacing w:line="276" w:lineRule="auto"/>
        <w:jc w:val="both"/>
        <w:rPr>
          <w:rFonts w:ascii="Open Sans" w:eastAsia="Open Sans" w:hAnsi="Open Sans" w:cs="Open Sans"/>
        </w:rPr>
      </w:pPr>
    </w:p>
    <w:p w14:paraId="4AA1288C" w14:textId="77777777" w:rsidR="00EE4151" w:rsidRDefault="00000000">
      <w:pPr>
        <w:spacing w:line="276" w:lineRule="auto"/>
        <w:jc w:val="both"/>
        <w:rPr>
          <w:rFonts w:ascii="Open Sans" w:eastAsia="Open Sans" w:hAnsi="Open Sans" w:cs="Open Sans"/>
        </w:rPr>
      </w:pPr>
      <w:r>
        <w:rPr>
          <w:rFonts w:ascii="Open Sans" w:eastAsia="Open Sans" w:hAnsi="Open Sans" w:cs="Open Sans"/>
        </w:rPr>
        <w:t xml:space="preserve">Por otro lado, si se observa la participación total de los españoles mayores de 18 años en el mercado de compraventa, se ha producido un ligero retroceso. Así, si </w:t>
      </w:r>
      <w:r>
        <w:rPr>
          <w:rFonts w:ascii="Open Sans" w:eastAsia="Open Sans" w:hAnsi="Open Sans" w:cs="Open Sans"/>
          <w:b/>
        </w:rPr>
        <w:t>en el primer semestre de 2024 un 16% de los encuestados se encontraba activo en este mercado, tanto desde la vertiente de la oferta como de la demanda, actualmente esta cifra se ha reducido un punto porcentual, hasta el 15%</w:t>
      </w:r>
      <w:r>
        <w:rPr>
          <w:rFonts w:ascii="Open Sans" w:eastAsia="Open Sans" w:hAnsi="Open Sans" w:cs="Open Sans"/>
        </w:rPr>
        <w:t>. Se trata de una tasa algo inferior a la media de los últimos años, especialmente en comparación con el repunte que se produjo en la época postpandemia.</w:t>
      </w:r>
    </w:p>
    <w:p w14:paraId="239D573B" w14:textId="77777777" w:rsidR="00EE4151" w:rsidRDefault="00EE4151">
      <w:pPr>
        <w:spacing w:line="276" w:lineRule="auto"/>
        <w:jc w:val="both"/>
        <w:rPr>
          <w:rFonts w:ascii="Open Sans" w:eastAsia="Open Sans" w:hAnsi="Open Sans" w:cs="Open Sans"/>
        </w:rPr>
      </w:pPr>
    </w:p>
    <w:p w14:paraId="66283A23" w14:textId="77777777" w:rsidR="00EE4151" w:rsidRDefault="00000000">
      <w:pPr>
        <w:spacing w:line="276" w:lineRule="auto"/>
        <w:jc w:val="center"/>
        <w:rPr>
          <w:rFonts w:ascii="Open Sans" w:eastAsia="Open Sans" w:hAnsi="Open Sans" w:cs="Open Sans"/>
        </w:rPr>
      </w:pPr>
      <w:r>
        <w:rPr>
          <w:noProof/>
        </w:rPr>
        <w:drawing>
          <wp:inline distT="0" distB="0" distL="0" distR="0" wp14:anchorId="6A022A8C" wp14:editId="70271978">
            <wp:extent cx="5760720" cy="2662555"/>
            <wp:effectExtent l="0" t="0" r="0" b="0"/>
            <wp:docPr id="2066816620" name="image3.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10;&#10;El contenido generado por IA puede ser incorrecto."/>
                    <pic:cNvPicPr preferRelativeResize="0"/>
                  </pic:nvPicPr>
                  <pic:blipFill>
                    <a:blip r:embed="rId14"/>
                    <a:srcRect/>
                    <a:stretch>
                      <a:fillRect/>
                    </a:stretch>
                  </pic:blipFill>
                  <pic:spPr>
                    <a:xfrm>
                      <a:off x="0" y="0"/>
                      <a:ext cx="5760720" cy="2662555"/>
                    </a:xfrm>
                    <a:prstGeom prst="rect">
                      <a:avLst/>
                    </a:prstGeom>
                    <a:ln/>
                  </pic:spPr>
                </pic:pic>
              </a:graphicData>
            </a:graphic>
          </wp:inline>
        </w:drawing>
      </w:r>
    </w:p>
    <w:p w14:paraId="304B4A66" w14:textId="77777777" w:rsidR="00EE4151" w:rsidRDefault="00EE4151">
      <w:pPr>
        <w:spacing w:line="276" w:lineRule="auto"/>
        <w:jc w:val="both"/>
        <w:rPr>
          <w:rFonts w:ascii="Open Sans" w:eastAsia="Open Sans" w:hAnsi="Open Sans" w:cs="Open Sans"/>
        </w:rPr>
      </w:pPr>
    </w:p>
    <w:p w14:paraId="5372044B" w14:textId="143F03D9" w:rsidR="00EE4151" w:rsidRDefault="00000000">
      <w:pPr>
        <w:spacing w:line="276" w:lineRule="auto"/>
        <w:jc w:val="both"/>
        <w:rPr>
          <w:rFonts w:ascii="Open Sans" w:eastAsia="Open Sans" w:hAnsi="Open Sans" w:cs="Open Sans"/>
        </w:rPr>
      </w:pPr>
      <w:r>
        <w:rPr>
          <w:rFonts w:ascii="Open Sans" w:eastAsia="Open Sans" w:hAnsi="Open Sans" w:cs="Open Sans"/>
        </w:rPr>
        <w:t xml:space="preserve">Por último, cabe reseñar que este 15% de particulares mayores de 18 años que han participado en operaciones de compraventa en el último año constituyen un grupo que puede analizarse en conjunto desde la perspectiva de la oferta y la demanda. </w:t>
      </w:r>
      <w:r>
        <w:rPr>
          <w:rFonts w:ascii="Open Sans" w:eastAsia="Open Sans" w:hAnsi="Open Sans" w:cs="Open Sans"/>
          <w:b/>
        </w:rPr>
        <w:t xml:space="preserve">Dentro de este colectivo, el 81% se ha vinculado únicamente a la compra de vivienda </w:t>
      </w:r>
      <w:r>
        <w:rPr>
          <w:rFonts w:ascii="Open Sans" w:eastAsia="Open Sans" w:hAnsi="Open Sans" w:cs="Open Sans"/>
        </w:rPr>
        <w:t>(eran un 78% en 2024), mientras que un 12% solo ha participado en la venta (tres puntos porcentuales menos que el año pasado, cuando fueron el 15%). En cambio, un 7% ha intervenido en ambas posiciones del mercado (un punto más que en el ejercicio anterior). Tal y como reflejan el resto de datos a través de este ángulo también se ha ampliado la brecha entre compradores y vendedores.</w:t>
      </w:r>
    </w:p>
    <w:p w14:paraId="581B97E6" w14:textId="77777777" w:rsidR="00EE4151" w:rsidRDefault="00EE4151">
      <w:pPr>
        <w:spacing w:line="276" w:lineRule="auto"/>
        <w:jc w:val="right"/>
        <w:rPr>
          <w:rFonts w:ascii="Open Sans Light" w:eastAsia="Open Sans Light" w:hAnsi="Open Sans Light" w:cs="Open Sans Light"/>
          <w:b/>
          <w:color w:val="303AB2"/>
        </w:rPr>
      </w:pPr>
    </w:p>
    <w:p w14:paraId="359F268D" w14:textId="77777777" w:rsidR="00EE4151" w:rsidRDefault="00EE4151">
      <w:pPr>
        <w:spacing w:line="276" w:lineRule="auto"/>
        <w:jc w:val="right"/>
        <w:rPr>
          <w:rFonts w:ascii="Open Sans Light" w:eastAsia="Open Sans Light" w:hAnsi="Open Sans Light" w:cs="Open Sans Light"/>
          <w:b/>
          <w:color w:val="303AB2"/>
        </w:rPr>
      </w:pPr>
    </w:p>
    <w:p w14:paraId="67BE2860" w14:textId="06CCFC26" w:rsidR="00310FBA" w:rsidRDefault="00310FBA" w:rsidP="00310FBA">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051FDC8C" w14:textId="77777777" w:rsidR="00310FBA" w:rsidRDefault="00310FBA" w:rsidP="00310FB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25C8907" w14:textId="77777777" w:rsidR="00310FBA" w:rsidRDefault="00310FBA" w:rsidP="00310FBA">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2301A4CA" w14:textId="77777777" w:rsidR="00310FBA" w:rsidRDefault="00310FBA" w:rsidP="00310FBA">
      <w:pPr>
        <w:shd w:val="clear" w:color="auto" w:fill="FFFFFF"/>
        <w:spacing w:before="280" w:after="280" w:line="276" w:lineRule="auto"/>
        <w:jc w:val="both"/>
        <w:rPr>
          <w:rFonts w:ascii="Open Sans" w:eastAsia="Open Sans" w:hAnsi="Open Sans" w:cs="Open Sans"/>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071C076A" w14:textId="77777777" w:rsidR="00310FBA" w:rsidRDefault="00310FBA" w:rsidP="00310FBA">
      <w:pPr>
        <w:spacing w:line="276" w:lineRule="auto"/>
        <w:jc w:val="right"/>
        <w:rPr>
          <w:rFonts w:ascii="Open Sans Light" w:eastAsia="Open Sans Light" w:hAnsi="Open Sans Light" w:cs="Open Sans Light"/>
          <w:b/>
          <w:color w:val="303AB2"/>
        </w:rPr>
      </w:pPr>
    </w:p>
    <w:p w14:paraId="669B9F3B" w14:textId="13C1A678" w:rsidR="00310FBA" w:rsidRDefault="00310FBA" w:rsidP="00310FBA">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7B3896F6" w14:textId="77777777" w:rsidR="00310FBA" w:rsidRDefault="00310FBA" w:rsidP="00310FBA">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45045739" w14:textId="77777777" w:rsidR="00310FBA" w:rsidRDefault="00310FBA" w:rsidP="00310FBA">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2930949" w14:textId="77777777" w:rsidR="00310FBA" w:rsidRDefault="00310FBA" w:rsidP="00310FBA">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DD81EB7" w14:textId="77777777" w:rsidR="00310FBA" w:rsidRDefault="00310FBA" w:rsidP="00310FBA">
      <w:pPr>
        <w:spacing w:before="143" w:after="200"/>
        <w:jc w:val="both"/>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171F5396" w14:textId="77777777" w:rsidR="00310FBA" w:rsidRDefault="00310FBA" w:rsidP="00310FBA">
      <w:pPr>
        <w:spacing w:before="143" w:after="200"/>
        <w:jc w:val="both"/>
        <w:rPr>
          <w:rFonts w:ascii="Open Sans" w:eastAsia="Open Sans" w:hAnsi="Open Sans" w:cs="Open Sans"/>
        </w:rPr>
      </w:pPr>
    </w:p>
    <w:p w14:paraId="27D653C5" w14:textId="77777777" w:rsidR="00310FBA" w:rsidRDefault="00310FBA" w:rsidP="00310FBA">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45881D5" w14:textId="77777777" w:rsidR="00310FBA" w:rsidRDefault="00310FBA" w:rsidP="00310FBA">
      <w:pPr>
        <w:shd w:val="clear" w:color="auto" w:fill="FFFFFF"/>
        <w:spacing w:line="276" w:lineRule="auto"/>
        <w:rPr>
          <w:rFonts w:ascii="Open Sans" w:eastAsia="Open Sans" w:hAnsi="Open Sans" w:cs="Open Sans"/>
          <w:b/>
          <w:sz w:val="22"/>
          <w:szCs w:val="22"/>
        </w:rPr>
      </w:pPr>
      <w:r>
        <w:rPr>
          <w:rFonts w:ascii="Open Sans" w:eastAsia="Open Sans" w:hAnsi="Open Sans" w:cs="Open Sans"/>
          <w:b/>
          <w:sz w:val="22"/>
          <w:szCs w:val="22"/>
        </w:rPr>
        <w:t>Anaïs López</w:t>
      </w:r>
    </w:p>
    <w:p w14:paraId="3279BD58" w14:textId="77777777" w:rsidR="00310FBA" w:rsidRDefault="00310FBA" w:rsidP="00310FBA">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0361A134" w14:textId="77777777" w:rsidR="00310FBA" w:rsidRDefault="00310FBA" w:rsidP="00310FBA">
      <w:pPr>
        <w:shd w:val="clear" w:color="auto" w:fill="FFFFFF"/>
        <w:spacing w:line="276" w:lineRule="auto"/>
        <w:rPr>
          <w:rFonts w:ascii="Open Sans Light" w:eastAsia="Open Sans Light" w:hAnsi="Open Sans Light" w:cs="Open Sans Light"/>
          <w:b/>
          <w:color w:val="303AB2"/>
        </w:rPr>
      </w:pPr>
      <w:r>
        <w:rPr>
          <w:rFonts w:ascii="Open Sans" w:eastAsia="Open Sans" w:hAnsi="Open Sans" w:cs="Open Sans"/>
          <w:sz w:val="22"/>
          <w:szCs w:val="22"/>
        </w:rPr>
        <w:t>620 66 29 26</w:t>
      </w:r>
    </w:p>
    <w:p w14:paraId="5371FF43" w14:textId="77777777" w:rsidR="00310FBA" w:rsidRDefault="00310FBA" w:rsidP="00310FBA">
      <w:pPr>
        <w:shd w:val="clear" w:color="auto" w:fill="FFFFFF"/>
        <w:rPr>
          <w:rFonts w:ascii="Open Sans" w:eastAsia="Open Sans" w:hAnsi="Open Sans" w:cs="Open Sans"/>
          <w:color w:val="000000"/>
          <w:sz w:val="22"/>
          <w:szCs w:val="22"/>
        </w:rPr>
      </w:pPr>
    </w:p>
    <w:p w14:paraId="12CE668D" w14:textId="77777777" w:rsidR="00310FBA" w:rsidRDefault="00310FBA">
      <w:pPr>
        <w:spacing w:line="276" w:lineRule="auto"/>
        <w:jc w:val="right"/>
        <w:rPr>
          <w:rFonts w:ascii="Open Sans Light" w:eastAsia="Open Sans Light" w:hAnsi="Open Sans Light" w:cs="Open Sans Light"/>
          <w:b/>
          <w:color w:val="303AB2"/>
        </w:rPr>
      </w:pPr>
    </w:p>
    <w:p w14:paraId="4DCAA6B4" w14:textId="7D43C66E" w:rsidR="00EE4151" w:rsidRDefault="00EE4151">
      <w:pPr>
        <w:shd w:val="clear" w:color="auto" w:fill="FFFFFF"/>
        <w:spacing w:line="276" w:lineRule="auto"/>
        <w:rPr>
          <w:rFonts w:ascii="Open Sans" w:eastAsia="Open Sans" w:hAnsi="Open Sans" w:cs="Open Sans"/>
          <w:color w:val="000000"/>
          <w:sz w:val="22"/>
          <w:szCs w:val="22"/>
        </w:rPr>
      </w:pPr>
    </w:p>
    <w:sectPr w:rsidR="00EE4151">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1D026" w14:textId="77777777" w:rsidR="00CD1AB6" w:rsidRDefault="00CD1AB6">
      <w:r>
        <w:separator/>
      </w:r>
    </w:p>
  </w:endnote>
  <w:endnote w:type="continuationSeparator" w:id="0">
    <w:p w14:paraId="3C2464E7" w14:textId="77777777" w:rsidR="00CD1AB6" w:rsidRDefault="00CD1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3EB924-196A-4914-87FE-56C2B49D89D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168031D-7CF1-4700-99D4-B2F67A1144B9}"/>
    <w:embedBold r:id="rId3" w:fontKey="{57E0746F-DF9D-4C83-B660-FCDB66A1AE6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FAEF7FA-82DC-4739-B388-263D0B26E9CD}"/>
  </w:font>
  <w:font w:name="Georgia">
    <w:panose1 w:val="02040502050405020303"/>
    <w:charset w:val="00"/>
    <w:family w:val="roman"/>
    <w:pitch w:val="variable"/>
    <w:sig w:usb0="00000287" w:usb1="00000000" w:usb2="00000000" w:usb3="00000000" w:csb0="0000009F" w:csb1="00000000"/>
    <w:embedRegular r:id="rId5" w:fontKey="{9CE1A94C-C537-49C6-97C4-58AE4D0A31BB}"/>
    <w:embedItalic r:id="rId6" w:fontKey="{F4A00478-3768-4B29-AF93-231FBD3A228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9FD9D292-0516-461E-B0A1-E04C361E4C1E}"/>
    <w:embedBold r:id="rId8" w:fontKey="{C07C6B0A-0775-4C04-AA80-310E0FDC247E}"/>
  </w:font>
  <w:font w:name="Open Sans Light">
    <w:charset w:val="00"/>
    <w:family w:val="swiss"/>
    <w:pitch w:val="variable"/>
    <w:sig w:usb0="E00002EF" w:usb1="4000205B" w:usb2="00000028" w:usb3="00000000" w:csb0="0000019F" w:csb1="00000000"/>
    <w:embedRegular r:id="rId9" w:fontKey="{42C27231-AECA-4D2C-A517-BAC7414DBCBB}"/>
    <w:embedBold r:id="rId10" w:fontKey="{EDBE759D-09D6-4125-ABD9-115303A2BC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84648" w14:textId="77777777" w:rsidR="00EE415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84EF125" wp14:editId="2785E10C">
          <wp:simplePos x="0" y="0"/>
          <wp:positionH relativeFrom="column">
            <wp:posOffset>-1068044</wp:posOffset>
          </wp:positionH>
          <wp:positionV relativeFrom="paragraph">
            <wp:posOffset>174608</wp:posOffset>
          </wp:positionV>
          <wp:extent cx="7670550" cy="451315"/>
          <wp:effectExtent l="0" t="0" r="0" b="0"/>
          <wp:wrapNone/>
          <wp:docPr id="20668166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85C9F" w14:textId="77777777" w:rsidR="00CD1AB6" w:rsidRDefault="00CD1AB6">
      <w:r>
        <w:separator/>
      </w:r>
    </w:p>
  </w:footnote>
  <w:footnote w:type="continuationSeparator" w:id="0">
    <w:p w14:paraId="0AF248A6" w14:textId="77777777" w:rsidR="00CD1AB6" w:rsidRDefault="00CD1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B52E9F"/>
    <w:multiLevelType w:val="multilevel"/>
    <w:tmpl w:val="E41A6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9642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151"/>
    <w:rsid w:val="00310FBA"/>
    <w:rsid w:val="00CD1AB6"/>
    <w:rsid w:val="00CD704C"/>
    <w:rsid w:val="00EE41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3CC8D"/>
  <w15:docId w15:val="{57FDD92F-5D62-4310-BF5C-11D14B955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otocasa.es/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es/quienes-somo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10" Type="http://schemas.openxmlformats.org/officeDocument/2006/relationships/hyperlink" Target="https://research.fotocasa.es/"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s36360.pcdn.co/wp-content/uploads/2025/09/Informe-Experiencia-en-compra-en-2025.pdf" TargetMode="External"/><Relationship Id="rId14" Type="http://schemas.openxmlformats.org/officeDocument/2006/relationships/image" Target="media/image4.png"/><Relationship Id="rId22" Type="http://schemas.openxmlformats.org/officeDocument/2006/relationships/hyperlink" Target="https://motos.coches.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XaaV2tkLJvcA63Y6vR6h5njeDA==">CgMxLjAyCWguMnM4ZXlvMTgAaiQKFHN1Z2dlc3QucmszN2p6bDl2dnEwEgxNYXLDrWEgTWF0b3NqRQo1c3VnZ2VzdElkSW1wb3J0YmE0M2VjMjctZGU1MS00ZDYwLWE5YjItZmQ0N2YxYzgxNzYwXzUSDE1hcsOtYSBNYXRvc2okChRzdWdnZXN0Ljk0dWk4bDZ6OGtkYRIMTWFyw61hIE1hdG9zciExNHZ6bzVqdTNrMmJhblFTYlQyZTJVVzhwX19qVTlFT0c=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1102</Words>
  <Characters>6067</Characters>
  <Application>Microsoft Office Word</Application>
  <DocSecurity>0</DocSecurity>
  <Lines>50</Lines>
  <Paragraphs>14</Paragraphs>
  <ScaleCrop>false</ScaleCrop>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2025-09-24T22:07:00Z</dcterms:modified>
</cp:coreProperties>
</file>