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90351" w14:textId="77777777" w:rsidR="00BB52A7" w:rsidRDefault="00000000">
      <w:r>
        <w:rPr>
          <w:noProof/>
        </w:rPr>
        <w:drawing>
          <wp:anchor distT="0" distB="0" distL="114300" distR="114300" simplePos="0" relativeHeight="251658240" behindDoc="0" locked="0" layoutInCell="1" hidden="0" allowOverlap="1" wp14:anchorId="4C675AB2" wp14:editId="340F477D">
            <wp:simplePos x="0" y="0"/>
            <wp:positionH relativeFrom="column">
              <wp:posOffset>-1080125</wp:posOffset>
            </wp:positionH>
            <wp:positionV relativeFrom="paragraph">
              <wp:posOffset>-654675</wp:posOffset>
            </wp:positionV>
            <wp:extent cx="7581265" cy="1019175"/>
            <wp:effectExtent l="0" t="0" r="0" b="0"/>
            <wp:wrapNone/>
            <wp:docPr id="2130037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D91462A" w14:textId="77777777" w:rsidR="00BB52A7" w:rsidRDefault="00BB52A7">
      <w:pPr>
        <w:jc w:val="right"/>
        <w:rPr>
          <w:rFonts w:ascii="National" w:eastAsia="National" w:hAnsi="National" w:cs="National"/>
          <w:color w:val="303AB2"/>
          <w:sz w:val="36"/>
          <w:szCs w:val="36"/>
        </w:rPr>
      </w:pPr>
    </w:p>
    <w:p w14:paraId="293DB052" w14:textId="77777777" w:rsidR="00BB52A7" w:rsidRDefault="00BB52A7">
      <w:pPr>
        <w:rPr>
          <w:rFonts w:ascii="National" w:eastAsia="National" w:hAnsi="National" w:cs="National"/>
          <w:color w:val="303AB2"/>
          <w:sz w:val="18"/>
          <w:szCs w:val="18"/>
        </w:rPr>
      </w:pPr>
    </w:p>
    <w:p w14:paraId="3EA20551" w14:textId="2B0C8A9B" w:rsidR="00BB52A7" w:rsidRPr="00691A46" w:rsidRDefault="00000000">
      <w:pPr>
        <w:spacing w:line="276" w:lineRule="auto"/>
        <w:ind w:right="-574"/>
        <w:jc w:val="center"/>
        <w:rPr>
          <w:rFonts w:ascii="National" w:eastAsia="National" w:hAnsi="National" w:cs="National"/>
          <w:b/>
          <w:color w:val="1DBDC5"/>
          <w:sz w:val="30"/>
          <w:szCs w:val="30"/>
        </w:rPr>
      </w:pPr>
      <w:r w:rsidRPr="00691A46">
        <w:rPr>
          <w:rFonts w:ascii="National" w:eastAsia="National" w:hAnsi="National" w:cs="National"/>
          <w:b/>
          <w:color w:val="1DBDC5"/>
          <w:sz w:val="30"/>
          <w:szCs w:val="30"/>
        </w:rPr>
        <w:t>ESTUDIO SOBRE PISOS COMPARTIDOS EN ESPAÑA</w:t>
      </w:r>
    </w:p>
    <w:p w14:paraId="68B2D1DC" w14:textId="3FE3A2AB" w:rsidR="00BB52A7" w:rsidRDefault="00000000">
      <w:pPr>
        <w:jc w:val="center"/>
        <w:rPr>
          <w:rFonts w:ascii="National" w:eastAsia="National" w:hAnsi="National" w:cs="National"/>
          <w:b/>
          <w:color w:val="303AB2"/>
          <w:sz w:val="42"/>
          <w:szCs w:val="42"/>
        </w:rPr>
      </w:pPr>
      <w:r>
        <w:rPr>
          <w:rFonts w:ascii="National" w:eastAsia="National" w:hAnsi="National" w:cs="National"/>
          <w:b/>
          <w:color w:val="303AB2"/>
          <w:sz w:val="42"/>
          <w:szCs w:val="42"/>
        </w:rPr>
        <w:t xml:space="preserve">Se duplican </w:t>
      </w:r>
      <w:r w:rsidR="00D26340">
        <w:rPr>
          <w:rFonts w:ascii="National" w:eastAsia="National" w:hAnsi="National" w:cs="National"/>
          <w:b/>
          <w:color w:val="303AB2"/>
          <w:sz w:val="42"/>
          <w:szCs w:val="42"/>
        </w:rPr>
        <w:t xml:space="preserve">en un año </w:t>
      </w:r>
      <w:r>
        <w:rPr>
          <w:rFonts w:ascii="National" w:eastAsia="National" w:hAnsi="National" w:cs="National"/>
          <w:b/>
          <w:color w:val="303AB2"/>
          <w:sz w:val="42"/>
          <w:szCs w:val="42"/>
        </w:rPr>
        <w:t xml:space="preserve">los inquilinos que comparten piso con más de cuatro </w:t>
      </w:r>
      <w:r w:rsidR="00D37F88">
        <w:rPr>
          <w:rFonts w:ascii="National" w:eastAsia="National" w:hAnsi="National" w:cs="National"/>
          <w:b/>
          <w:color w:val="303AB2"/>
          <w:sz w:val="42"/>
          <w:szCs w:val="42"/>
        </w:rPr>
        <w:t>personas</w:t>
      </w:r>
      <w:r>
        <w:rPr>
          <w:rFonts w:ascii="National" w:eastAsia="National" w:hAnsi="National" w:cs="National"/>
          <w:b/>
          <w:color w:val="303AB2"/>
          <w:sz w:val="42"/>
          <w:szCs w:val="42"/>
        </w:rPr>
        <w:t>: del 6% al 14%</w:t>
      </w:r>
    </w:p>
    <w:p w14:paraId="2F29D22B" w14:textId="77777777" w:rsidR="00BB52A7" w:rsidRDefault="00BB52A7">
      <w:pPr>
        <w:pBdr>
          <w:top w:val="nil"/>
          <w:left w:val="nil"/>
          <w:bottom w:val="nil"/>
          <w:right w:val="nil"/>
          <w:between w:val="nil"/>
        </w:pBdr>
        <w:spacing w:line="276" w:lineRule="auto"/>
        <w:jc w:val="both"/>
        <w:rPr>
          <w:rFonts w:ascii="Open Sans" w:eastAsia="Open Sans" w:hAnsi="Open Sans" w:cs="Open Sans"/>
          <w:sz w:val="22"/>
          <w:szCs w:val="22"/>
        </w:rPr>
      </w:pPr>
    </w:p>
    <w:p w14:paraId="72708F03" w14:textId="77777777" w:rsidR="00BB52A7"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74 % de quienes viven en pisos compartidos lo hace con entre una y tres personas más</w:t>
      </w:r>
    </w:p>
    <w:p w14:paraId="632B6CA9" w14:textId="77777777" w:rsidR="00BB52A7"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25 % de los inquilinos vive con tres personas más, el 28 % con dos compañeros y el 21 % con solo una persona</w:t>
      </w:r>
    </w:p>
    <w:p w14:paraId="13F471EE" w14:textId="77777777" w:rsidR="00BB52A7"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La demanda de habitaciones en pisos compartidos se mantiene estable en el 3 % de la población que buscan esta modalidad residencial</w:t>
      </w:r>
    </w:p>
    <w:p w14:paraId="23C36578" w14:textId="77777777" w:rsidR="00BB52A7" w:rsidRDefault="00BB52A7">
      <w:pPr>
        <w:pBdr>
          <w:top w:val="nil"/>
          <w:left w:val="nil"/>
          <w:bottom w:val="nil"/>
          <w:right w:val="nil"/>
          <w:between w:val="nil"/>
        </w:pBdr>
        <w:spacing w:line="276" w:lineRule="auto"/>
        <w:jc w:val="both"/>
        <w:rPr>
          <w:rFonts w:ascii="Open Sans" w:eastAsia="Open Sans" w:hAnsi="Open Sans" w:cs="Open Sans"/>
          <w:b/>
          <w:color w:val="303AB2"/>
          <w:highlight w:val="yellow"/>
        </w:rPr>
      </w:pPr>
    </w:p>
    <w:p w14:paraId="1A18744E" w14:textId="05BB651F" w:rsidR="00BB52A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D26340">
        <w:rPr>
          <w:rFonts w:ascii="Open Sans Light" w:eastAsia="Open Sans Light" w:hAnsi="Open Sans Light" w:cs="Open Sans Light"/>
          <w:b/>
          <w:color w:val="303AB2"/>
        </w:rPr>
        <w:t>17</w:t>
      </w:r>
      <w:r>
        <w:rPr>
          <w:rFonts w:ascii="Open Sans Light" w:eastAsia="Open Sans Light" w:hAnsi="Open Sans Light" w:cs="Open Sans Light"/>
          <w:b/>
          <w:color w:val="303AB2"/>
        </w:rPr>
        <w:t xml:space="preserve"> de septiembre de 2025</w:t>
      </w:r>
    </w:p>
    <w:p w14:paraId="3732814B" w14:textId="77777777" w:rsidR="00BB52A7" w:rsidRDefault="00BB52A7">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796F37D" w14:textId="244058AB" w:rsidR="00BB52A7" w:rsidRDefault="00000000">
      <w:pPr>
        <w:spacing w:line="276" w:lineRule="auto"/>
        <w:jc w:val="both"/>
        <w:rPr>
          <w:rFonts w:ascii="Open Sans" w:eastAsia="Open Sans" w:hAnsi="Open Sans" w:cs="Open Sans"/>
        </w:rPr>
      </w:pPr>
      <w:r>
        <w:rPr>
          <w:rFonts w:ascii="Open Sans" w:eastAsia="Open Sans" w:hAnsi="Open Sans" w:cs="Open Sans"/>
        </w:rPr>
        <w:t>Compartir piso con más de cuatro personas es una opción cada vez más frecuente entre quienes viven en régimen de alquiler compartido en España. Según el análisis “</w:t>
      </w:r>
      <w:r>
        <w:rPr>
          <w:rFonts w:ascii="Open Sans" w:eastAsia="Open Sans" w:hAnsi="Open Sans" w:cs="Open Sans"/>
          <w:i/>
        </w:rPr>
        <w:t>Perfil de las personas que comparten vivienda</w:t>
      </w:r>
      <w:r>
        <w:rPr>
          <w:rFonts w:ascii="Open Sans" w:eastAsia="Open Sans" w:hAnsi="Open Sans" w:cs="Open Sans"/>
        </w:rPr>
        <w:t xml:space="preserve">”, elaborado por </w:t>
      </w:r>
      <w:hyperlink r:id="rId9">
        <w:r w:rsidR="00BB52A7">
          <w:rPr>
            <w:rFonts w:ascii="Open Sans" w:eastAsia="Open Sans" w:hAnsi="Open Sans" w:cs="Open Sans"/>
            <w:b/>
            <w:color w:val="1155CC"/>
            <w:u w:val="single"/>
          </w:rPr>
          <w:t>Fotocasa Research</w:t>
        </w:r>
      </w:hyperlink>
      <w:r>
        <w:rPr>
          <w:rFonts w:ascii="Open Sans" w:eastAsia="Open Sans" w:hAnsi="Open Sans" w:cs="Open Sans"/>
        </w:rPr>
        <w:t xml:space="preserve">, </w:t>
      </w:r>
      <w:r>
        <w:rPr>
          <w:rFonts w:ascii="Open Sans" w:eastAsia="Open Sans" w:hAnsi="Open Sans" w:cs="Open Sans"/>
          <w:b/>
        </w:rPr>
        <w:t>el porcentaje de inquilinos que comparten vivienda con cuatro personas o más ha pasado de representar el 6 % en 2024 al 14 % en 2025</w:t>
      </w:r>
      <w:r>
        <w:rPr>
          <w:rFonts w:ascii="Open Sans" w:eastAsia="Open Sans" w:hAnsi="Open Sans" w:cs="Open Sans"/>
        </w:rPr>
        <w:t>, más del doble en solo un año.</w:t>
      </w:r>
    </w:p>
    <w:p w14:paraId="6507C2B2" w14:textId="77777777" w:rsidR="00BB52A7" w:rsidRDefault="00BB52A7">
      <w:pPr>
        <w:spacing w:line="276" w:lineRule="auto"/>
        <w:jc w:val="both"/>
        <w:rPr>
          <w:rFonts w:ascii="Open Sans" w:eastAsia="Open Sans" w:hAnsi="Open Sans" w:cs="Open Sans"/>
        </w:rPr>
      </w:pPr>
    </w:p>
    <w:p w14:paraId="75C52105" w14:textId="77777777" w:rsidR="00BB52A7" w:rsidRDefault="00000000">
      <w:pPr>
        <w:spacing w:line="276" w:lineRule="auto"/>
        <w:jc w:val="both"/>
        <w:rPr>
          <w:rFonts w:ascii="Open Sans" w:eastAsia="Open Sans" w:hAnsi="Open Sans" w:cs="Open Sans"/>
        </w:rPr>
      </w:pPr>
      <w:r>
        <w:rPr>
          <w:rFonts w:ascii="Open Sans" w:eastAsia="Open Sans" w:hAnsi="Open Sans" w:cs="Open Sans"/>
        </w:rPr>
        <w:t xml:space="preserve">Pese al incremento del número de convivientes por vivienda, la mayoría de quienes comparten piso lo hace aún en grupos más reducidos: </w:t>
      </w:r>
      <w:r>
        <w:rPr>
          <w:rFonts w:ascii="Open Sans" w:eastAsia="Open Sans" w:hAnsi="Open Sans" w:cs="Open Sans"/>
          <w:b/>
        </w:rPr>
        <w:t>el 25 % vive con tres personas más, el 28 % con dos compañeros/as y el 21 % con solo una persona.</w:t>
      </w:r>
      <w:r>
        <w:rPr>
          <w:rFonts w:ascii="Open Sans" w:eastAsia="Open Sans" w:hAnsi="Open Sans" w:cs="Open Sans"/>
        </w:rPr>
        <w:t xml:space="preserve"> En total, el 74 % de los inquilinos de habitaciones comparte con entre una y tres personas.</w:t>
      </w:r>
    </w:p>
    <w:p w14:paraId="2690AE69" w14:textId="77777777" w:rsidR="00BB52A7" w:rsidRDefault="00BB52A7">
      <w:pPr>
        <w:spacing w:line="276" w:lineRule="auto"/>
        <w:jc w:val="both"/>
        <w:rPr>
          <w:rFonts w:ascii="Open Sans" w:eastAsia="Open Sans" w:hAnsi="Open Sans" w:cs="Open Sans"/>
        </w:rPr>
      </w:pPr>
    </w:p>
    <w:p w14:paraId="177FB3B6" w14:textId="77777777" w:rsidR="00BB52A7" w:rsidRDefault="00000000">
      <w:pPr>
        <w:spacing w:line="276" w:lineRule="auto"/>
        <w:jc w:val="both"/>
        <w:rPr>
          <w:rFonts w:ascii="Open Sans" w:eastAsia="Open Sans" w:hAnsi="Open Sans" w:cs="Open Sans"/>
        </w:rPr>
      </w:pPr>
      <w:r>
        <w:rPr>
          <w:rFonts w:ascii="Open Sans" w:eastAsia="Open Sans" w:hAnsi="Open Sans" w:cs="Open Sans"/>
        </w:rPr>
        <w:t xml:space="preserve">“Este aumento señala un empeoramiento en las condiciones de acceso a la vivienda, en un contexto marcado por los precios elevados y la falta de oferta asequible. El crecimiento de pisos con más de cuatro convivientes refleja una realidad preocupante: muchos ciudadanos se ven forzados a compartir con más inquilinos de los que quisieran para poder acceder al mercado del alquiler, repartir gastos y reducir la tasa de esfuerzo salarial. Esta tendencia no solo afecta a la calidad de vida, sino también a aspectos tan fundamentales como la salud </w:t>
      </w:r>
      <w:r>
        <w:rPr>
          <w:rFonts w:ascii="Open Sans" w:eastAsia="Open Sans" w:hAnsi="Open Sans" w:cs="Open Sans"/>
        </w:rPr>
        <w:lastRenderedPageBreak/>
        <w:t xml:space="preserve">mental o el desarrollo personal”, </w:t>
      </w:r>
      <w:r>
        <w:rPr>
          <w:rFonts w:ascii="Open Sans" w:eastAsia="Open Sans" w:hAnsi="Open Sans" w:cs="Open Sans"/>
          <w:b/>
        </w:rPr>
        <w:t xml:space="preserve">explica María Matos, directora de Estudios y portavoz de </w:t>
      </w:r>
      <w:hyperlink r:id="rId10">
        <w:r w:rsidR="00BB52A7">
          <w:rPr>
            <w:rFonts w:ascii="Open Sans" w:eastAsia="Open Sans" w:hAnsi="Open Sans" w:cs="Open Sans"/>
            <w:b/>
            <w:color w:val="1155CC"/>
            <w:u w:val="single"/>
          </w:rPr>
          <w:t>Fotocasa</w:t>
        </w:r>
      </w:hyperlink>
      <w:r>
        <w:rPr>
          <w:rFonts w:ascii="Open Sans" w:eastAsia="Open Sans" w:hAnsi="Open Sans" w:cs="Open Sans"/>
        </w:rPr>
        <w:t>.</w:t>
      </w:r>
    </w:p>
    <w:p w14:paraId="191DFE1F" w14:textId="77777777" w:rsidR="00BB52A7" w:rsidRDefault="00BB52A7">
      <w:pPr>
        <w:spacing w:line="276" w:lineRule="auto"/>
        <w:jc w:val="both"/>
        <w:rPr>
          <w:rFonts w:ascii="Open Sans" w:eastAsia="Open Sans" w:hAnsi="Open Sans" w:cs="Open Sans"/>
        </w:rPr>
      </w:pPr>
    </w:p>
    <w:p w14:paraId="2EAABD29" w14:textId="77777777" w:rsidR="00BB52A7" w:rsidRDefault="00000000">
      <w:pPr>
        <w:spacing w:line="276" w:lineRule="auto"/>
        <w:jc w:val="both"/>
        <w:rPr>
          <w:rFonts w:ascii="Open Sans" w:eastAsia="Open Sans" w:hAnsi="Open Sans" w:cs="Open Sans"/>
        </w:rPr>
      </w:pPr>
      <w:r>
        <w:rPr>
          <w:rFonts w:ascii="Open Sans" w:eastAsia="Open Sans" w:hAnsi="Open Sans" w:cs="Open Sans"/>
        </w:rPr>
        <w:t>El perfil de estos inquilinos se completa con su situación de convivencia. En el 44% de los casos conviven con sus padres, en el 30 % con otras personas que no son familiares. Asimismo, un 10 % vive con pareja e hijos y un 9 % vive solo.</w:t>
      </w:r>
    </w:p>
    <w:p w14:paraId="672795D3" w14:textId="77777777" w:rsidR="00BB52A7"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493664AB" wp14:editId="46C0E14B">
            <wp:extent cx="5764220" cy="3810000"/>
            <wp:effectExtent l="0" t="0" r="0" b="0"/>
            <wp:docPr id="213003759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64220" cy="3810000"/>
                    </a:xfrm>
                    <a:prstGeom prst="rect">
                      <a:avLst/>
                    </a:prstGeom>
                    <a:ln/>
                  </pic:spPr>
                </pic:pic>
              </a:graphicData>
            </a:graphic>
          </wp:inline>
        </w:drawing>
      </w:r>
    </w:p>
    <w:p w14:paraId="74ABA7E0" w14:textId="77777777" w:rsidR="00BB52A7" w:rsidRDefault="00BB52A7">
      <w:pPr>
        <w:spacing w:line="276" w:lineRule="auto"/>
        <w:jc w:val="both"/>
        <w:rPr>
          <w:rFonts w:ascii="Open Sans" w:eastAsia="Open Sans" w:hAnsi="Open Sans" w:cs="Open Sans"/>
        </w:rPr>
      </w:pPr>
    </w:p>
    <w:p w14:paraId="7D6BF368" w14:textId="77777777" w:rsidR="00691A46" w:rsidRDefault="00691A46">
      <w:pPr>
        <w:spacing w:line="276" w:lineRule="auto"/>
        <w:jc w:val="both"/>
        <w:rPr>
          <w:rFonts w:ascii="Open Sans Light" w:eastAsia="Open Sans Light" w:hAnsi="Open Sans Light" w:cs="Open Sans Light"/>
          <w:b/>
          <w:color w:val="303AB2"/>
          <w:sz w:val="28"/>
          <w:szCs w:val="28"/>
        </w:rPr>
      </w:pPr>
    </w:p>
    <w:p w14:paraId="78542F9D" w14:textId="22785545" w:rsidR="00BB52A7" w:rsidRDefault="00000000">
      <w:pPr>
        <w:spacing w:line="276" w:lineRule="auto"/>
        <w:jc w:val="both"/>
        <w:rPr>
          <w:rFonts w:ascii="Open Sans" w:eastAsia="Open Sans" w:hAnsi="Open Sans" w:cs="Open Sans"/>
        </w:rPr>
      </w:pPr>
      <w:r>
        <w:rPr>
          <w:rFonts w:ascii="Open Sans Light" w:eastAsia="Open Sans Light" w:hAnsi="Open Sans Light" w:cs="Open Sans Light"/>
          <w:b/>
          <w:color w:val="303AB2"/>
          <w:sz w:val="28"/>
          <w:szCs w:val="28"/>
        </w:rPr>
        <w:t>El 3% de los particulares busca habitación en un piso compartido</w:t>
      </w:r>
    </w:p>
    <w:p w14:paraId="50B381F6" w14:textId="77777777" w:rsidR="00BB52A7" w:rsidRDefault="00BB52A7">
      <w:pPr>
        <w:spacing w:line="276" w:lineRule="auto"/>
        <w:jc w:val="both"/>
        <w:rPr>
          <w:rFonts w:ascii="Open Sans" w:eastAsia="Open Sans" w:hAnsi="Open Sans" w:cs="Open Sans"/>
        </w:rPr>
      </w:pPr>
    </w:p>
    <w:p w14:paraId="7F1F8B10" w14:textId="3165D797" w:rsidR="00BB52A7" w:rsidRDefault="00000000">
      <w:pP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la demanda de habitaciones en pisos compartidos se mantiene estable en el 3 %</w:t>
      </w:r>
      <w:r>
        <w:rPr>
          <w:rFonts w:ascii="Open Sans" w:eastAsia="Open Sans" w:hAnsi="Open Sans" w:cs="Open Sans"/>
        </w:rPr>
        <w:t xml:space="preserve"> de la población española mayor de 18 años, el mismo porcentaje que en 2024. Esta cifra se enmarca dentro del 12 % de particulares que han participado en el mercado del alquiler en el último año, ya sea buscando una vivienda completa o una habitación.</w:t>
      </w:r>
    </w:p>
    <w:p w14:paraId="7826CEFC" w14:textId="77777777" w:rsidR="00BB52A7" w:rsidRDefault="00000000">
      <w:pPr>
        <w:spacing w:line="276" w:lineRule="auto"/>
        <w:ind w:right="4"/>
        <w:jc w:val="both"/>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708FC6AC" wp14:editId="56C598D0">
            <wp:extent cx="5525453" cy="3073032"/>
            <wp:effectExtent l="0" t="0" r="0" b="0"/>
            <wp:docPr id="21300376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4228" r="4528" b="6258"/>
                    <a:stretch>
                      <a:fillRect/>
                    </a:stretch>
                  </pic:blipFill>
                  <pic:spPr>
                    <a:xfrm>
                      <a:off x="0" y="0"/>
                      <a:ext cx="5525453" cy="3073032"/>
                    </a:xfrm>
                    <a:prstGeom prst="rect">
                      <a:avLst/>
                    </a:prstGeom>
                    <a:ln/>
                  </pic:spPr>
                </pic:pic>
              </a:graphicData>
            </a:graphic>
          </wp:inline>
        </w:drawing>
      </w:r>
    </w:p>
    <w:p w14:paraId="03DF823A" w14:textId="77777777" w:rsidR="00BB52A7" w:rsidRDefault="00BB52A7">
      <w:pPr>
        <w:spacing w:line="276" w:lineRule="auto"/>
        <w:jc w:val="both"/>
        <w:rPr>
          <w:rFonts w:ascii="Open Sans" w:eastAsia="Open Sans" w:hAnsi="Open Sans" w:cs="Open Sans"/>
        </w:rPr>
      </w:pPr>
    </w:p>
    <w:p w14:paraId="315063FB" w14:textId="77777777" w:rsidR="00860868" w:rsidRDefault="00860868">
      <w:pPr>
        <w:spacing w:line="276" w:lineRule="auto"/>
        <w:jc w:val="both"/>
        <w:rPr>
          <w:rFonts w:ascii="Open Sans" w:eastAsia="Open Sans" w:hAnsi="Open Sans" w:cs="Open Sans"/>
        </w:rPr>
      </w:pPr>
    </w:p>
    <w:p w14:paraId="3093951B" w14:textId="22E4745A" w:rsidR="00BB52A7" w:rsidRDefault="00000000">
      <w:pPr>
        <w:spacing w:line="276" w:lineRule="auto"/>
        <w:jc w:val="both"/>
        <w:rPr>
          <w:rFonts w:ascii="Open Sans" w:eastAsia="Open Sans" w:hAnsi="Open Sans" w:cs="Open Sans"/>
        </w:rPr>
      </w:pPr>
      <w:r>
        <w:rPr>
          <w:rFonts w:ascii="Open Sans" w:eastAsia="Open Sans" w:hAnsi="Open Sans" w:cs="Open Sans"/>
        </w:rPr>
        <w:t xml:space="preserve">El estudio también señala que la búsqueda de alquiler compartido y de vivienda completa no son excluyentes: </w:t>
      </w:r>
      <w:r>
        <w:rPr>
          <w:rFonts w:ascii="Open Sans" w:eastAsia="Open Sans" w:hAnsi="Open Sans" w:cs="Open Sans"/>
          <w:b/>
        </w:rPr>
        <w:t>un 35 % de quienes han alquilado o intentado alquilar una habitación también ha buscado una vivienda entera</w:t>
      </w:r>
      <w:r>
        <w:rPr>
          <w:rFonts w:ascii="Open Sans" w:eastAsia="Open Sans" w:hAnsi="Open Sans" w:cs="Open Sans"/>
        </w:rPr>
        <w:t>, y un 10 % de quienes han intentado alquilar una vivienda completa también ha valorado la opción del alquiler compartido.</w:t>
      </w:r>
    </w:p>
    <w:p w14:paraId="28CC02D4" w14:textId="77777777" w:rsidR="00BB52A7" w:rsidRDefault="00BB52A7">
      <w:pPr>
        <w:spacing w:line="276" w:lineRule="auto"/>
        <w:jc w:val="both"/>
        <w:rPr>
          <w:rFonts w:ascii="Open Sans" w:eastAsia="Open Sans" w:hAnsi="Open Sans" w:cs="Open Sans"/>
        </w:rPr>
      </w:pPr>
    </w:p>
    <w:p w14:paraId="35954693" w14:textId="6E45AEBF" w:rsidR="00BB52A7" w:rsidRDefault="00000000">
      <w:pPr>
        <w:spacing w:line="276" w:lineRule="auto"/>
        <w:jc w:val="both"/>
        <w:rPr>
          <w:rFonts w:ascii="Open Sans" w:eastAsia="Open Sans" w:hAnsi="Open Sans" w:cs="Open Sans"/>
        </w:rPr>
      </w:pPr>
      <w:r>
        <w:rPr>
          <w:rFonts w:ascii="Open Sans" w:eastAsia="Open Sans" w:hAnsi="Open Sans" w:cs="Open Sans"/>
        </w:rPr>
        <w:t>En cuanto al nivel de consecución de sus propósitos residenciales, s</w:t>
      </w:r>
      <w:r>
        <w:rPr>
          <w:rFonts w:ascii="Open Sans" w:eastAsia="Open Sans" w:hAnsi="Open Sans" w:cs="Open Sans"/>
          <w:b/>
        </w:rPr>
        <w:t>eis de cada diez (concretamente un 63%) demandantes de habitación en piso compartido ha terminado alquilando</w:t>
      </w:r>
      <w:r>
        <w:rPr>
          <w:rFonts w:ascii="Open Sans" w:eastAsia="Open Sans" w:hAnsi="Open Sans" w:cs="Open Sans"/>
        </w:rPr>
        <w:t xml:space="preserve"> (ya sea habitación o una vivienda completa). Esta cifra ha crecido con respecto a 2024, aunque no se trata de un incremento estadísticamente significativo. </w:t>
      </w:r>
    </w:p>
    <w:p w14:paraId="3AC13AC9" w14:textId="77777777" w:rsidR="00BB52A7" w:rsidRDefault="00BB52A7">
      <w:pPr>
        <w:spacing w:line="276" w:lineRule="auto"/>
        <w:jc w:val="both"/>
        <w:rPr>
          <w:rFonts w:ascii="Open Sans" w:eastAsia="Open Sans" w:hAnsi="Open Sans" w:cs="Open Sans"/>
        </w:rPr>
      </w:pPr>
    </w:p>
    <w:p w14:paraId="21F91281" w14:textId="3F7107D1" w:rsidR="00BB52A7" w:rsidRDefault="00000000">
      <w:pPr>
        <w:spacing w:line="276" w:lineRule="auto"/>
        <w:jc w:val="both"/>
        <w:rPr>
          <w:rFonts w:ascii="Open Sans" w:eastAsia="Open Sans" w:hAnsi="Open Sans" w:cs="Open Sans"/>
        </w:rPr>
      </w:pPr>
      <w:r>
        <w:rPr>
          <w:rFonts w:ascii="Open Sans" w:eastAsia="Open Sans" w:hAnsi="Open Sans" w:cs="Open Sans"/>
        </w:rPr>
        <w:t>El aumento de este segmento, en consecuencia, también supone un retroceso entre aquellos para los que la búsqueda no ha sido efectiva: en 2024 eran el 44 % y en 2025 esta cifra ha descendido hasta el 37%.</w:t>
      </w:r>
    </w:p>
    <w:p w14:paraId="6B479E66" w14:textId="77777777" w:rsidR="00BB52A7" w:rsidRDefault="00BB52A7">
      <w:pPr>
        <w:spacing w:line="276" w:lineRule="auto"/>
        <w:jc w:val="both"/>
        <w:rPr>
          <w:rFonts w:ascii="Open Sans" w:eastAsia="Open Sans" w:hAnsi="Open Sans" w:cs="Open Sans"/>
        </w:rPr>
      </w:pPr>
    </w:p>
    <w:p w14:paraId="3594B075" w14:textId="77777777" w:rsidR="00BB52A7" w:rsidRDefault="00BB52A7">
      <w:pPr>
        <w:spacing w:line="276" w:lineRule="auto"/>
        <w:jc w:val="right"/>
        <w:rPr>
          <w:rFonts w:ascii="Open Sans Light" w:eastAsia="Open Sans Light" w:hAnsi="Open Sans Light" w:cs="Open Sans Light"/>
          <w:b/>
          <w:color w:val="303AB2"/>
        </w:rPr>
      </w:pPr>
    </w:p>
    <w:p w14:paraId="6EBCAFF0" w14:textId="77777777" w:rsidR="00BB799F" w:rsidRDefault="00BB799F">
      <w:pPr>
        <w:spacing w:line="276" w:lineRule="auto"/>
        <w:jc w:val="right"/>
        <w:rPr>
          <w:rFonts w:ascii="Open Sans Light" w:eastAsia="Open Sans Light" w:hAnsi="Open Sans Light" w:cs="Open Sans Light"/>
          <w:b/>
          <w:color w:val="303AB2"/>
        </w:rPr>
      </w:pPr>
    </w:p>
    <w:p w14:paraId="0FB45DD7" w14:textId="77777777" w:rsidR="00BB799F" w:rsidRDefault="00BB799F">
      <w:pPr>
        <w:spacing w:line="276" w:lineRule="auto"/>
        <w:jc w:val="right"/>
        <w:rPr>
          <w:rFonts w:ascii="Open Sans Light" w:eastAsia="Open Sans Light" w:hAnsi="Open Sans Light" w:cs="Open Sans Light"/>
          <w:b/>
          <w:color w:val="303AB2"/>
        </w:rPr>
      </w:pPr>
    </w:p>
    <w:p w14:paraId="086289DC" w14:textId="77777777" w:rsidR="00BB799F" w:rsidRDefault="00BB799F">
      <w:pPr>
        <w:spacing w:line="276" w:lineRule="auto"/>
        <w:jc w:val="right"/>
        <w:rPr>
          <w:rFonts w:ascii="Open Sans Light" w:eastAsia="Open Sans Light" w:hAnsi="Open Sans Light" w:cs="Open Sans Light"/>
          <w:b/>
          <w:color w:val="303AB2"/>
        </w:rPr>
      </w:pPr>
    </w:p>
    <w:p w14:paraId="50358C98" w14:textId="77777777" w:rsidR="00BB799F" w:rsidRDefault="00BB799F">
      <w:pPr>
        <w:spacing w:line="276" w:lineRule="auto"/>
        <w:jc w:val="right"/>
        <w:rPr>
          <w:rFonts w:ascii="Open Sans Light" w:eastAsia="Open Sans Light" w:hAnsi="Open Sans Light" w:cs="Open Sans Light"/>
          <w:b/>
          <w:color w:val="303AB2"/>
        </w:rPr>
      </w:pPr>
    </w:p>
    <w:p w14:paraId="244246A8" w14:textId="77777777" w:rsidR="00BB52A7" w:rsidRDefault="00BB52A7">
      <w:pPr>
        <w:spacing w:line="276" w:lineRule="auto"/>
        <w:jc w:val="both"/>
        <w:rPr>
          <w:rFonts w:ascii="Open Sans" w:eastAsia="Open Sans" w:hAnsi="Open Sans" w:cs="Open Sans"/>
          <w:sz w:val="22"/>
          <w:szCs w:val="22"/>
        </w:rPr>
      </w:pPr>
    </w:p>
    <w:p w14:paraId="1D9D5FD1" w14:textId="77777777" w:rsidR="00BB52A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971A506" w14:textId="77777777" w:rsidR="00BB52A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BB52A7">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7D4B7B0" w14:textId="77777777" w:rsidR="00BB52A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sidR="00BB52A7">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697B2FB" w14:textId="77777777" w:rsidR="00BB52A7"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4BA0B11" w14:textId="77777777" w:rsidR="00BB52A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00477AC0" w14:textId="77777777" w:rsidR="00BB52A7"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sidR="00BB52A7">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sidR="00BB52A7">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sidR="00BB52A7">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sidR="00BB52A7">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BB52A7">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sidR="00BB52A7">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13CB69F" w14:textId="77777777" w:rsidR="00BB52A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136C54F" w14:textId="77777777" w:rsidR="00BB52A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4D3C3DDE" w14:textId="77777777" w:rsidR="00BB52A7" w:rsidRDefault="00000000">
      <w:pPr>
        <w:spacing w:before="143" w:after="200"/>
        <w:jc w:val="both"/>
      </w:pPr>
      <w:r>
        <w:rPr>
          <w:rFonts w:ascii="Open Sans" w:eastAsia="Open Sans" w:hAnsi="Open Sans" w:cs="Open Sans"/>
          <w:sz w:val="22"/>
          <w:szCs w:val="22"/>
        </w:rPr>
        <w:t xml:space="preserve">Más información en </w:t>
      </w:r>
      <w:hyperlink r:id="rId21">
        <w:r w:rsidR="00BB52A7">
          <w:rPr>
            <w:rFonts w:ascii="Open Sans" w:eastAsia="Open Sans" w:hAnsi="Open Sans" w:cs="Open Sans"/>
            <w:color w:val="1155CC"/>
            <w:sz w:val="22"/>
            <w:szCs w:val="22"/>
            <w:u w:val="single"/>
          </w:rPr>
          <w:t>adevinta.es</w:t>
        </w:r>
      </w:hyperlink>
    </w:p>
    <w:p w14:paraId="1B1E4325" w14:textId="77777777" w:rsidR="00BB52A7" w:rsidRDefault="00BB52A7">
      <w:pPr>
        <w:spacing w:before="143" w:after="200"/>
        <w:jc w:val="both"/>
        <w:rPr>
          <w:rFonts w:ascii="Open Sans" w:eastAsia="Open Sans" w:hAnsi="Open Sans" w:cs="Open Sans"/>
        </w:rPr>
      </w:pPr>
    </w:p>
    <w:p w14:paraId="73029F95" w14:textId="77777777" w:rsidR="00BB52A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6B0F95C" w14:textId="77777777" w:rsidR="00BB52A7" w:rsidRDefault="00000000">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0E5B1D5C" w14:textId="77777777" w:rsidR="00BB52A7" w:rsidRDefault="00BB52A7">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58820B37" w14:textId="77777777" w:rsidR="00BB52A7" w:rsidRDefault="00000000">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0FF5310C" w14:textId="77777777" w:rsidR="00BB52A7" w:rsidRDefault="00BB52A7">
      <w:pPr>
        <w:shd w:val="clear" w:color="auto" w:fill="FFFFFF"/>
        <w:rPr>
          <w:rFonts w:ascii="Open Sans" w:eastAsia="Open Sans" w:hAnsi="Open Sans" w:cs="Open Sans"/>
          <w:color w:val="000000"/>
          <w:sz w:val="22"/>
          <w:szCs w:val="22"/>
        </w:rPr>
      </w:pPr>
    </w:p>
    <w:sectPr w:rsidR="00BB52A7">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22BCF" w14:textId="77777777" w:rsidR="00570B81" w:rsidRDefault="00570B81">
      <w:r>
        <w:separator/>
      </w:r>
    </w:p>
  </w:endnote>
  <w:endnote w:type="continuationSeparator" w:id="0">
    <w:p w14:paraId="3C51D04C" w14:textId="77777777" w:rsidR="00570B81" w:rsidRDefault="0057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4C1EB3-7C0C-4CB3-A12E-C4CE203F8E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027672-1AC6-4E28-BF48-B894D4B894EE}"/>
    <w:embedBold r:id="rId3" w:fontKey="{9FE4360A-90A4-4E7E-849C-6770EF2ACD8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8E87318-9BD6-4647-A204-E552FA1D050D}"/>
  </w:font>
  <w:font w:name="Georgia">
    <w:panose1 w:val="02040502050405020303"/>
    <w:charset w:val="00"/>
    <w:family w:val="roman"/>
    <w:pitch w:val="variable"/>
    <w:sig w:usb0="00000287" w:usb1="00000000" w:usb2="00000000" w:usb3="00000000" w:csb0="0000009F" w:csb1="00000000"/>
    <w:embedRegular r:id="rId5" w:fontKey="{5C2FA73A-7B9B-4121-9BB7-33025DA66FEB}"/>
    <w:embedItalic r:id="rId6" w:fontKey="{E26EDEF7-4A8E-499D-BB69-0A6D442975E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DA27E953-E66C-47CB-8E82-4A6009417462}"/>
    <w:embedBold r:id="rId8" w:fontKey="{85DA1F8B-5061-4FB8-B72B-2350B341CF75}"/>
    <w:embedItalic r:id="rId9" w:fontKey="{764B342A-F8E2-41BE-B3F6-4FDC431FCA5D}"/>
  </w:font>
  <w:font w:name="Open Sans Light">
    <w:charset w:val="00"/>
    <w:family w:val="swiss"/>
    <w:pitch w:val="variable"/>
    <w:sig w:usb0="E00002EF" w:usb1="4000205B" w:usb2="00000028" w:usb3="00000000" w:csb0="0000019F" w:csb1="00000000"/>
    <w:embedRegular r:id="rId10" w:fontKey="{3D31358C-9D55-4AB8-B6E4-586F3D7FB6FE}"/>
    <w:embedBold r:id="rId11" w:fontKey="{02462F03-319D-47E1-872E-11301E6B1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E728" w14:textId="77777777" w:rsidR="00BB52A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C178717" wp14:editId="4DA6468F">
          <wp:simplePos x="0" y="0"/>
          <wp:positionH relativeFrom="column">
            <wp:posOffset>-1068049</wp:posOffset>
          </wp:positionH>
          <wp:positionV relativeFrom="paragraph">
            <wp:posOffset>174608</wp:posOffset>
          </wp:positionV>
          <wp:extent cx="7670550" cy="451315"/>
          <wp:effectExtent l="0" t="0" r="0" b="0"/>
          <wp:wrapNone/>
          <wp:docPr id="2130037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45EE" w14:textId="77777777" w:rsidR="00570B81" w:rsidRDefault="00570B81">
      <w:r>
        <w:separator/>
      </w:r>
    </w:p>
  </w:footnote>
  <w:footnote w:type="continuationSeparator" w:id="0">
    <w:p w14:paraId="142C9BB0" w14:textId="77777777" w:rsidR="00570B81" w:rsidRDefault="00570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A5650"/>
    <w:multiLevelType w:val="multilevel"/>
    <w:tmpl w:val="76A62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0927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2A7"/>
    <w:rsid w:val="0004715A"/>
    <w:rsid w:val="000E4636"/>
    <w:rsid w:val="00480E95"/>
    <w:rsid w:val="00570B81"/>
    <w:rsid w:val="00691A46"/>
    <w:rsid w:val="00860868"/>
    <w:rsid w:val="00BA0503"/>
    <w:rsid w:val="00BB52A7"/>
    <w:rsid w:val="00BB799F"/>
    <w:rsid w:val="00C241CC"/>
    <w:rsid w:val="00D26340"/>
    <w:rsid w:val="00D37F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1969"/>
  <w15:docId w15:val="{055A4E97-3363-4A90-8C5D-C50C7CC0D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a">
    <w:basedOn w:val="TableNormalf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d"/>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d"/>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www.fotocasa.es/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gXjN/R8KHgXioIuCrp7aXMEig==">CgMxLjAyCWguMnM4ZXlvMTgAciExbUdWejh4ZVMxa0JVWExmV3Z4VU1wUXVHX1AxdzBRQ2I=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864</Words>
  <Characters>4753</Characters>
  <Application>Microsoft Office Word</Application>
  <DocSecurity>0</DocSecurity>
  <Lines>39</Lines>
  <Paragraphs>11</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8</cp:revision>
  <cp:lastPrinted>2025-08-06T09:45:00Z</cp:lastPrinted>
  <dcterms:created xsi:type="dcterms:W3CDTF">2024-02-06T13:46:00Z</dcterms:created>
  <dcterms:modified xsi:type="dcterms:W3CDTF">2025-08-06T09:47:00Z</dcterms:modified>
</cp:coreProperties>
</file>