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C469C" w14:textId="77777777" w:rsidR="00E90BDF" w:rsidRDefault="00000000">
      <w:r>
        <w:rPr>
          <w:noProof/>
        </w:rPr>
        <w:drawing>
          <wp:anchor distT="0" distB="0" distL="114300" distR="114300" simplePos="0" relativeHeight="251658240" behindDoc="0" locked="0" layoutInCell="1" hidden="0" allowOverlap="1" wp14:anchorId="69B57161" wp14:editId="70CB946A">
            <wp:simplePos x="0" y="0"/>
            <wp:positionH relativeFrom="column">
              <wp:posOffset>-1080120</wp:posOffset>
            </wp:positionH>
            <wp:positionV relativeFrom="paragraph">
              <wp:posOffset>-654670</wp:posOffset>
            </wp:positionV>
            <wp:extent cx="7581265" cy="1019175"/>
            <wp:effectExtent l="0" t="0" r="0" b="0"/>
            <wp:wrapNone/>
            <wp:docPr id="20668166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B8DC103" w14:textId="77777777" w:rsidR="00E90BDF" w:rsidRDefault="00E90BDF">
      <w:pPr>
        <w:jc w:val="right"/>
        <w:rPr>
          <w:rFonts w:ascii="National" w:eastAsia="National" w:hAnsi="National" w:cs="National"/>
          <w:color w:val="303AB2"/>
          <w:sz w:val="36"/>
          <w:szCs w:val="36"/>
        </w:rPr>
      </w:pPr>
    </w:p>
    <w:p w14:paraId="683270F8" w14:textId="77777777" w:rsidR="00E90BDF" w:rsidRDefault="00E90BDF">
      <w:pPr>
        <w:rPr>
          <w:rFonts w:ascii="National" w:eastAsia="National" w:hAnsi="National" w:cs="National"/>
          <w:color w:val="303AB2"/>
          <w:sz w:val="18"/>
          <w:szCs w:val="18"/>
        </w:rPr>
      </w:pPr>
    </w:p>
    <w:p w14:paraId="7224D4F9" w14:textId="77777777" w:rsidR="00E90BDF" w:rsidRDefault="00E90BDF">
      <w:pPr>
        <w:spacing w:line="276" w:lineRule="auto"/>
        <w:jc w:val="center"/>
        <w:rPr>
          <w:rFonts w:ascii="National" w:eastAsia="National" w:hAnsi="National" w:cs="National"/>
          <w:b/>
          <w:color w:val="1DBDC5"/>
          <w:sz w:val="30"/>
          <w:szCs w:val="30"/>
        </w:rPr>
      </w:pPr>
    </w:p>
    <w:p w14:paraId="0A0B5078" w14:textId="77777777" w:rsidR="00E90BDF"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LOS JÓVENES Y EL MERCADO DE LA VIVIENDA EN 2025</w:t>
      </w:r>
    </w:p>
    <w:p w14:paraId="6F1AB062" w14:textId="3F36D8BF" w:rsidR="00E90BDF"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Crece hasta el 43% los jóvenes que demandan una vivienda en propiedad como un seguro para el futuro</w:t>
      </w:r>
    </w:p>
    <w:p w14:paraId="6DED808E" w14:textId="77777777" w:rsidR="00E90BDF" w:rsidRDefault="00E90BDF">
      <w:pPr>
        <w:jc w:val="center"/>
        <w:rPr>
          <w:rFonts w:ascii="Open Sans" w:eastAsia="Open Sans" w:hAnsi="Open Sans" w:cs="Open Sans"/>
          <w:color w:val="303AB2"/>
        </w:rPr>
      </w:pPr>
    </w:p>
    <w:p w14:paraId="4B69C996" w14:textId="77777777" w:rsidR="00E90BDF"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visión a largo plazo impacta en el atractivo de la compraventa por encima de consideraciones coyunturales como los salarios o las hipotecas</w:t>
      </w:r>
    </w:p>
    <w:p w14:paraId="34675F07" w14:textId="77777777" w:rsidR="00E90BDF"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Casi la mitad de los menores de 35 años recurren al alquiler por la dificultad económica de adquirir un piso</w:t>
      </w:r>
    </w:p>
    <w:p w14:paraId="7CB559B8" w14:textId="77777777" w:rsidR="00E90BDF"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voluntad de independencia se mantiene como principal motivo personal de los jóvenes para buscar vivienda</w:t>
      </w:r>
    </w:p>
    <w:p w14:paraId="7C632FF6" w14:textId="77777777" w:rsidR="008864DC" w:rsidRPr="007345AE" w:rsidRDefault="008864DC" w:rsidP="008864DC">
      <w:pPr>
        <w:numPr>
          <w:ilvl w:val="0"/>
          <w:numId w:val="1"/>
        </w:numPr>
        <w:spacing w:line="276" w:lineRule="auto"/>
        <w:jc w:val="both"/>
        <w:rPr>
          <w:rFonts w:ascii="Open Sans Light" w:eastAsia="Open Sans Light" w:hAnsi="Open Sans Light" w:cs="Open Sans Light"/>
          <w:b/>
          <w:color w:val="303AB2"/>
        </w:rPr>
      </w:pPr>
      <w:hyperlink r:id="rId9" w:history="1">
        <w:r w:rsidRPr="00EF4AF7">
          <w:rPr>
            <w:rStyle w:val="Hipervnculo"/>
            <w:rFonts w:ascii="Open Sans Light" w:eastAsia="Open Sans Light" w:hAnsi="Open Sans Light" w:cs="Open Sans Light"/>
            <w:b/>
          </w:rPr>
          <w:t>Aquí se puede descargar el informe completo “</w:t>
        </w:r>
        <w:r w:rsidRPr="00EF4AF7">
          <w:rPr>
            <w:rStyle w:val="Hipervnculo"/>
            <w:rFonts w:ascii="Open Sans Light" w:eastAsia="Open Sans Light" w:hAnsi="Open Sans Light" w:cs="Open Sans Light"/>
            <w:b/>
            <w:i/>
            <w:iCs/>
          </w:rPr>
          <w:t>Los jóvenes y el mercado de la vivienda en 2025</w:t>
        </w:r>
        <w:r w:rsidRPr="00EF4AF7">
          <w:rPr>
            <w:rStyle w:val="Hipervnculo"/>
            <w:rFonts w:ascii="Open Sans Light" w:eastAsia="Open Sans Light" w:hAnsi="Open Sans Light" w:cs="Open Sans Light"/>
            <w:b/>
          </w:rPr>
          <w:t>”</w:t>
        </w:r>
      </w:hyperlink>
    </w:p>
    <w:p w14:paraId="31B331BF" w14:textId="77777777" w:rsidR="00E90BDF" w:rsidRDefault="00E90BDF">
      <w:pPr>
        <w:spacing w:line="276" w:lineRule="auto"/>
        <w:ind w:left="720"/>
        <w:jc w:val="both"/>
        <w:rPr>
          <w:rFonts w:ascii="Open Sans Light" w:eastAsia="Open Sans Light" w:hAnsi="Open Sans Light" w:cs="Open Sans Light"/>
          <w:b/>
          <w:color w:val="303AB2"/>
        </w:rPr>
      </w:pPr>
    </w:p>
    <w:p w14:paraId="42884002" w14:textId="77777777" w:rsidR="00E90BD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24 de septiembre de 2025</w:t>
      </w:r>
    </w:p>
    <w:p w14:paraId="000C5B7B" w14:textId="77777777" w:rsidR="00E90BDF" w:rsidRDefault="00E90BDF">
      <w:pPr>
        <w:pBdr>
          <w:top w:val="nil"/>
          <w:left w:val="nil"/>
          <w:bottom w:val="nil"/>
          <w:right w:val="nil"/>
          <w:between w:val="nil"/>
        </w:pBdr>
        <w:spacing w:line="276" w:lineRule="auto"/>
        <w:jc w:val="both"/>
        <w:rPr>
          <w:rFonts w:ascii="Open Sans" w:eastAsia="Open Sans" w:hAnsi="Open Sans" w:cs="Open Sans"/>
        </w:rPr>
      </w:pPr>
    </w:p>
    <w:p w14:paraId="21C3E9E8" w14:textId="3123E318" w:rsidR="00E90BDF" w:rsidRDefault="00000000" w:rsidP="008864DC">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auge de los precios de la vivienda y la creciente dificultad de acceso a un inmueble residencial están calando en la mentalidad de los jóvenes y en su aproximación al mercado inmobiliario. Así, cada vez son más los españoles menores de 35 años que prefieren comprar en lugar de alquilar, ya que consideran la vivienda como un seguro para su futuro. Concretamente, el 43% de los jóvenes demandantes de vivienda en propiedad defienden esta opinión, cinco puntos más que en 2024, según las cifras del </w:t>
      </w:r>
      <w:r w:rsidR="008864DC">
        <w:rPr>
          <w:rFonts w:ascii="Open Sans" w:eastAsia="Open Sans" w:hAnsi="Open Sans" w:cs="Open Sans"/>
          <w:b/>
        </w:rPr>
        <w:t>informe “</w:t>
      </w:r>
      <w:hyperlink r:id="rId10" w:history="1">
        <w:r w:rsidR="008864DC" w:rsidRPr="007345AE">
          <w:rPr>
            <w:rStyle w:val="Hipervnculo"/>
            <w:rFonts w:ascii="Open Sans" w:eastAsia="Open Sans" w:hAnsi="Open Sans" w:cs="Open Sans"/>
            <w:b/>
            <w:i/>
            <w:iCs/>
          </w:rPr>
          <w:t>Los jóvenes y el mercado de la vivienda en 2025</w:t>
        </w:r>
      </w:hyperlink>
      <w:r w:rsidR="008864DC">
        <w:rPr>
          <w:rFonts w:ascii="Open Sans" w:eastAsia="Open Sans" w:hAnsi="Open Sans" w:cs="Open Sans"/>
          <w:b/>
        </w:rPr>
        <w:t xml:space="preserve">”, elaborado por </w:t>
      </w:r>
      <w:hyperlink r:id="rId11">
        <w:r w:rsidR="008864DC">
          <w:rPr>
            <w:rFonts w:ascii="Open Sans" w:eastAsia="Open Sans" w:hAnsi="Open Sans" w:cs="Open Sans"/>
            <w:b/>
            <w:color w:val="0000FF"/>
            <w:u w:val="single"/>
          </w:rPr>
          <w:t xml:space="preserve">Fotocasa </w:t>
        </w:r>
        <w:proofErr w:type="spellStart"/>
        <w:r w:rsidR="008864DC">
          <w:rPr>
            <w:rFonts w:ascii="Open Sans" w:eastAsia="Open Sans" w:hAnsi="Open Sans" w:cs="Open Sans"/>
            <w:b/>
            <w:color w:val="0000FF"/>
            <w:u w:val="single"/>
          </w:rPr>
          <w:t>Research</w:t>
        </w:r>
        <w:proofErr w:type="spellEnd"/>
      </w:hyperlink>
      <w:r w:rsidR="008864DC">
        <w:rPr>
          <w:rFonts w:ascii="Open Sans" w:eastAsia="Open Sans" w:hAnsi="Open Sans" w:cs="Open Sans"/>
        </w:rPr>
        <w:t>.</w:t>
      </w:r>
    </w:p>
    <w:p w14:paraId="5F22AF11" w14:textId="77777777" w:rsidR="008864DC" w:rsidRDefault="008864DC" w:rsidP="008864DC">
      <w:pPr>
        <w:pBdr>
          <w:top w:val="nil"/>
          <w:left w:val="nil"/>
          <w:bottom w:val="nil"/>
          <w:right w:val="nil"/>
          <w:between w:val="nil"/>
        </w:pBdr>
        <w:spacing w:line="276" w:lineRule="auto"/>
        <w:jc w:val="both"/>
        <w:rPr>
          <w:rFonts w:ascii="Open Sans" w:eastAsia="Open Sans" w:hAnsi="Open Sans" w:cs="Open Sans"/>
        </w:rPr>
      </w:pPr>
    </w:p>
    <w:p w14:paraId="73F13422" w14:textId="77777777" w:rsidR="00E90BDF" w:rsidRDefault="00000000">
      <w:pPr>
        <w:spacing w:line="276" w:lineRule="auto"/>
        <w:jc w:val="both"/>
        <w:rPr>
          <w:rFonts w:ascii="Open Sans" w:eastAsia="Open Sans" w:hAnsi="Open Sans" w:cs="Open Sans"/>
          <w:b/>
        </w:rPr>
      </w:pPr>
      <w:r>
        <w:rPr>
          <w:rFonts w:ascii="Open Sans" w:eastAsia="Open Sans" w:hAnsi="Open Sans" w:cs="Open Sans"/>
        </w:rPr>
        <w:t xml:space="preserve">“La diferencia entre una cuota hipotecaria y la renta de alquiler está redefiniendo las preferencias residenciales de los menores de 35 años. La paradoja de que resulte más asequible comprar que alquilar en muchas localizaciones, unida al tradicional arraigo cultural por la propiedad en España, está cambiando el comportamiento de los jóvenes que ven una forma de generar patrimonio y tener seguridad a largo plazo. Así, una cuota hipotecaria media cercana a los 1.300 euros </w:t>
      </w:r>
      <w:r>
        <w:rPr>
          <w:rFonts w:ascii="Open Sans" w:eastAsia="Open Sans" w:hAnsi="Open Sans" w:cs="Open Sans"/>
        </w:rPr>
        <w:lastRenderedPageBreak/>
        <w:t xml:space="preserve">para un inmueble valorado en 400.000 euros contrasta con los 1.800 euros que costaría arrendar esa misma vivienda, lo que explica que cada vez más jóvenes perciban la compra como una alternativa no solo económica”, </w:t>
      </w:r>
      <w:r>
        <w:rPr>
          <w:rFonts w:ascii="Open Sans" w:eastAsia="Open Sans" w:hAnsi="Open Sans" w:cs="Open Sans"/>
          <w:b/>
        </w:rPr>
        <w:t xml:space="preserve">explica María Matos, directora de Estudios y portavoz de </w:t>
      </w:r>
      <w:hyperlink r:id="rId12">
        <w:r w:rsidR="00E90BDF">
          <w:rPr>
            <w:rFonts w:ascii="Open Sans" w:eastAsia="Open Sans" w:hAnsi="Open Sans" w:cs="Open Sans"/>
            <w:b/>
            <w:color w:val="1155CC"/>
            <w:u w:val="single"/>
          </w:rPr>
          <w:t>Fotocasa</w:t>
        </w:r>
      </w:hyperlink>
      <w:r>
        <w:rPr>
          <w:rFonts w:ascii="Open Sans" w:eastAsia="Open Sans" w:hAnsi="Open Sans" w:cs="Open Sans"/>
          <w:b/>
        </w:rPr>
        <w:t>.</w:t>
      </w:r>
    </w:p>
    <w:p w14:paraId="0769E7CD" w14:textId="77777777" w:rsidR="00E90BDF" w:rsidRDefault="00E90BDF">
      <w:pPr>
        <w:spacing w:line="276" w:lineRule="auto"/>
        <w:jc w:val="both"/>
        <w:rPr>
          <w:rFonts w:ascii="Open Sans" w:eastAsia="Open Sans" w:hAnsi="Open Sans" w:cs="Open Sans"/>
        </w:rPr>
      </w:pPr>
    </w:p>
    <w:p w14:paraId="04EE693C" w14:textId="77777777" w:rsidR="00E90BDF" w:rsidRDefault="00000000">
      <w:pPr>
        <w:spacing w:line="276" w:lineRule="auto"/>
        <w:jc w:val="center"/>
        <w:rPr>
          <w:rFonts w:ascii="Open Sans" w:eastAsia="Open Sans" w:hAnsi="Open Sans" w:cs="Open Sans"/>
        </w:rPr>
      </w:pPr>
      <w:r>
        <w:rPr>
          <w:noProof/>
        </w:rPr>
        <w:drawing>
          <wp:inline distT="0" distB="0" distL="0" distR="0" wp14:anchorId="4D09A237" wp14:editId="05A0EDA1">
            <wp:extent cx="5760720" cy="5361305"/>
            <wp:effectExtent l="0" t="0" r="0" b="0"/>
            <wp:docPr id="2066816614" name="image1.png" descr="Imatge que conté text, captura de pantalla, programari, Sistema operatiu&#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1.png" descr="Imatge que conté text, captura de pantalla, programari, Sistema operatiu&#10;&#10;Pot ser que el contingut generat per IA no sigui correcte."/>
                    <pic:cNvPicPr preferRelativeResize="0"/>
                  </pic:nvPicPr>
                  <pic:blipFill>
                    <a:blip r:embed="rId13"/>
                    <a:srcRect/>
                    <a:stretch>
                      <a:fillRect/>
                    </a:stretch>
                  </pic:blipFill>
                  <pic:spPr>
                    <a:xfrm>
                      <a:off x="0" y="0"/>
                      <a:ext cx="5760720" cy="5361305"/>
                    </a:xfrm>
                    <a:prstGeom prst="rect">
                      <a:avLst/>
                    </a:prstGeom>
                    <a:ln/>
                  </pic:spPr>
                </pic:pic>
              </a:graphicData>
            </a:graphic>
          </wp:inline>
        </w:drawing>
      </w:r>
    </w:p>
    <w:p w14:paraId="4947DA65" w14:textId="77777777" w:rsidR="00E90BDF" w:rsidRDefault="00E90BDF">
      <w:pPr>
        <w:spacing w:line="276" w:lineRule="auto"/>
        <w:jc w:val="both"/>
        <w:rPr>
          <w:rFonts w:ascii="National" w:eastAsia="National" w:hAnsi="National" w:cs="National"/>
          <w:b/>
          <w:color w:val="303AB2"/>
          <w:sz w:val="32"/>
          <w:szCs w:val="32"/>
        </w:rPr>
      </w:pPr>
    </w:p>
    <w:p w14:paraId="5666A707" w14:textId="3B22A038" w:rsidR="00F40F66" w:rsidRDefault="00000000">
      <w:pPr>
        <w:spacing w:line="276" w:lineRule="auto"/>
        <w:jc w:val="both"/>
        <w:rPr>
          <w:rFonts w:ascii="Open Sans" w:eastAsia="Open Sans" w:hAnsi="Open Sans" w:cs="Open Sans"/>
        </w:rPr>
      </w:pPr>
      <w:r>
        <w:rPr>
          <w:rFonts w:ascii="Open Sans" w:eastAsia="Open Sans" w:hAnsi="Open Sans" w:cs="Open Sans"/>
        </w:rPr>
        <w:t xml:space="preserve">La preferencia de una parte de los jóvenes por la compra de un inmueble en lugar del alquiler está claramente influenciada por una visión de la vivienda como un activo económico de futuro. Así, </w:t>
      </w:r>
      <w:r>
        <w:rPr>
          <w:rFonts w:ascii="Open Sans" w:eastAsia="Open Sans" w:hAnsi="Open Sans" w:cs="Open Sans"/>
          <w:b/>
        </w:rPr>
        <w:t>el 42% defienden que adquirir un piso es una inversión a largo plazo, un 39% aseguran que alquilar es tirar el dinero, y el 19% argumentan que es una forma de hacer patrimonio</w:t>
      </w:r>
      <w:r>
        <w:rPr>
          <w:rFonts w:ascii="Open Sans" w:eastAsia="Open Sans" w:hAnsi="Open Sans" w:cs="Open Sans"/>
        </w:rPr>
        <w:t xml:space="preserve">. Por otro lado, existen también otras motivaciones coyunturales: un 26% de los jóvenes admiten que prefieren la compra de una vivienda al alquiler puesto que su situación económica </w:t>
      </w:r>
      <w:r>
        <w:rPr>
          <w:rFonts w:ascii="Open Sans" w:eastAsia="Open Sans" w:hAnsi="Open Sans" w:cs="Open Sans"/>
        </w:rPr>
        <w:lastRenderedPageBreak/>
        <w:t>ha mejorado, mientras que el 10% apuntan a la mejora en la concesión de hipotecas.</w:t>
      </w:r>
    </w:p>
    <w:p w14:paraId="219D3D57" w14:textId="77777777" w:rsidR="00F40F66" w:rsidRDefault="00F40F66">
      <w:pPr>
        <w:spacing w:line="276" w:lineRule="auto"/>
        <w:jc w:val="both"/>
        <w:rPr>
          <w:rFonts w:ascii="Open Sans" w:eastAsia="Open Sans" w:hAnsi="Open Sans" w:cs="Open Sans"/>
        </w:rPr>
      </w:pPr>
    </w:p>
    <w:p w14:paraId="55C837D2" w14:textId="77777777" w:rsidR="00E90BD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alquiler, más vinculado a la economía que a la flexibilidad</w:t>
      </w:r>
    </w:p>
    <w:p w14:paraId="7D12561E" w14:textId="77777777" w:rsidR="00E90BDF" w:rsidRDefault="00E90BDF">
      <w:pPr>
        <w:spacing w:line="276" w:lineRule="auto"/>
        <w:jc w:val="both"/>
        <w:rPr>
          <w:rFonts w:ascii="Open Sans" w:eastAsia="Open Sans" w:hAnsi="Open Sans" w:cs="Open Sans"/>
        </w:rPr>
      </w:pPr>
    </w:p>
    <w:p w14:paraId="437EAD24" w14:textId="77777777" w:rsidR="00E90BDF" w:rsidRDefault="00000000">
      <w:pPr>
        <w:spacing w:line="276" w:lineRule="auto"/>
        <w:jc w:val="both"/>
        <w:rPr>
          <w:rFonts w:ascii="Open Sans" w:eastAsia="Open Sans" w:hAnsi="Open Sans" w:cs="Open Sans"/>
        </w:rPr>
      </w:pPr>
      <w:r>
        <w:rPr>
          <w:rFonts w:ascii="Open Sans" w:eastAsia="Open Sans" w:hAnsi="Open Sans" w:cs="Open Sans"/>
        </w:rPr>
        <w:t xml:space="preserve">Si se pone el foco en los jóvenes que prefieren alquilar en lugar de comprar una vivienda, sus motivaciones están más fuertemente ligadas a cuestiones económicas que a la flexibilidad que ofrece el hecho de ser inquilinos. Actualmente, </w:t>
      </w:r>
      <w:r>
        <w:rPr>
          <w:rFonts w:ascii="Open Sans" w:eastAsia="Open Sans" w:hAnsi="Open Sans" w:cs="Open Sans"/>
          <w:b/>
        </w:rPr>
        <w:t>un 44% de este colectivo se decanta por el alquiler porque su situación económica les impide comprar una vivienda</w:t>
      </w:r>
      <w:r>
        <w:rPr>
          <w:rFonts w:ascii="Open Sans" w:eastAsia="Open Sans" w:hAnsi="Open Sans" w:cs="Open Sans"/>
        </w:rPr>
        <w:t>, mientras que el 22% admiten que están esperando que los precios bajen.</w:t>
      </w:r>
    </w:p>
    <w:p w14:paraId="6DC51BD0" w14:textId="77777777" w:rsidR="00E90BDF" w:rsidRDefault="00E90BDF">
      <w:pPr>
        <w:spacing w:line="276" w:lineRule="auto"/>
        <w:jc w:val="both"/>
        <w:rPr>
          <w:rFonts w:ascii="Open Sans" w:eastAsia="Open Sans" w:hAnsi="Open Sans" w:cs="Open Sans"/>
        </w:rPr>
      </w:pPr>
    </w:p>
    <w:p w14:paraId="3DC8DD52" w14:textId="77777777" w:rsidR="00E90BDF" w:rsidRDefault="00000000">
      <w:pPr>
        <w:spacing w:line="276" w:lineRule="auto"/>
        <w:jc w:val="center"/>
        <w:rPr>
          <w:rFonts w:ascii="Open Sans" w:eastAsia="Open Sans" w:hAnsi="Open Sans" w:cs="Open Sans"/>
        </w:rPr>
      </w:pPr>
      <w:r>
        <w:rPr>
          <w:noProof/>
        </w:rPr>
        <w:drawing>
          <wp:inline distT="0" distB="0" distL="0" distR="0" wp14:anchorId="09C8DE35" wp14:editId="105E4BF6">
            <wp:extent cx="5707380" cy="5928360"/>
            <wp:effectExtent l="0" t="0" r="7620" b="0"/>
            <wp:docPr id="2066816613" name="image3.png" descr="Imatge que conté text, captura de pantalla, nombre, Font&#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3.png" descr="Imatge que conté text, captura de pantalla, nombre, Font&#10;&#10;Pot ser que el contingut generat per IA no sigui correcte."/>
                    <pic:cNvPicPr preferRelativeResize="0"/>
                  </pic:nvPicPr>
                  <pic:blipFill>
                    <a:blip r:embed="rId14"/>
                    <a:srcRect/>
                    <a:stretch>
                      <a:fillRect/>
                    </a:stretch>
                  </pic:blipFill>
                  <pic:spPr>
                    <a:xfrm>
                      <a:off x="0" y="0"/>
                      <a:ext cx="5707380" cy="5928360"/>
                    </a:xfrm>
                    <a:prstGeom prst="rect">
                      <a:avLst/>
                    </a:prstGeom>
                    <a:ln/>
                  </pic:spPr>
                </pic:pic>
              </a:graphicData>
            </a:graphic>
          </wp:inline>
        </w:drawing>
      </w:r>
    </w:p>
    <w:p w14:paraId="5BED5579" w14:textId="77777777" w:rsidR="00E90BDF"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A una notable distancia, aparecen otras consideraciones más relacionadas con la elasticidad que ofrece el alquiler, como la movilidad laboral (25%), la libertad y flexibilidad (18%), la incertidumbre sobre los ingresos personales a medio plazo (12%), o la aversión a contraer deudas (11%). </w:t>
      </w:r>
      <w:r>
        <w:rPr>
          <w:rFonts w:ascii="Open Sans" w:eastAsia="Open Sans" w:hAnsi="Open Sans" w:cs="Open Sans"/>
          <w:b/>
        </w:rPr>
        <w:t>Otras motivaciones más coyunturales como el precio de las hipotecas siguen apareciendo (12%), pero en menor medida que en años anteriores</w:t>
      </w:r>
      <w:r>
        <w:rPr>
          <w:rFonts w:ascii="Open Sans" w:eastAsia="Open Sans" w:hAnsi="Open Sans" w:cs="Open Sans"/>
        </w:rPr>
        <w:t>, a causa de la relajación del euríbor.</w:t>
      </w:r>
    </w:p>
    <w:p w14:paraId="3AF4F586" w14:textId="77777777" w:rsidR="00E90BDF" w:rsidRDefault="00E90BDF">
      <w:pPr>
        <w:spacing w:line="276" w:lineRule="auto"/>
        <w:jc w:val="both"/>
        <w:rPr>
          <w:rFonts w:ascii="Open Sans" w:eastAsia="Open Sans" w:hAnsi="Open Sans" w:cs="Open Sans"/>
        </w:rPr>
      </w:pPr>
    </w:p>
    <w:p w14:paraId="627BE51A" w14:textId="77777777" w:rsidR="00E90BD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voluntad de independencia se mantiene como principal motivo de los jóvenes para buscar vivienda</w:t>
      </w:r>
    </w:p>
    <w:p w14:paraId="461104F7" w14:textId="77777777" w:rsidR="00E90BDF" w:rsidRDefault="00E90BDF">
      <w:pPr>
        <w:spacing w:line="276" w:lineRule="auto"/>
        <w:jc w:val="both"/>
        <w:rPr>
          <w:rFonts w:ascii="Open Sans" w:eastAsia="Open Sans" w:hAnsi="Open Sans" w:cs="Open Sans"/>
        </w:rPr>
      </w:pPr>
    </w:p>
    <w:p w14:paraId="15F84E80" w14:textId="77777777" w:rsidR="00E90BDF" w:rsidRDefault="00000000">
      <w:pPr>
        <w:spacing w:line="276" w:lineRule="auto"/>
        <w:jc w:val="center"/>
        <w:rPr>
          <w:rFonts w:ascii="Open Sans" w:eastAsia="Open Sans" w:hAnsi="Open Sans" w:cs="Open Sans"/>
        </w:rPr>
      </w:pPr>
      <w:r>
        <w:rPr>
          <w:noProof/>
        </w:rPr>
        <w:drawing>
          <wp:inline distT="0" distB="0" distL="0" distR="0" wp14:anchorId="1EA27959" wp14:editId="5A161C7A">
            <wp:extent cx="5760720" cy="4947285"/>
            <wp:effectExtent l="0" t="0" r="0" b="0"/>
            <wp:docPr id="2066816615" name="image4.png" descr="Imatge que conté text, captura de pantalla, disseny&#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4.png" descr="Imatge que conté text, captura de pantalla, disseny&#10;&#10;Pot ser que el contingut generat per IA no sigui correcte."/>
                    <pic:cNvPicPr preferRelativeResize="0"/>
                  </pic:nvPicPr>
                  <pic:blipFill>
                    <a:blip r:embed="rId15"/>
                    <a:srcRect/>
                    <a:stretch>
                      <a:fillRect/>
                    </a:stretch>
                  </pic:blipFill>
                  <pic:spPr>
                    <a:xfrm>
                      <a:off x="0" y="0"/>
                      <a:ext cx="5760720" cy="4947285"/>
                    </a:xfrm>
                    <a:prstGeom prst="rect">
                      <a:avLst/>
                    </a:prstGeom>
                    <a:ln/>
                  </pic:spPr>
                </pic:pic>
              </a:graphicData>
            </a:graphic>
          </wp:inline>
        </w:drawing>
      </w:r>
    </w:p>
    <w:p w14:paraId="71E84503" w14:textId="77777777" w:rsidR="00E90BDF" w:rsidRDefault="00E90BDF">
      <w:pPr>
        <w:spacing w:line="276" w:lineRule="auto"/>
        <w:jc w:val="both"/>
        <w:rPr>
          <w:rFonts w:ascii="Open Sans" w:eastAsia="Open Sans" w:hAnsi="Open Sans" w:cs="Open Sans"/>
        </w:rPr>
      </w:pPr>
    </w:p>
    <w:p w14:paraId="76AC6CFD" w14:textId="77777777" w:rsidR="00E90BDF" w:rsidRDefault="00000000">
      <w:pPr>
        <w:spacing w:line="276" w:lineRule="auto"/>
        <w:jc w:val="both"/>
        <w:rPr>
          <w:rFonts w:ascii="Open Sans" w:eastAsia="Open Sans" w:hAnsi="Open Sans" w:cs="Open Sans"/>
        </w:rPr>
      </w:pPr>
      <w:r>
        <w:rPr>
          <w:rFonts w:ascii="Open Sans" w:eastAsia="Open Sans" w:hAnsi="Open Sans" w:cs="Open Sans"/>
        </w:rPr>
        <w:t xml:space="preserve">Si se atiende a las motivaciones estrictamente personales en la búsqueda de vivienda, ya sea de compra o de alquiler, la voluntad de independencia sigue siendo la principal consideración que mueve a los jóvenes españoles: un 34% de los activos en el mercado inmobiliario señalan esta opción, en línea con lo registrado durante los últimos años. Por otro lado, </w:t>
      </w:r>
      <w:r>
        <w:rPr>
          <w:rFonts w:ascii="Open Sans" w:eastAsia="Open Sans" w:hAnsi="Open Sans" w:cs="Open Sans"/>
          <w:b/>
        </w:rPr>
        <w:t xml:space="preserve">existen otras </w:t>
      </w:r>
      <w:r>
        <w:rPr>
          <w:rFonts w:ascii="Open Sans" w:eastAsia="Open Sans" w:hAnsi="Open Sans" w:cs="Open Sans"/>
          <w:b/>
        </w:rPr>
        <w:lastRenderedPageBreak/>
        <w:t>consideraciones destacables, como el hecho de mejorar su vivienda actual, o la voluntad de convivir con la pareja sentimental (ambas opciones, con un 32% de menciones)</w:t>
      </w:r>
      <w:r>
        <w:rPr>
          <w:rFonts w:ascii="Open Sans" w:eastAsia="Open Sans" w:hAnsi="Open Sans" w:cs="Open Sans"/>
        </w:rPr>
        <w:t>. Tras estas motivaciones, aparecen otras como el proyecto de cambiar de lugar de trabajo o de estudios (25%), la inversión en una vivienda como activo financiero (22%), o la ampliación de la familia (19%).</w:t>
      </w:r>
    </w:p>
    <w:p w14:paraId="4FDE0B23" w14:textId="77777777" w:rsidR="00E90BDF" w:rsidRDefault="00E90BDF">
      <w:pPr>
        <w:spacing w:line="276" w:lineRule="auto"/>
        <w:jc w:val="both"/>
        <w:rPr>
          <w:rFonts w:ascii="Open Sans" w:eastAsia="Open Sans" w:hAnsi="Open Sans" w:cs="Open Sans"/>
        </w:rPr>
      </w:pPr>
    </w:p>
    <w:p w14:paraId="145E26D8" w14:textId="77777777" w:rsidR="00E90BDF" w:rsidRDefault="00E90BDF">
      <w:pPr>
        <w:spacing w:line="276" w:lineRule="auto"/>
        <w:jc w:val="right"/>
        <w:rPr>
          <w:rFonts w:ascii="Open Sans Light" w:eastAsia="Open Sans Light" w:hAnsi="Open Sans Light" w:cs="Open Sans Light"/>
          <w:b/>
          <w:color w:val="303AB2"/>
        </w:rPr>
      </w:pPr>
    </w:p>
    <w:p w14:paraId="7B04D9DF" w14:textId="77777777" w:rsidR="00E90BD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4274311" w14:textId="77777777" w:rsidR="00E90B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E90BDF">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1448ACF" w14:textId="77777777" w:rsidR="00E90B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sidR="00E90BDF">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D8E2AC5" w14:textId="77777777" w:rsidR="00E90BD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20BC646" w14:textId="77777777" w:rsidR="00E90BD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8C224E7" w14:textId="77777777" w:rsidR="00E90BDF"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sidR="00E90BDF">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sidR="00E90BDF">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sidR="00E90BDF">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sidR="00E90BDF">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E90BDF">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E90BDF">
        <w:fldChar w:fldCharType="begin"/>
      </w:r>
      <w:r w:rsidR="00E90BDF">
        <w:instrText>HYPERLINK "https://www.milanuncios.com/" \h</w:instrText>
      </w:r>
      <w:r w:rsidR="00E90BDF">
        <w:fldChar w:fldCharType="separate"/>
      </w:r>
      <w:r w:rsidR="00E90BDF">
        <w:rPr>
          <w:rFonts w:ascii="Open Sans" w:eastAsia="Open Sans" w:hAnsi="Open Sans" w:cs="Open Sans"/>
          <w:color w:val="1155CC"/>
          <w:sz w:val="22"/>
          <w:szCs w:val="22"/>
          <w:u w:val="single"/>
        </w:rPr>
        <w:t>Milanuncios</w:t>
      </w:r>
      <w:proofErr w:type="spellEnd"/>
      <w:r w:rsidR="00E90BDF">
        <w:fldChar w:fldCharType="end"/>
      </w:r>
      <w:r>
        <w:rPr>
          <w:rFonts w:ascii="Open Sans" w:eastAsia="Open Sans" w:hAnsi="Open Sans" w:cs="Open Sans"/>
          <w:sz w:val="22"/>
          <w:szCs w:val="22"/>
        </w:rPr>
        <w:t>).</w:t>
      </w:r>
    </w:p>
    <w:p w14:paraId="6B0E719B" w14:textId="77777777" w:rsidR="00E90BD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429474A" w14:textId="77777777" w:rsidR="00E90BDF"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EA09EA6" w14:textId="77777777" w:rsidR="00E90BDF" w:rsidRDefault="00000000">
      <w:pPr>
        <w:spacing w:before="143" w:after="200"/>
        <w:jc w:val="both"/>
      </w:pPr>
      <w:r>
        <w:rPr>
          <w:rFonts w:ascii="Open Sans" w:eastAsia="Open Sans" w:hAnsi="Open Sans" w:cs="Open Sans"/>
          <w:sz w:val="22"/>
          <w:szCs w:val="22"/>
        </w:rPr>
        <w:t xml:space="preserve">Más información en </w:t>
      </w:r>
      <w:hyperlink r:id="rId23">
        <w:r w:rsidR="00E90BDF">
          <w:rPr>
            <w:rFonts w:ascii="Open Sans" w:eastAsia="Open Sans" w:hAnsi="Open Sans" w:cs="Open Sans"/>
            <w:color w:val="1155CC"/>
            <w:sz w:val="22"/>
            <w:szCs w:val="22"/>
            <w:u w:val="single"/>
          </w:rPr>
          <w:t>adevinta.es</w:t>
        </w:r>
      </w:hyperlink>
    </w:p>
    <w:p w14:paraId="52F32C0E" w14:textId="77777777" w:rsidR="00E90BDF" w:rsidRDefault="00E90BDF">
      <w:pPr>
        <w:spacing w:before="143" w:after="200"/>
        <w:jc w:val="both"/>
        <w:rPr>
          <w:rFonts w:ascii="Open Sans" w:eastAsia="Open Sans" w:hAnsi="Open Sans" w:cs="Open Sans"/>
        </w:rPr>
      </w:pPr>
    </w:p>
    <w:p w14:paraId="55EE088D" w14:textId="77777777" w:rsidR="00E90BD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7CADF8B" w14:textId="77777777" w:rsidR="00E90BDF"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2CEE9490" w14:textId="77777777" w:rsidR="00E90BDF" w:rsidRDefault="00E90BDF">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7C63393" w14:textId="77777777" w:rsidR="00E90BD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sz w:val="22"/>
          <w:szCs w:val="22"/>
        </w:rPr>
        <w:t>620 66 29 26</w:t>
      </w:r>
    </w:p>
    <w:sectPr w:rsidR="00E90BDF">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856B3" w14:textId="77777777" w:rsidR="009F5031" w:rsidRDefault="009F5031">
      <w:r>
        <w:separator/>
      </w:r>
    </w:p>
  </w:endnote>
  <w:endnote w:type="continuationSeparator" w:id="0">
    <w:p w14:paraId="2EC897B1" w14:textId="77777777" w:rsidR="009F5031" w:rsidRDefault="009F5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FCA0A44-01BA-42A1-BC05-5E242454D1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2A5A9B-A3FA-4653-9AC8-666B3D8E0E85}"/>
    <w:embedBold r:id="rId3" w:fontKey="{B008EC35-C404-42E6-91CC-279546AAD5C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0A46914-7013-44E3-B5D3-76D986FD81B9}"/>
  </w:font>
  <w:font w:name="Georgia">
    <w:panose1 w:val="02040502050405020303"/>
    <w:charset w:val="00"/>
    <w:family w:val="roman"/>
    <w:pitch w:val="variable"/>
    <w:sig w:usb0="00000287" w:usb1="00000000" w:usb2="00000000" w:usb3="00000000" w:csb0="0000009F" w:csb1="00000000"/>
    <w:embedRegular r:id="rId5" w:fontKey="{C04A9C3B-61B3-40A2-ABB0-76B24C19220D}"/>
    <w:embedItalic r:id="rId6" w:fontKey="{5676B95A-3CD2-4A73-B9EB-ED5142AE38A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B55D377-308F-4FBC-A597-D8B217472895}"/>
    <w:embedBold r:id="rId8" w:fontKey="{A38BE6AA-69E0-4037-887C-B2C275D9333F}"/>
    <w:embedItalic r:id="rId9" w:fontKey="{62982341-5B23-4793-BB45-C41012C82ADC}"/>
    <w:embedBoldItalic r:id="rId10" w:fontKey="{F754B187-8F77-40DF-98DD-5843DCAF559C}"/>
  </w:font>
  <w:font w:name="Open Sans Light">
    <w:charset w:val="00"/>
    <w:family w:val="swiss"/>
    <w:pitch w:val="variable"/>
    <w:sig w:usb0="E00002EF" w:usb1="4000205B" w:usb2="00000028" w:usb3="00000000" w:csb0="0000019F" w:csb1="00000000"/>
    <w:embedRegular r:id="rId11" w:fontKey="{BB0E241C-2B5F-415A-9599-8A3DCDF6F717}"/>
    <w:embedBold r:id="rId12" w:fontKey="{1113A68B-BF06-4931-A450-5CACBA861DFA}"/>
    <w:embedItalic r:id="rId13" w:fontKey="{83B8758A-1CEF-44F3-B104-4F22591D3AAD}"/>
    <w:embedBoldItalic r:id="rId14" w:fontKey="{AB09D13A-0AB7-4726-99A2-61EC7A242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A7E9" w14:textId="77777777" w:rsidR="00E90BD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6CBB067" wp14:editId="6F3B192F">
          <wp:simplePos x="0" y="0"/>
          <wp:positionH relativeFrom="column">
            <wp:posOffset>-1068045</wp:posOffset>
          </wp:positionH>
          <wp:positionV relativeFrom="paragraph">
            <wp:posOffset>174608</wp:posOffset>
          </wp:positionV>
          <wp:extent cx="7670550" cy="451315"/>
          <wp:effectExtent l="0" t="0" r="0" b="0"/>
          <wp:wrapNone/>
          <wp:docPr id="2066816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28C7A" w14:textId="77777777" w:rsidR="009F5031" w:rsidRDefault="009F5031">
      <w:r>
        <w:separator/>
      </w:r>
    </w:p>
  </w:footnote>
  <w:footnote w:type="continuationSeparator" w:id="0">
    <w:p w14:paraId="586D3D8B" w14:textId="77777777" w:rsidR="009F5031" w:rsidRDefault="009F50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0682C"/>
    <w:multiLevelType w:val="multilevel"/>
    <w:tmpl w:val="7ACC4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784BB8"/>
    <w:multiLevelType w:val="multilevel"/>
    <w:tmpl w:val="F3000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6189432">
    <w:abstractNumId w:val="1"/>
  </w:num>
  <w:num w:numId="2" w16cid:durableId="1264192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BDF"/>
    <w:rsid w:val="00735B55"/>
    <w:rsid w:val="008864DC"/>
    <w:rsid w:val="009F5031"/>
    <w:rsid w:val="00BD6567"/>
    <w:rsid w:val="00C53397"/>
    <w:rsid w:val="00E90BDF"/>
    <w:rsid w:val="00ED0152"/>
    <w:rsid w:val="00F40F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32A5"/>
  <w15:docId w15:val="{07B60221-658C-441A-B65A-F304F8DD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devinta.es" TargetMode="External"/><Relationship Id="rId10" Type="http://schemas.openxmlformats.org/officeDocument/2006/relationships/hyperlink" Target="https://s36360.pcdn.co/wp-content/uploads/2025/09/Informe-Los-jovenes-y-la-vivienda-en-2025-ok.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9/Informe-Los-jovenes-y-la-vivienda-en-2025-ok.pdf" TargetMode="External"/><Relationship Id="rId14" Type="http://schemas.openxmlformats.org/officeDocument/2006/relationships/image" Target="media/image3.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j63BzLgbaFOw8RA83NpDmMNC5g==">CgMxLjAyCWguMnM4ZXlvMTgAciExdzA2YXpPX0lkbHVwZDBQOU53SWVmSjNrSkJ2U0JoRlo=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1054</Words>
  <Characters>5798</Characters>
  <Application>Microsoft Office Word</Application>
  <DocSecurity>0</DocSecurity>
  <Lines>48</Lines>
  <Paragraphs>13</Paragraphs>
  <ScaleCrop>false</ScaleCrop>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2024-02-06T13:46:00Z</dcterms:created>
  <dcterms:modified xsi:type="dcterms:W3CDTF">2025-09-15T10:34:00Z</dcterms:modified>
</cp:coreProperties>
</file>