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B01491" w14:textId="77777777" w:rsidR="00EB37C9" w:rsidRDefault="00000000">
      <w:r>
        <w:rPr>
          <w:noProof/>
        </w:rPr>
        <w:drawing>
          <wp:anchor distT="0" distB="0" distL="114300" distR="114300" simplePos="0" relativeHeight="251658240" behindDoc="0" locked="0" layoutInCell="1" hidden="0" allowOverlap="1" wp14:anchorId="6BB897D1" wp14:editId="23A53047">
            <wp:simplePos x="0" y="0"/>
            <wp:positionH relativeFrom="column">
              <wp:posOffset>-1080120</wp:posOffset>
            </wp:positionH>
            <wp:positionV relativeFrom="paragraph">
              <wp:posOffset>-654670</wp:posOffset>
            </wp:positionV>
            <wp:extent cx="7581265" cy="1019175"/>
            <wp:effectExtent l="0" t="0" r="0" b="0"/>
            <wp:wrapNone/>
            <wp:docPr id="20668166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7E11AABB" w14:textId="77777777" w:rsidR="00EB37C9" w:rsidRDefault="00EB37C9">
      <w:pPr>
        <w:jc w:val="right"/>
        <w:rPr>
          <w:rFonts w:ascii="National" w:eastAsia="National" w:hAnsi="National" w:cs="National"/>
          <w:color w:val="303AB2"/>
          <w:sz w:val="36"/>
          <w:szCs w:val="36"/>
        </w:rPr>
      </w:pPr>
    </w:p>
    <w:p w14:paraId="06CFC0A6" w14:textId="77777777" w:rsidR="00EB37C9" w:rsidRDefault="00EB37C9">
      <w:pPr>
        <w:rPr>
          <w:rFonts w:ascii="National" w:eastAsia="National" w:hAnsi="National" w:cs="National"/>
          <w:color w:val="303AB2"/>
          <w:sz w:val="18"/>
          <w:szCs w:val="18"/>
        </w:rPr>
      </w:pPr>
    </w:p>
    <w:p w14:paraId="6B1E50EE" w14:textId="77777777" w:rsidR="00EB37C9" w:rsidRDefault="00EB37C9">
      <w:pPr>
        <w:spacing w:line="276" w:lineRule="auto"/>
        <w:jc w:val="center"/>
        <w:rPr>
          <w:rFonts w:ascii="National" w:eastAsia="National" w:hAnsi="National" w:cs="National"/>
          <w:b/>
          <w:color w:val="1DBDC5"/>
          <w:sz w:val="30"/>
          <w:szCs w:val="30"/>
        </w:rPr>
      </w:pPr>
    </w:p>
    <w:p w14:paraId="0513B63F" w14:textId="77777777" w:rsidR="00EB37C9" w:rsidRDefault="00000000">
      <w:pPr>
        <w:spacing w:line="276" w:lineRule="auto"/>
        <w:jc w:val="center"/>
        <w:rPr>
          <w:rFonts w:ascii="National" w:eastAsia="National" w:hAnsi="National" w:cs="National"/>
          <w:b/>
          <w:color w:val="1DBDC5"/>
          <w:sz w:val="30"/>
          <w:szCs w:val="30"/>
        </w:rPr>
      </w:pPr>
      <w:r>
        <w:rPr>
          <w:rFonts w:ascii="National" w:eastAsia="National" w:hAnsi="National" w:cs="National"/>
          <w:b/>
          <w:color w:val="1DBDC5"/>
          <w:sz w:val="30"/>
          <w:szCs w:val="30"/>
        </w:rPr>
        <w:t>LOS JÓVENES Y EL MERCADO DE LA VIVIENDA EN 2025</w:t>
      </w:r>
    </w:p>
    <w:p w14:paraId="6043450F" w14:textId="77777777" w:rsidR="00EB37C9" w:rsidRDefault="00000000">
      <w:pPr>
        <w:jc w:val="center"/>
        <w:rPr>
          <w:rFonts w:ascii="National" w:eastAsia="National" w:hAnsi="National" w:cs="National"/>
          <w:b/>
          <w:color w:val="303AB2"/>
          <w:sz w:val="52"/>
          <w:szCs w:val="52"/>
        </w:rPr>
      </w:pPr>
      <w:r>
        <w:rPr>
          <w:rFonts w:ascii="National" w:eastAsia="National" w:hAnsi="National" w:cs="National"/>
          <w:b/>
          <w:color w:val="303AB2"/>
          <w:sz w:val="52"/>
          <w:szCs w:val="52"/>
        </w:rPr>
        <w:t>Suben hasta el 63% los jóvenes que prevén comprar una vivienda en un plazo máximo de cinco años</w:t>
      </w:r>
    </w:p>
    <w:p w14:paraId="0FBD36CE" w14:textId="77777777" w:rsidR="00EB37C9" w:rsidRDefault="00EB37C9">
      <w:pPr>
        <w:jc w:val="center"/>
        <w:rPr>
          <w:rFonts w:ascii="Open Sans" w:eastAsia="Open Sans" w:hAnsi="Open Sans" w:cs="Open Sans"/>
          <w:color w:val="303AB2"/>
        </w:rPr>
      </w:pPr>
    </w:p>
    <w:p w14:paraId="68EC34F4" w14:textId="77777777" w:rsidR="00EB37C9" w:rsidRDefault="00000000">
      <w:pPr>
        <w:numPr>
          <w:ilvl w:val="0"/>
          <w:numId w:val="1"/>
        </w:numP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Crecen cuatro puntos, hasta el 44%, los menores de 35 años que tienen intención de adquirir un inmueble en un periodo de dos a cinco años</w:t>
      </w:r>
    </w:p>
    <w:p w14:paraId="48B876B7" w14:textId="77777777" w:rsidR="00EB37C9" w:rsidRDefault="00000000">
      <w:pPr>
        <w:numPr>
          <w:ilvl w:val="0"/>
          <w:numId w:val="1"/>
        </w:numP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Los jóvenes que planean comprar una vivienda en los próximos 24 meses crecen también cuatro puntos, hasta el 19%</w:t>
      </w:r>
    </w:p>
    <w:p w14:paraId="67AF30E8" w14:textId="77777777" w:rsidR="00EB37C9" w:rsidRDefault="00000000">
      <w:pPr>
        <w:numPr>
          <w:ilvl w:val="0"/>
          <w:numId w:val="1"/>
        </w:numP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Los altos precios del mercado inmobiliario destacan de forma abrumadora como principal obstáculo para sufragar un piso</w:t>
      </w:r>
    </w:p>
    <w:p w14:paraId="53D975B2" w14:textId="77777777" w:rsidR="00552625" w:rsidRPr="007345AE" w:rsidRDefault="00552625" w:rsidP="00552625">
      <w:pPr>
        <w:numPr>
          <w:ilvl w:val="0"/>
          <w:numId w:val="1"/>
        </w:numPr>
        <w:spacing w:line="276" w:lineRule="auto"/>
        <w:jc w:val="both"/>
        <w:rPr>
          <w:rFonts w:ascii="Open Sans Light" w:eastAsia="Open Sans Light" w:hAnsi="Open Sans Light" w:cs="Open Sans Light"/>
          <w:b/>
          <w:color w:val="303AB2"/>
        </w:rPr>
      </w:pPr>
      <w:hyperlink r:id="rId9" w:history="1">
        <w:r w:rsidRPr="00EF4AF7">
          <w:rPr>
            <w:rStyle w:val="Hipervnculo"/>
            <w:rFonts w:ascii="Open Sans Light" w:eastAsia="Open Sans Light" w:hAnsi="Open Sans Light" w:cs="Open Sans Light"/>
            <w:b/>
          </w:rPr>
          <w:t>Aquí se puede descargar el informe completo “</w:t>
        </w:r>
        <w:r w:rsidRPr="00EF4AF7">
          <w:rPr>
            <w:rStyle w:val="Hipervnculo"/>
            <w:rFonts w:ascii="Open Sans Light" w:eastAsia="Open Sans Light" w:hAnsi="Open Sans Light" w:cs="Open Sans Light"/>
            <w:b/>
            <w:i/>
            <w:iCs/>
          </w:rPr>
          <w:t>Los jóvenes y el mercado de la vivienda en 2025</w:t>
        </w:r>
        <w:r w:rsidRPr="00EF4AF7">
          <w:rPr>
            <w:rStyle w:val="Hipervnculo"/>
            <w:rFonts w:ascii="Open Sans Light" w:eastAsia="Open Sans Light" w:hAnsi="Open Sans Light" w:cs="Open Sans Light"/>
            <w:b/>
          </w:rPr>
          <w:t>”</w:t>
        </w:r>
      </w:hyperlink>
    </w:p>
    <w:p w14:paraId="1D8C18E4" w14:textId="77777777" w:rsidR="00EB37C9" w:rsidRDefault="00EB37C9">
      <w:pPr>
        <w:spacing w:line="276" w:lineRule="auto"/>
        <w:ind w:left="720"/>
        <w:jc w:val="both"/>
        <w:rPr>
          <w:rFonts w:ascii="Open Sans Light" w:eastAsia="Open Sans Light" w:hAnsi="Open Sans Light" w:cs="Open Sans Light"/>
          <w:b/>
          <w:color w:val="303AB2"/>
        </w:rPr>
      </w:pPr>
    </w:p>
    <w:p w14:paraId="22A3A345" w14:textId="77777777" w:rsidR="00EB37C9"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Madrid, 29 de septiembre de 2025</w:t>
      </w:r>
    </w:p>
    <w:p w14:paraId="7ABB49A2" w14:textId="77777777" w:rsidR="00EB37C9" w:rsidRDefault="00EB37C9">
      <w:pPr>
        <w:pBdr>
          <w:top w:val="nil"/>
          <w:left w:val="nil"/>
          <w:bottom w:val="nil"/>
          <w:right w:val="nil"/>
          <w:between w:val="nil"/>
        </w:pBdr>
        <w:spacing w:line="276" w:lineRule="auto"/>
        <w:jc w:val="both"/>
        <w:rPr>
          <w:rFonts w:ascii="Open Sans" w:eastAsia="Open Sans" w:hAnsi="Open Sans" w:cs="Open Sans"/>
        </w:rPr>
      </w:pPr>
    </w:p>
    <w:p w14:paraId="475E0D1B" w14:textId="7E299341" w:rsidR="00552625"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Cada vez más jóvenes planean comprar una vivienda a corto y medio plazo: actualmente </w:t>
      </w:r>
      <w:r>
        <w:rPr>
          <w:rFonts w:ascii="Open Sans" w:eastAsia="Open Sans" w:hAnsi="Open Sans" w:cs="Open Sans"/>
          <w:b/>
        </w:rPr>
        <w:t>un 44% de los menores de 35 años que no han participado recientemente en este mercado tienen la intención de adquirir un inmueble en un periodo de dos a cinco años</w:t>
      </w:r>
      <w:r>
        <w:rPr>
          <w:rFonts w:ascii="Open Sans" w:eastAsia="Open Sans" w:hAnsi="Open Sans" w:cs="Open Sans"/>
        </w:rPr>
        <w:t xml:space="preserve">, lo que representa un porcentaje cuatro puntos superior al registrado hace un año. Es más, se trata de una tendencia al alza a nivel histórico, ya que esta tasa ha ido creciendo en los últimos años y se sitúa once puntos porcentuales por encima de la apuntada en 2018, cuando se encontraba en un 33%. Además, también se incrementa el porcentaje de jóvenes que prevén comprar una vivienda en un plazo más breve de tiempo. En el primer semestre de 2025, un 19% de los españoles menores de 35 declaran que quieren adquirir un piso en un plazo inferior a dos años, también cuatro puntos más que en el año anterior. </w:t>
      </w:r>
      <w:r>
        <w:rPr>
          <w:rFonts w:ascii="Open Sans" w:eastAsia="Open Sans" w:hAnsi="Open Sans" w:cs="Open Sans"/>
          <w:b/>
        </w:rPr>
        <w:t>Agregando estas cifras, se observa que actualmente el 63% de los jóvenes tiene intención de comprar una vivienda</w:t>
      </w:r>
      <w:r>
        <w:rPr>
          <w:rFonts w:ascii="Open Sans" w:eastAsia="Open Sans" w:hAnsi="Open Sans" w:cs="Open Sans"/>
        </w:rPr>
        <w:t xml:space="preserve"> en un plazo máximo de cinco años, ocho puntos más que en 2024, según las cifras del </w:t>
      </w:r>
      <w:r w:rsidR="00552625">
        <w:rPr>
          <w:rFonts w:ascii="Open Sans" w:eastAsia="Open Sans" w:hAnsi="Open Sans" w:cs="Open Sans"/>
          <w:b/>
        </w:rPr>
        <w:t>informe “</w:t>
      </w:r>
      <w:hyperlink r:id="rId10" w:history="1">
        <w:r w:rsidR="00552625" w:rsidRPr="007345AE">
          <w:rPr>
            <w:rStyle w:val="Hipervnculo"/>
            <w:rFonts w:ascii="Open Sans" w:eastAsia="Open Sans" w:hAnsi="Open Sans" w:cs="Open Sans"/>
            <w:b/>
            <w:i/>
            <w:iCs/>
          </w:rPr>
          <w:t>Los jóvenes y el mercado de la vivienda en 2025</w:t>
        </w:r>
      </w:hyperlink>
      <w:r w:rsidR="00552625">
        <w:rPr>
          <w:rFonts w:ascii="Open Sans" w:eastAsia="Open Sans" w:hAnsi="Open Sans" w:cs="Open Sans"/>
          <w:b/>
        </w:rPr>
        <w:t xml:space="preserve">”, elaborado por </w:t>
      </w:r>
      <w:hyperlink r:id="rId11">
        <w:r w:rsidR="00552625">
          <w:rPr>
            <w:rFonts w:ascii="Open Sans" w:eastAsia="Open Sans" w:hAnsi="Open Sans" w:cs="Open Sans"/>
            <w:b/>
            <w:color w:val="0000FF"/>
            <w:u w:val="single"/>
          </w:rPr>
          <w:t xml:space="preserve">Fotocasa </w:t>
        </w:r>
        <w:proofErr w:type="spellStart"/>
        <w:r w:rsidR="00552625">
          <w:rPr>
            <w:rFonts w:ascii="Open Sans" w:eastAsia="Open Sans" w:hAnsi="Open Sans" w:cs="Open Sans"/>
            <w:b/>
            <w:color w:val="0000FF"/>
            <w:u w:val="single"/>
          </w:rPr>
          <w:t>Research</w:t>
        </w:r>
        <w:proofErr w:type="spellEnd"/>
      </w:hyperlink>
      <w:r>
        <w:rPr>
          <w:rFonts w:ascii="Open Sans" w:eastAsia="Open Sans" w:hAnsi="Open Sans" w:cs="Open Sans"/>
        </w:rPr>
        <w:t>.</w:t>
      </w:r>
    </w:p>
    <w:p w14:paraId="15A84E5B" w14:textId="77777777" w:rsidR="00EB37C9" w:rsidRDefault="00000000">
      <w:pPr>
        <w:spacing w:line="276" w:lineRule="auto"/>
        <w:jc w:val="both"/>
        <w:rPr>
          <w:rFonts w:ascii="Open Sans" w:eastAsia="Open Sans" w:hAnsi="Open Sans" w:cs="Open Sans"/>
          <w:b/>
        </w:rPr>
      </w:pPr>
      <w:r>
        <w:rPr>
          <w:rFonts w:ascii="Open Sans" w:eastAsia="Open Sans" w:hAnsi="Open Sans" w:cs="Open Sans"/>
        </w:rPr>
        <w:lastRenderedPageBreak/>
        <w:t xml:space="preserve">“Las expectativas de acceso a la propiedad entre los menores de 35 años están cambiando con fuerza. Casi dos de cada tres jóvenes prevén convertirse en propietarios en los próximos cinco años, un fenómeno impulsado tanto por el arraigo cultural hacia la vivienda en propiedad en España como por la creciente presión de los precios del alquiler. Sin embargo, la realidad en muchas ocasiones es otra: los obstáculos económicos y las limitaciones de ahorro son más fuertes que nunca consolidando la percepción de inaccesibilidad al mercado por parte de este colectivo que, paradójicamente, es el que más interactúa con el mercado y el que más dificultades se encuentra”, </w:t>
      </w:r>
      <w:r>
        <w:rPr>
          <w:rFonts w:ascii="Open Sans" w:eastAsia="Open Sans" w:hAnsi="Open Sans" w:cs="Open Sans"/>
          <w:b/>
        </w:rPr>
        <w:t xml:space="preserve">explica María Matos, directora de Estudios y portavoz de </w:t>
      </w:r>
      <w:hyperlink r:id="rId12">
        <w:r>
          <w:rPr>
            <w:rFonts w:ascii="Open Sans" w:eastAsia="Open Sans" w:hAnsi="Open Sans" w:cs="Open Sans"/>
            <w:b/>
            <w:color w:val="1155CC"/>
            <w:u w:val="single"/>
          </w:rPr>
          <w:t>Fotocasa</w:t>
        </w:r>
      </w:hyperlink>
      <w:r>
        <w:rPr>
          <w:rFonts w:ascii="Open Sans" w:eastAsia="Open Sans" w:hAnsi="Open Sans" w:cs="Open Sans"/>
          <w:b/>
        </w:rPr>
        <w:t>.</w:t>
      </w:r>
    </w:p>
    <w:p w14:paraId="74D2B107" w14:textId="77777777" w:rsidR="00EB37C9" w:rsidRDefault="00EB37C9">
      <w:pPr>
        <w:spacing w:line="276" w:lineRule="auto"/>
        <w:jc w:val="both"/>
        <w:rPr>
          <w:rFonts w:ascii="Open Sans" w:eastAsia="Open Sans" w:hAnsi="Open Sans" w:cs="Open Sans"/>
        </w:rPr>
      </w:pPr>
    </w:p>
    <w:p w14:paraId="51DE4DAE" w14:textId="77777777" w:rsidR="00EB37C9" w:rsidRDefault="00000000">
      <w:pPr>
        <w:spacing w:line="276" w:lineRule="auto"/>
        <w:jc w:val="center"/>
        <w:rPr>
          <w:rFonts w:ascii="Open Sans" w:eastAsia="Open Sans" w:hAnsi="Open Sans" w:cs="Open Sans"/>
        </w:rPr>
      </w:pPr>
      <w:r>
        <w:rPr>
          <w:noProof/>
        </w:rPr>
        <w:drawing>
          <wp:inline distT="0" distB="0" distL="0" distR="0" wp14:anchorId="1339D74E" wp14:editId="2D059810">
            <wp:extent cx="5760720" cy="3076575"/>
            <wp:effectExtent l="0" t="0" r="0" b="0"/>
            <wp:docPr id="2066816614" name="image5.png" descr="Imatge que conté text, línia, captura de pantalla, diagrama&#10;&#10;Pot ser que el contingut generat per IA no sigui correcte."/>
            <wp:cNvGraphicFramePr/>
            <a:graphic xmlns:a="http://schemas.openxmlformats.org/drawingml/2006/main">
              <a:graphicData uri="http://schemas.openxmlformats.org/drawingml/2006/picture">
                <pic:pic xmlns:pic="http://schemas.openxmlformats.org/drawingml/2006/picture">
                  <pic:nvPicPr>
                    <pic:cNvPr id="0" name="image5.png" descr="Imatge que conté text, línia, captura de pantalla, diagrama&#10;&#10;Pot ser que el contingut generat per IA no sigui correcte."/>
                    <pic:cNvPicPr preferRelativeResize="0"/>
                  </pic:nvPicPr>
                  <pic:blipFill>
                    <a:blip r:embed="rId13"/>
                    <a:srcRect/>
                    <a:stretch>
                      <a:fillRect/>
                    </a:stretch>
                  </pic:blipFill>
                  <pic:spPr>
                    <a:xfrm>
                      <a:off x="0" y="0"/>
                      <a:ext cx="5760720" cy="3076575"/>
                    </a:xfrm>
                    <a:prstGeom prst="rect">
                      <a:avLst/>
                    </a:prstGeom>
                    <a:ln/>
                  </pic:spPr>
                </pic:pic>
              </a:graphicData>
            </a:graphic>
          </wp:inline>
        </w:drawing>
      </w:r>
    </w:p>
    <w:p w14:paraId="5856FB07" w14:textId="77777777" w:rsidR="00EB37C9" w:rsidRDefault="00EB37C9">
      <w:pPr>
        <w:spacing w:line="276" w:lineRule="auto"/>
        <w:jc w:val="both"/>
        <w:rPr>
          <w:rFonts w:ascii="National" w:eastAsia="National" w:hAnsi="National" w:cs="National"/>
          <w:b/>
          <w:color w:val="303AB2"/>
          <w:sz w:val="32"/>
          <w:szCs w:val="32"/>
        </w:rPr>
      </w:pPr>
    </w:p>
    <w:p w14:paraId="1BE92E30" w14:textId="77777777" w:rsidR="00EB37C9" w:rsidRDefault="00000000">
      <w:pPr>
        <w:spacing w:line="276" w:lineRule="auto"/>
        <w:jc w:val="both"/>
        <w:rPr>
          <w:rFonts w:ascii="National" w:eastAsia="National" w:hAnsi="National" w:cs="National"/>
          <w:b/>
          <w:color w:val="303AB2"/>
          <w:sz w:val="32"/>
          <w:szCs w:val="32"/>
        </w:rPr>
      </w:pPr>
      <w:r>
        <w:rPr>
          <w:rFonts w:ascii="National" w:eastAsia="National" w:hAnsi="National" w:cs="National"/>
          <w:b/>
          <w:color w:val="303AB2"/>
          <w:sz w:val="32"/>
          <w:szCs w:val="32"/>
        </w:rPr>
        <w:t>Una mayoría de jóvenes inquilinos también planea entrar en el mercado de la vivienda en propiedad</w:t>
      </w:r>
    </w:p>
    <w:p w14:paraId="5B9D9777" w14:textId="77777777" w:rsidR="00EB37C9" w:rsidRDefault="00EB37C9">
      <w:pPr>
        <w:spacing w:line="276" w:lineRule="auto"/>
        <w:jc w:val="both"/>
        <w:rPr>
          <w:rFonts w:ascii="Open Sans" w:eastAsia="Open Sans" w:hAnsi="Open Sans" w:cs="Open Sans"/>
        </w:rPr>
      </w:pPr>
    </w:p>
    <w:p w14:paraId="47C89AA1" w14:textId="77777777" w:rsidR="00EB37C9" w:rsidRDefault="00000000">
      <w:pPr>
        <w:spacing w:line="276" w:lineRule="auto"/>
        <w:jc w:val="both"/>
        <w:rPr>
          <w:rFonts w:ascii="Open Sans" w:eastAsia="Open Sans" w:hAnsi="Open Sans" w:cs="Open Sans"/>
        </w:rPr>
      </w:pPr>
      <w:r>
        <w:rPr>
          <w:rFonts w:ascii="Open Sans" w:eastAsia="Open Sans" w:hAnsi="Open Sans" w:cs="Open Sans"/>
          <w:b/>
        </w:rPr>
        <w:t>Si se pone el foco en la pretensión de compra entre los jóvenes que actualmente son demandantes de vivienda de alquiler, se observa una tendencia similar</w:t>
      </w:r>
      <w:r>
        <w:rPr>
          <w:rFonts w:ascii="Open Sans" w:eastAsia="Open Sans" w:hAnsi="Open Sans" w:cs="Open Sans"/>
        </w:rPr>
        <w:t xml:space="preserve">: un 62% de estos prevén comprar un inmueble en un plazo máximo de cinco años (seis puntos más que en 2024). De estos, un 18% planea hacerlo en los próximos dos años, mientras que el 44% estudia comprar una vivienda en un plazo de dos a cinco años. Si se desgrana este colectivo joven en dos grupos de edad (los que tienen de 18 a 24 años y los que tienen de 25 a 34 años), se pueden detallar algunas diferencias. El grupo más junior no tiene una </w:t>
      </w:r>
      <w:r>
        <w:rPr>
          <w:rFonts w:ascii="Open Sans" w:eastAsia="Open Sans" w:hAnsi="Open Sans" w:cs="Open Sans"/>
        </w:rPr>
        <w:lastRenderedPageBreak/>
        <w:t>intención de compra a corto plazo (en los próximos dos años) tan extendida (representan únicamente el 11%) en comparación con el colectivo más senior (20%). Con todo, estos porcentajes tienden a igualarse en el medio plazo, puesto que un 42% de los jóvenes de 18 a 24 años y un 45% del grupo de 25 a 34 años estudian adquirir una vivienda en un plazo entre dos y cinco años.</w:t>
      </w:r>
    </w:p>
    <w:p w14:paraId="75E0E9A0" w14:textId="77777777" w:rsidR="00EB37C9" w:rsidRDefault="00EB37C9">
      <w:pPr>
        <w:spacing w:line="276" w:lineRule="auto"/>
        <w:jc w:val="both"/>
        <w:rPr>
          <w:rFonts w:ascii="Open Sans" w:eastAsia="Open Sans" w:hAnsi="Open Sans" w:cs="Open Sans"/>
        </w:rPr>
      </w:pPr>
    </w:p>
    <w:p w14:paraId="506FA8D8" w14:textId="77777777" w:rsidR="00EB37C9" w:rsidRDefault="00000000">
      <w:pPr>
        <w:spacing w:line="276" w:lineRule="auto"/>
        <w:jc w:val="center"/>
        <w:rPr>
          <w:rFonts w:ascii="Open Sans" w:eastAsia="Open Sans" w:hAnsi="Open Sans" w:cs="Open Sans"/>
        </w:rPr>
      </w:pPr>
      <w:r>
        <w:rPr>
          <w:noProof/>
        </w:rPr>
        <w:drawing>
          <wp:inline distT="0" distB="0" distL="0" distR="0" wp14:anchorId="4AA777A7" wp14:editId="15A61358">
            <wp:extent cx="5760720" cy="3220720"/>
            <wp:effectExtent l="0" t="0" r="0" b="0"/>
            <wp:docPr id="2066816613" name="image4.png" descr="Imatge que conté text, captura de pantalla, Font, nombre&#10;&#10;Pot ser que el contingut generat per IA no sigui correcte."/>
            <wp:cNvGraphicFramePr/>
            <a:graphic xmlns:a="http://schemas.openxmlformats.org/drawingml/2006/main">
              <a:graphicData uri="http://schemas.openxmlformats.org/drawingml/2006/picture">
                <pic:pic xmlns:pic="http://schemas.openxmlformats.org/drawingml/2006/picture">
                  <pic:nvPicPr>
                    <pic:cNvPr id="0" name="image4.png" descr="Imatge que conté text, captura de pantalla, Font, nombre&#10;&#10;Pot ser que el contingut generat per IA no sigui correcte."/>
                    <pic:cNvPicPr preferRelativeResize="0"/>
                  </pic:nvPicPr>
                  <pic:blipFill>
                    <a:blip r:embed="rId14"/>
                    <a:srcRect/>
                    <a:stretch>
                      <a:fillRect/>
                    </a:stretch>
                  </pic:blipFill>
                  <pic:spPr>
                    <a:xfrm>
                      <a:off x="0" y="0"/>
                      <a:ext cx="5760720" cy="3220720"/>
                    </a:xfrm>
                    <a:prstGeom prst="rect">
                      <a:avLst/>
                    </a:prstGeom>
                    <a:ln/>
                  </pic:spPr>
                </pic:pic>
              </a:graphicData>
            </a:graphic>
          </wp:inline>
        </w:drawing>
      </w:r>
    </w:p>
    <w:p w14:paraId="66AD3AE9" w14:textId="77777777" w:rsidR="00EB37C9" w:rsidRDefault="00EB37C9">
      <w:pPr>
        <w:spacing w:line="276" w:lineRule="auto"/>
        <w:jc w:val="both"/>
        <w:rPr>
          <w:rFonts w:ascii="Open Sans" w:eastAsia="Open Sans" w:hAnsi="Open Sans" w:cs="Open Sans"/>
        </w:rPr>
      </w:pPr>
    </w:p>
    <w:p w14:paraId="1EB9F1AF" w14:textId="77777777" w:rsidR="00EB37C9" w:rsidRDefault="00000000">
      <w:pPr>
        <w:spacing w:line="276" w:lineRule="auto"/>
        <w:jc w:val="both"/>
        <w:rPr>
          <w:rFonts w:ascii="National" w:eastAsia="National" w:hAnsi="National" w:cs="National"/>
          <w:b/>
          <w:color w:val="303AB2"/>
          <w:sz w:val="32"/>
          <w:szCs w:val="32"/>
        </w:rPr>
      </w:pPr>
      <w:r>
        <w:rPr>
          <w:rFonts w:ascii="National" w:eastAsia="National" w:hAnsi="National" w:cs="National"/>
          <w:b/>
          <w:color w:val="303AB2"/>
          <w:sz w:val="32"/>
          <w:szCs w:val="32"/>
        </w:rPr>
        <w:t>Las cuestiones económicas son la principal razón para posponer la compra de vivienda</w:t>
      </w:r>
    </w:p>
    <w:p w14:paraId="5E7995C6" w14:textId="77777777" w:rsidR="00EB37C9" w:rsidRDefault="00EB37C9">
      <w:pPr>
        <w:spacing w:line="276" w:lineRule="auto"/>
        <w:jc w:val="both"/>
        <w:rPr>
          <w:rFonts w:ascii="Open Sans" w:eastAsia="Open Sans" w:hAnsi="Open Sans" w:cs="Open Sans"/>
        </w:rPr>
      </w:pPr>
    </w:p>
    <w:p w14:paraId="7973A68A" w14:textId="77777777" w:rsidR="00EB37C9" w:rsidRDefault="00000000">
      <w:pPr>
        <w:spacing w:line="276" w:lineRule="auto"/>
        <w:jc w:val="both"/>
        <w:rPr>
          <w:rFonts w:ascii="Open Sans" w:eastAsia="Open Sans" w:hAnsi="Open Sans" w:cs="Open Sans"/>
        </w:rPr>
      </w:pPr>
      <w:r>
        <w:rPr>
          <w:rFonts w:ascii="Open Sans" w:eastAsia="Open Sans" w:hAnsi="Open Sans" w:cs="Open Sans"/>
        </w:rPr>
        <w:t xml:space="preserve">Cuando se pregunta a los jóvenes españoles cuáles son las razones para posponer la compra de una vivienda, las motivaciones económicas se esgrimen como el principal obstáculo. De esta manera, </w:t>
      </w:r>
      <w:r>
        <w:rPr>
          <w:rFonts w:ascii="Open Sans" w:eastAsia="Open Sans" w:hAnsi="Open Sans" w:cs="Open Sans"/>
          <w:b/>
        </w:rPr>
        <w:t>el 46% de los menores de 35 indican que no tienen suficiente dinero ahorrado para pagar un piso, mientras que un 42% señalan que su situación económica o laboral se lo impide</w:t>
      </w:r>
      <w:r>
        <w:rPr>
          <w:rFonts w:ascii="Open Sans" w:eastAsia="Open Sans" w:hAnsi="Open Sans" w:cs="Open Sans"/>
        </w:rPr>
        <w:t>. Por otro lado, el 33% aseguran que los precios del mercado inmobiliario están muy altos, y un 28% apuntan que estas valoraciones actuales no encajan con su presupuesto. Más de uno de cada cuatro (26%) afirman que ahora tienen otras prioridades o gastos, y un 16% lamentan que las condiciones hipotecarias actuales han imposibilitado la operación. No obstante, este último porcentaje se ha reducido en siete puntos en comparación con 2024, gracias a la reducción de los tipos de interés del euro y la mejora de las condiciones hipotecarias.</w:t>
      </w:r>
    </w:p>
    <w:p w14:paraId="64C905A0" w14:textId="77777777" w:rsidR="00EB37C9" w:rsidRDefault="00EB37C9">
      <w:pPr>
        <w:spacing w:line="276" w:lineRule="auto"/>
        <w:jc w:val="center"/>
        <w:rPr>
          <w:rFonts w:ascii="Open Sans" w:eastAsia="Open Sans" w:hAnsi="Open Sans" w:cs="Open Sans"/>
        </w:rPr>
      </w:pPr>
    </w:p>
    <w:p w14:paraId="0EE9B0F5" w14:textId="77777777" w:rsidR="00EB37C9" w:rsidRDefault="00000000">
      <w:pPr>
        <w:spacing w:line="276" w:lineRule="auto"/>
        <w:jc w:val="center"/>
        <w:rPr>
          <w:rFonts w:ascii="Open Sans" w:eastAsia="Open Sans" w:hAnsi="Open Sans" w:cs="Open Sans"/>
        </w:rPr>
      </w:pPr>
      <w:r>
        <w:rPr>
          <w:noProof/>
        </w:rPr>
        <w:lastRenderedPageBreak/>
        <w:drawing>
          <wp:inline distT="0" distB="0" distL="0" distR="0" wp14:anchorId="1F40C9FF" wp14:editId="139209DD">
            <wp:extent cx="5760720" cy="4879340"/>
            <wp:effectExtent l="0" t="0" r="0" b="0"/>
            <wp:docPr id="2066816615" name="image2.png" descr="Imatge que conté text, captura de pantalla, programari, nombre&#10;&#10;Pot ser que el contingut generat per IA no sigui correcte."/>
            <wp:cNvGraphicFramePr/>
            <a:graphic xmlns:a="http://schemas.openxmlformats.org/drawingml/2006/main">
              <a:graphicData uri="http://schemas.openxmlformats.org/drawingml/2006/picture">
                <pic:pic xmlns:pic="http://schemas.openxmlformats.org/drawingml/2006/picture">
                  <pic:nvPicPr>
                    <pic:cNvPr id="0" name="image2.png" descr="Imatge que conté text, captura de pantalla, programari, nombre&#10;&#10;Pot ser que el contingut generat per IA no sigui correcte."/>
                    <pic:cNvPicPr preferRelativeResize="0"/>
                  </pic:nvPicPr>
                  <pic:blipFill>
                    <a:blip r:embed="rId15"/>
                    <a:srcRect/>
                    <a:stretch>
                      <a:fillRect/>
                    </a:stretch>
                  </pic:blipFill>
                  <pic:spPr>
                    <a:xfrm>
                      <a:off x="0" y="0"/>
                      <a:ext cx="5760720" cy="4879340"/>
                    </a:xfrm>
                    <a:prstGeom prst="rect">
                      <a:avLst/>
                    </a:prstGeom>
                    <a:ln/>
                  </pic:spPr>
                </pic:pic>
              </a:graphicData>
            </a:graphic>
          </wp:inline>
        </w:drawing>
      </w:r>
    </w:p>
    <w:p w14:paraId="363654B6" w14:textId="77777777" w:rsidR="00EB37C9" w:rsidRDefault="00EB37C9">
      <w:pPr>
        <w:spacing w:line="276" w:lineRule="auto"/>
        <w:jc w:val="both"/>
        <w:rPr>
          <w:rFonts w:ascii="Open Sans" w:eastAsia="Open Sans" w:hAnsi="Open Sans" w:cs="Open Sans"/>
        </w:rPr>
      </w:pPr>
    </w:p>
    <w:p w14:paraId="5D5C9C50" w14:textId="77777777" w:rsidR="00EB37C9" w:rsidRDefault="00EB37C9">
      <w:pPr>
        <w:spacing w:line="276" w:lineRule="auto"/>
        <w:jc w:val="right"/>
        <w:rPr>
          <w:rFonts w:ascii="Open Sans Light" w:eastAsia="Open Sans Light" w:hAnsi="Open Sans Light" w:cs="Open Sans Light"/>
          <w:b/>
          <w:color w:val="303AB2"/>
        </w:rPr>
      </w:pPr>
    </w:p>
    <w:p w14:paraId="44E58CDE" w14:textId="77777777" w:rsidR="00EB37C9" w:rsidRDefault="00EB37C9">
      <w:pPr>
        <w:spacing w:line="276" w:lineRule="auto"/>
        <w:jc w:val="right"/>
        <w:rPr>
          <w:rFonts w:ascii="Open Sans Light" w:eastAsia="Open Sans Light" w:hAnsi="Open Sans Light" w:cs="Open Sans Light"/>
          <w:b/>
          <w:color w:val="303AB2"/>
        </w:rPr>
      </w:pPr>
    </w:p>
    <w:p w14:paraId="3559F864" w14:textId="77777777" w:rsidR="00EB37C9"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579AE2B4" w14:textId="77777777" w:rsidR="00EB37C9"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6">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6BF7ED14" w14:textId="77777777" w:rsidR="00EB37C9"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7">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214F025E" w14:textId="77777777" w:rsidR="00EB37C9" w:rsidRDefault="00000000">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fldChar w:fldCharType="end"/>
      </w:r>
      <w:r>
        <w:rPr>
          <w:rFonts w:ascii="Open Sans" w:eastAsia="Open Sans" w:hAnsi="Open Sans" w:cs="Open Sans"/>
          <w:sz w:val="22"/>
          <w:szCs w:val="22"/>
        </w:rPr>
        <w:t xml:space="preserve">. </w:t>
      </w:r>
    </w:p>
    <w:p w14:paraId="6F1A8B6A" w14:textId="77777777" w:rsidR="00EB37C9" w:rsidRDefault="00EB37C9">
      <w:pPr>
        <w:spacing w:line="276" w:lineRule="auto"/>
        <w:jc w:val="right"/>
        <w:rPr>
          <w:rFonts w:ascii="Open Sans Light" w:eastAsia="Open Sans Light" w:hAnsi="Open Sans Light" w:cs="Open Sans Light"/>
          <w:b/>
          <w:color w:val="303AB2"/>
        </w:rPr>
      </w:pPr>
    </w:p>
    <w:p w14:paraId="68635558" w14:textId="77777777" w:rsidR="00EB37C9" w:rsidRDefault="00EB37C9">
      <w:pPr>
        <w:spacing w:line="276" w:lineRule="auto"/>
        <w:jc w:val="right"/>
        <w:rPr>
          <w:rFonts w:ascii="Open Sans Light" w:eastAsia="Open Sans Light" w:hAnsi="Open Sans Light" w:cs="Open Sans Light"/>
          <w:b/>
          <w:color w:val="303AB2"/>
        </w:rPr>
      </w:pPr>
    </w:p>
    <w:p w14:paraId="45CE0A47" w14:textId="77777777" w:rsidR="00EB37C9" w:rsidRDefault="00EB37C9">
      <w:pPr>
        <w:spacing w:line="276" w:lineRule="auto"/>
        <w:jc w:val="right"/>
        <w:rPr>
          <w:rFonts w:ascii="Open Sans Light" w:eastAsia="Open Sans Light" w:hAnsi="Open Sans Light" w:cs="Open Sans Light"/>
          <w:b/>
          <w:color w:val="303AB2"/>
        </w:rPr>
      </w:pPr>
    </w:p>
    <w:p w14:paraId="0C6D228F" w14:textId="77777777" w:rsidR="00EB37C9"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 xml:space="preserve">Sobre </w:t>
      </w:r>
      <w:proofErr w:type="spellStart"/>
      <w:r>
        <w:rPr>
          <w:rFonts w:ascii="Open Sans Light" w:eastAsia="Open Sans Light" w:hAnsi="Open Sans Light" w:cs="Open Sans Light"/>
          <w:b/>
          <w:color w:val="303AB2"/>
        </w:rPr>
        <w:t>Adevinta</w:t>
      </w:r>
      <w:proofErr w:type="spellEnd"/>
    </w:p>
    <w:p w14:paraId="51D3767B" w14:textId="77777777" w:rsidR="00EB37C9" w:rsidRDefault="00000000">
      <w:pPr>
        <w:spacing w:before="143" w:after="200"/>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es un grupo de empresas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únicos al mes en sus plataformas de los sectores inmobiliario (</w:t>
      </w:r>
      <w:hyperlink r:id="rId18">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9">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20">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1">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2">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fldChar w:fldCharType="end"/>
      </w:r>
      <w:r>
        <w:rPr>
          <w:rFonts w:ascii="Open Sans" w:eastAsia="Open Sans" w:hAnsi="Open Sans" w:cs="Open Sans"/>
          <w:sz w:val="22"/>
          <w:szCs w:val="22"/>
        </w:rPr>
        <w:t>).</w:t>
      </w:r>
    </w:p>
    <w:p w14:paraId="38751ECE" w14:textId="77777777" w:rsidR="00EB37C9"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002BA1AD" w14:textId="77777777" w:rsidR="00EB37C9" w:rsidRDefault="00000000">
      <w:pPr>
        <w:spacing w:before="143" w:after="200"/>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2.500 millones de visitas cada mes. </w:t>
      </w:r>
    </w:p>
    <w:p w14:paraId="24E61F59" w14:textId="77777777" w:rsidR="00EB37C9" w:rsidRDefault="00000000">
      <w:pPr>
        <w:spacing w:before="143" w:after="200"/>
        <w:jc w:val="both"/>
      </w:pPr>
      <w:r>
        <w:rPr>
          <w:rFonts w:ascii="Open Sans" w:eastAsia="Open Sans" w:hAnsi="Open Sans" w:cs="Open Sans"/>
          <w:sz w:val="22"/>
          <w:szCs w:val="22"/>
        </w:rPr>
        <w:t xml:space="preserve">Más información en </w:t>
      </w:r>
      <w:hyperlink r:id="rId23">
        <w:r>
          <w:rPr>
            <w:rFonts w:ascii="Open Sans" w:eastAsia="Open Sans" w:hAnsi="Open Sans" w:cs="Open Sans"/>
            <w:color w:val="1155CC"/>
            <w:sz w:val="22"/>
            <w:szCs w:val="22"/>
            <w:u w:val="single"/>
          </w:rPr>
          <w:t>adevinta.es</w:t>
        </w:r>
      </w:hyperlink>
    </w:p>
    <w:p w14:paraId="2B4D6756" w14:textId="77777777" w:rsidR="00EB37C9" w:rsidRDefault="00EB37C9">
      <w:pPr>
        <w:spacing w:before="143" w:after="200"/>
        <w:jc w:val="both"/>
        <w:rPr>
          <w:rFonts w:ascii="Open Sans" w:eastAsia="Open Sans" w:hAnsi="Open Sans" w:cs="Open Sans"/>
        </w:rPr>
      </w:pPr>
    </w:p>
    <w:p w14:paraId="5382137A" w14:textId="77777777" w:rsidR="00EB37C9"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403202DE" w14:textId="77777777" w:rsidR="00EB37C9" w:rsidRDefault="00000000">
      <w:pPr>
        <w:shd w:val="clear" w:color="auto" w:fill="FFFFFF"/>
        <w:spacing w:line="276" w:lineRule="auto"/>
        <w:rPr>
          <w:rFonts w:ascii="Open Sans" w:eastAsia="Open Sans" w:hAnsi="Open Sans" w:cs="Open Sans"/>
          <w:b/>
          <w:sz w:val="22"/>
          <w:szCs w:val="22"/>
        </w:rPr>
      </w:pPr>
      <w:r>
        <w:rPr>
          <w:rFonts w:ascii="Open Sans" w:eastAsia="Open Sans" w:hAnsi="Open Sans" w:cs="Open Sans"/>
          <w:b/>
          <w:sz w:val="22"/>
          <w:szCs w:val="22"/>
        </w:rPr>
        <w:t>Anaïs López</w:t>
      </w:r>
    </w:p>
    <w:p w14:paraId="59A4C66E" w14:textId="77777777" w:rsidR="00EB37C9" w:rsidRDefault="00000000">
      <w:pPr>
        <w:shd w:val="clear" w:color="auto" w:fill="FFFFFF"/>
        <w:spacing w:line="276" w:lineRule="auto"/>
        <w:rPr>
          <w:rFonts w:ascii="Open Sans" w:eastAsia="Open Sans" w:hAnsi="Open Sans" w:cs="Open Sans"/>
          <w:color w:val="0000FF"/>
          <w:sz w:val="22"/>
          <w:szCs w:val="22"/>
          <w:u w:val="single"/>
        </w:rPr>
      </w:pPr>
      <w:hyperlink r:id="rId24">
        <w:r>
          <w:rPr>
            <w:rFonts w:ascii="Open Sans" w:eastAsia="Open Sans" w:hAnsi="Open Sans" w:cs="Open Sans"/>
            <w:color w:val="0000FF"/>
            <w:sz w:val="22"/>
            <w:szCs w:val="22"/>
            <w:u w:val="single"/>
          </w:rPr>
          <w:t>comunicacion@fotocasa.es</w:t>
        </w:r>
      </w:hyperlink>
    </w:p>
    <w:p w14:paraId="215D4440" w14:textId="77777777" w:rsidR="00EB37C9" w:rsidRDefault="00000000">
      <w:pPr>
        <w:shd w:val="clear" w:color="auto" w:fill="FFFFFF"/>
        <w:spacing w:line="276" w:lineRule="auto"/>
        <w:rPr>
          <w:rFonts w:ascii="Open Sans Light" w:eastAsia="Open Sans Light" w:hAnsi="Open Sans Light" w:cs="Open Sans Light"/>
          <w:b/>
          <w:color w:val="303AB2"/>
        </w:rPr>
      </w:pPr>
      <w:r>
        <w:rPr>
          <w:rFonts w:ascii="Open Sans" w:eastAsia="Open Sans" w:hAnsi="Open Sans" w:cs="Open Sans"/>
          <w:sz w:val="22"/>
          <w:szCs w:val="22"/>
        </w:rPr>
        <w:t>620 66 29 26</w:t>
      </w:r>
    </w:p>
    <w:p w14:paraId="1210205F" w14:textId="77777777" w:rsidR="00EB37C9" w:rsidRDefault="00EB37C9">
      <w:pPr>
        <w:shd w:val="clear" w:color="auto" w:fill="FFFFFF"/>
        <w:rPr>
          <w:rFonts w:ascii="Open Sans" w:eastAsia="Open Sans" w:hAnsi="Open Sans" w:cs="Open Sans"/>
          <w:color w:val="000000"/>
          <w:sz w:val="22"/>
          <w:szCs w:val="22"/>
        </w:rPr>
      </w:pPr>
    </w:p>
    <w:p w14:paraId="0FB69D2E" w14:textId="77777777" w:rsidR="00EB37C9" w:rsidRDefault="00EB37C9">
      <w:pPr>
        <w:spacing w:line="276" w:lineRule="auto"/>
        <w:jc w:val="right"/>
        <w:rPr>
          <w:rFonts w:ascii="Open Sans" w:eastAsia="Open Sans" w:hAnsi="Open Sans" w:cs="Open Sans"/>
          <w:color w:val="000000"/>
          <w:sz w:val="22"/>
          <w:szCs w:val="22"/>
        </w:rPr>
      </w:pPr>
    </w:p>
    <w:sectPr w:rsidR="00EB37C9">
      <w:footerReference w:type="default" r:id="rId25"/>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3E6CF6" w14:textId="77777777" w:rsidR="00CE5666" w:rsidRDefault="00CE5666">
      <w:r>
        <w:separator/>
      </w:r>
    </w:p>
  </w:endnote>
  <w:endnote w:type="continuationSeparator" w:id="0">
    <w:p w14:paraId="1CE8DC2E" w14:textId="77777777" w:rsidR="00CE5666" w:rsidRDefault="00CE56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106516A1-E50A-45FD-B9B3-775B14BCE25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21A5584-69DD-49F0-9956-6EA5449848C5}"/>
    <w:embedBold r:id="rId3" w:fontKey="{37352C6D-8345-4304-9955-CB264591A6DC}"/>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C343B13F-D462-4D14-9B64-64D910E385D9}"/>
  </w:font>
  <w:font w:name="Georgia">
    <w:panose1 w:val="02040502050405020303"/>
    <w:charset w:val="00"/>
    <w:family w:val="roman"/>
    <w:pitch w:val="variable"/>
    <w:sig w:usb0="00000287" w:usb1="00000000" w:usb2="00000000" w:usb3="00000000" w:csb0="0000009F" w:csb1="00000000"/>
    <w:embedRegular r:id="rId5" w:fontKey="{0BCAE6DF-A16A-4F8C-A14F-136F3C2E8A67}"/>
    <w:embedItalic r:id="rId6" w:fontKey="{FCA735C7-374F-4693-81E4-86BB39CF7EC0}"/>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42F18B05-4767-4032-9E1E-A1595B42085A}"/>
    <w:embedBold r:id="rId8" w:fontKey="{DD36B2EF-38F1-43B8-B1BA-52283CA2D99A}"/>
    <w:embedItalic r:id="rId9" w:fontKey="{ED1BE602-574A-4E00-A993-1999D9614726}"/>
    <w:embedBoldItalic r:id="rId10" w:fontKey="{C2B1A694-2D22-4E9D-9F24-A680ED4FC5ED}"/>
  </w:font>
  <w:font w:name="Open Sans Light">
    <w:charset w:val="00"/>
    <w:family w:val="swiss"/>
    <w:pitch w:val="variable"/>
    <w:sig w:usb0="E00002EF" w:usb1="4000205B" w:usb2="00000028" w:usb3="00000000" w:csb0="0000019F" w:csb1="00000000"/>
    <w:embedRegular r:id="rId11" w:fontKey="{0920D1A5-0874-4C7F-ABF4-AD189E4264E4}"/>
    <w:embedBold r:id="rId12" w:fontKey="{F8B5A02E-8E5F-4A7B-A8EE-2A951AB8534A}"/>
    <w:embedItalic r:id="rId13" w:fontKey="{ED03A143-713F-4039-9DEC-874F2139DBBC}"/>
    <w:embedBoldItalic r:id="rId14" w:fontKey="{2AC15EA4-684C-4CC8-A864-1F4546B62E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96F01" w14:textId="77777777" w:rsidR="00EB37C9"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23B9B026" wp14:editId="25A75A3A">
          <wp:simplePos x="0" y="0"/>
          <wp:positionH relativeFrom="column">
            <wp:posOffset>-1068045</wp:posOffset>
          </wp:positionH>
          <wp:positionV relativeFrom="paragraph">
            <wp:posOffset>174608</wp:posOffset>
          </wp:positionV>
          <wp:extent cx="7670550" cy="451315"/>
          <wp:effectExtent l="0" t="0" r="0" b="0"/>
          <wp:wrapNone/>
          <wp:docPr id="20668166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471026" w14:textId="77777777" w:rsidR="00CE5666" w:rsidRDefault="00CE5666">
      <w:r>
        <w:separator/>
      </w:r>
    </w:p>
  </w:footnote>
  <w:footnote w:type="continuationSeparator" w:id="0">
    <w:p w14:paraId="436AD9C8" w14:textId="77777777" w:rsidR="00CE5666" w:rsidRDefault="00CE56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70682C"/>
    <w:multiLevelType w:val="multilevel"/>
    <w:tmpl w:val="7ACC4D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FA26C5D"/>
    <w:multiLevelType w:val="multilevel"/>
    <w:tmpl w:val="D974CB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9306020">
    <w:abstractNumId w:val="1"/>
  </w:num>
  <w:num w:numId="2" w16cid:durableId="12641926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37C9"/>
    <w:rsid w:val="00552625"/>
    <w:rsid w:val="00C53397"/>
    <w:rsid w:val="00CE5666"/>
    <w:rsid w:val="00EB37C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0BF730"/>
  <w15:docId w15:val="{3C2BA857-8E39-4D0F-AD19-428C1B57D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4">
    <w:name w:val="Table Normal14"/>
    <w:tblPr>
      <w:tblCellMar>
        <w:top w:w="0" w:type="dxa"/>
        <w:left w:w="0" w:type="dxa"/>
        <w:bottom w:w="0" w:type="dxa"/>
        <w:right w:w="0" w:type="dxa"/>
      </w:tblCellMar>
    </w:tblPr>
  </w:style>
  <w:style w:type="table" w:customStyle="1" w:styleId="TableNormal15">
    <w:name w:val="Table Normal15"/>
    <w:tblPr>
      <w:tblCellMar>
        <w:top w:w="0" w:type="dxa"/>
        <w:left w:w="0" w:type="dxa"/>
        <w:bottom w:w="0" w:type="dxa"/>
        <w:right w:w="0" w:type="dxa"/>
      </w:tblCellMar>
    </w:tblPr>
  </w:style>
  <w:style w:type="table" w:customStyle="1" w:styleId="TableNormal16">
    <w:name w:val="Table Normal16"/>
    <w:tblPr>
      <w:tblCellMar>
        <w:top w:w="0" w:type="dxa"/>
        <w:left w:w="0" w:type="dxa"/>
        <w:bottom w:w="0" w:type="dxa"/>
        <w:right w:w="0" w:type="dxa"/>
      </w:tblCellMar>
    </w:tblPr>
  </w:style>
  <w:style w:type="table" w:customStyle="1" w:styleId="TableNormal17">
    <w:name w:val="Table Normal17"/>
    <w:tblPr>
      <w:tblCellMar>
        <w:top w:w="0" w:type="dxa"/>
        <w:left w:w="0" w:type="dxa"/>
        <w:bottom w:w="0" w:type="dxa"/>
        <w:right w:w="0" w:type="dxa"/>
      </w:tblCellMar>
    </w:tblPr>
  </w:style>
  <w:style w:type="table" w:customStyle="1" w:styleId="TableNormal18">
    <w:name w:val="Table Normal18"/>
    <w:tblPr>
      <w:tblCellMar>
        <w:top w:w="0" w:type="dxa"/>
        <w:left w:w="0" w:type="dxa"/>
        <w:bottom w:w="0" w:type="dxa"/>
        <w:right w:w="0" w:type="dxa"/>
      </w:tblCellMar>
    </w:tblPr>
  </w:style>
  <w:style w:type="table" w:customStyle="1" w:styleId="TableNormal19">
    <w:name w:val="Table Normal19"/>
    <w:tblPr>
      <w:tblCellMar>
        <w:top w:w="0" w:type="dxa"/>
        <w:left w:w="0" w:type="dxa"/>
        <w:bottom w:w="0" w:type="dxa"/>
        <w:right w:w="0" w:type="dxa"/>
      </w:tblCellMar>
    </w:tblPr>
  </w:style>
  <w:style w:type="table" w:customStyle="1" w:styleId="TableNormal20">
    <w:name w:val="Table Normal20"/>
    <w:tblPr>
      <w:tblCellMar>
        <w:top w:w="0" w:type="dxa"/>
        <w:left w:w="0" w:type="dxa"/>
        <w:bottom w:w="0" w:type="dxa"/>
        <w:right w:w="0" w:type="dxa"/>
      </w:tblCellMar>
    </w:tblPr>
  </w:style>
  <w:style w:type="table" w:customStyle="1" w:styleId="TableNormal21">
    <w:name w:val="Table Normal21"/>
    <w:tblPr>
      <w:tblCellMar>
        <w:top w:w="0" w:type="dxa"/>
        <w:left w:w="0" w:type="dxa"/>
        <w:bottom w:w="0" w:type="dxa"/>
        <w:right w:w="0" w:type="dxa"/>
      </w:tblCellMar>
    </w:tblPr>
  </w:style>
  <w:style w:type="table" w:customStyle="1" w:styleId="a">
    <w:basedOn w:val="TableNormal2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2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18"/>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18"/>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7"/>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https://www.fotocasa.es/e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coches.net/" TargetMode="External"/><Relationship Id="rId7" Type="http://schemas.openxmlformats.org/officeDocument/2006/relationships/endnotes" Target="endnotes.xml"/><Relationship Id="rId12" Type="http://schemas.openxmlformats.org/officeDocument/2006/relationships/hyperlink" Target="https://www.fotocasa.es/es/" TargetMode="External"/><Relationship Id="rId17" Type="http://schemas.openxmlformats.org/officeDocument/2006/relationships/hyperlink" Target="http://prensa.fotocasa.es"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fotocasa.es/indice/" TargetMode="External"/><Relationship Id="rId20" Type="http://schemas.openxmlformats.org/officeDocument/2006/relationships/hyperlink" Target="https://www.infojobs.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search.fotocasa.es/" TargetMode="External"/><Relationship Id="rId24" Type="http://schemas.openxmlformats.org/officeDocument/2006/relationships/hyperlink" Target="mailto:comunicacion@fotocasa.es"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adevinta.es" TargetMode="External"/><Relationship Id="rId10" Type="http://schemas.openxmlformats.org/officeDocument/2006/relationships/hyperlink" Target="https://s36360.pcdn.co/wp-content/uploads/2025/09/Informe-Los-jovenes-y-la-vivienda-en-2025-ok.pdf" TargetMode="External"/><Relationship Id="rId19" Type="http://schemas.openxmlformats.org/officeDocument/2006/relationships/hyperlink" Target="https://www.habitaclia.com/" TargetMode="External"/><Relationship Id="rId4" Type="http://schemas.openxmlformats.org/officeDocument/2006/relationships/settings" Target="settings.xml"/><Relationship Id="rId9" Type="http://schemas.openxmlformats.org/officeDocument/2006/relationships/hyperlink" Target="https://s36360.pcdn.co/wp-content/uploads/2025/09/Informe-Los-jovenes-y-la-vivienda-en-2025-ok.pdf" TargetMode="External"/><Relationship Id="rId14" Type="http://schemas.openxmlformats.org/officeDocument/2006/relationships/image" Target="media/image3.png"/><Relationship Id="rId22" Type="http://schemas.openxmlformats.org/officeDocument/2006/relationships/hyperlink" Target="https://motos.coches.net/"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4Oks9vQXELIRKXfVNkzogBSoAg==">CgMxLjAyCWguMnM4ZXlvMTgAciExMWFDOFE3STlKNmJGMFFINl9PS1JGTEhUcmN2R0F0Vk0=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1081</Words>
  <Characters>5947</Characters>
  <Application>Microsoft Office Word</Application>
  <DocSecurity>0</DocSecurity>
  <Lines>49</Lines>
  <Paragraphs>14</Paragraphs>
  <ScaleCrop>false</ScaleCrop>
  <Company/>
  <LinksUpToDate>false</LinksUpToDate>
  <CharactersWithSpaces>7014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2</cp:revision>
  <dcterms:created xsi:type="dcterms:W3CDTF">2024-02-06T13:46:00Z</dcterms:created>
  <dcterms:modified xsi:type="dcterms:W3CDTF">2025-09-15T10:35:00Z</dcterms:modified>
</cp:coreProperties>
</file>