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CFBF" w14:textId="77777777" w:rsidR="00224F3B" w:rsidRDefault="00000000">
      <w:pPr>
        <w:ind w:right="-574"/>
      </w:pPr>
      <w:bookmarkStart w:id="0" w:name="_heading=h.6kdvs6lz5tsc" w:colFirst="0" w:colLast="0"/>
      <w:bookmarkEnd w:id="0"/>
      <w:r>
        <w:rPr>
          <w:noProof/>
        </w:rPr>
        <w:drawing>
          <wp:anchor distT="0" distB="0" distL="114300" distR="114300" simplePos="0" relativeHeight="251658240" behindDoc="0" locked="0" layoutInCell="1" hidden="0" allowOverlap="1" wp14:anchorId="3F8BE537" wp14:editId="74E5400D">
            <wp:simplePos x="0" y="0"/>
            <wp:positionH relativeFrom="column">
              <wp:posOffset>-1078864</wp:posOffset>
            </wp:positionH>
            <wp:positionV relativeFrom="paragraph">
              <wp:posOffset>-350451</wp:posOffset>
            </wp:positionV>
            <wp:extent cx="7581265" cy="1019175"/>
            <wp:effectExtent l="0" t="0" r="0" b="0"/>
            <wp:wrapNone/>
            <wp:docPr id="16678038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C1FC002" w14:textId="77777777" w:rsidR="00224F3B" w:rsidRDefault="00224F3B">
      <w:pPr>
        <w:ind w:right="-574"/>
        <w:jc w:val="right"/>
        <w:rPr>
          <w:rFonts w:ascii="National" w:eastAsia="National" w:hAnsi="National" w:cs="National"/>
          <w:color w:val="303AB2"/>
          <w:sz w:val="36"/>
          <w:szCs w:val="36"/>
        </w:rPr>
      </w:pPr>
    </w:p>
    <w:p w14:paraId="0915DC9B" w14:textId="77777777" w:rsidR="00224F3B" w:rsidRDefault="00224F3B">
      <w:pPr>
        <w:ind w:right="-574"/>
        <w:jc w:val="right"/>
        <w:rPr>
          <w:rFonts w:ascii="National" w:eastAsia="National" w:hAnsi="National" w:cs="National"/>
          <w:color w:val="303AB2"/>
          <w:sz w:val="36"/>
          <w:szCs w:val="36"/>
        </w:rPr>
      </w:pPr>
    </w:p>
    <w:p w14:paraId="26BCCB8D" w14:textId="77777777" w:rsidR="00224F3B" w:rsidRDefault="00224F3B">
      <w:pPr>
        <w:ind w:right="-574"/>
        <w:rPr>
          <w:rFonts w:ascii="National" w:eastAsia="National" w:hAnsi="National" w:cs="National"/>
          <w:color w:val="303AB2"/>
          <w:sz w:val="16"/>
          <w:szCs w:val="16"/>
        </w:rPr>
      </w:pPr>
    </w:p>
    <w:p w14:paraId="33D99E44" w14:textId="6939CE18" w:rsidR="00224F3B" w:rsidRPr="000E6A46" w:rsidRDefault="00000000">
      <w:pPr>
        <w:spacing w:line="276" w:lineRule="auto"/>
        <w:ind w:right="-574"/>
        <w:jc w:val="center"/>
        <w:rPr>
          <w:rFonts w:ascii="National" w:eastAsia="National" w:hAnsi="National" w:cs="National"/>
          <w:b/>
          <w:color w:val="1DBDC5"/>
          <w:sz w:val="36"/>
          <w:szCs w:val="36"/>
        </w:rPr>
      </w:pPr>
      <w:bookmarkStart w:id="1" w:name="_heading=h.wcwblghth5g1" w:colFirst="0" w:colLast="0"/>
      <w:bookmarkEnd w:id="1"/>
      <w:r w:rsidRPr="000E6A46">
        <w:rPr>
          <w:rFonts w:ascii="National" w:eastAsia="National" w:hAnsi="National" w:cs="National"/>
          <w:b/>
          <w:color w:val="1DBDC5"/>
          <w:sz w:val="36"/>
          <w:szCs w:val="36"/>
        </w:rPr>
        <w:t xml:space="preserve">ANÁLISIS RENTABILIDAD VIVIENDA </w:t>
      </w:r>
      <w:r w:rsidR="000E6A46" w:rsidRPr="000E6A46">
        <w:rPr>
          <w:rFonts w:ascii="National" w:eastAsia="National" w:hAnsi="National" w:cs="National"/>
          <w:b/>
          <w:color w:val="1DBDC5"/>
          <w:sz w:val="36"/>
          <w:szCs w:val="36"/>
        </w:rPr>
        <w:t>EN EL TERCER TRIMESTRE</w:t>
      </w:r>
    </w:p>
    <w:p w14:paraId="3E995977" w14:textId="77777777" w:rsidR="00224F3B" w:rsidRDefault="00000000">
      <w:pPr>
        <w:ind w:right="139"/>
        <w:jc w:val="center"/>
        <w:rPr>
          <w:rFonts w:ascii="National" w:eastAsia="National" w:hAnsi="National" w:cs="National"/>
          <w:b/>
          <w:color w:val="303AB2"/>
          <w:sz w:val="42"/>
          <w:szCs w:val="42"/>
        </w:rPr>
      </w:pPr>
      <w:r w:rsidRPr="004C43E4">
        <w:rPr>
          <w:rFonts w:ascii="National" w:eastAsia="National" w:hAnsi="National" w:cs="National"/>
          <w:b/>
          <w:color w:val="303AB2"/>
          <w:sz w:val="46"/>
          <w:szCs w:val="46"/>
        </w:rPr>
        <w:t xml:space="preserve">La rentabilidad de una vivienda compartida es de un 8,6% frente al 6% del alquiler tradicional </w:t>
      </w:r>
    </w:p>
    <w:p w14:paraId="7AD85A61" w14:textId="77777777" w:rsidR="004C43E4" w:rsidRDefault="004C43E4" w:rsidP="004C43E4">
      <w:pPr>
        <w:pBdr>
          <w:top w:val="nil"/>
          <w:left w:val="nil"/>
          <w:bottom w:val="nil"/>
          <w:right w:val="nil"/>
          <w:between w:val="nil"/>
        </w:pBdr>
        <w:spacing w:line="276" w:lineRule="auto"/>
        <w:ind w:right="139"/>
        <w:jc w:val="both"/>
        <w:rPr>
          <w:rFonts w:ascii="Open Sans" w:eastAsia="Open Sans" w:hAnsi="Open Sans" w:cs="Open Sans"/>
          <w:color w:val="000000"/>
        </w:rPr>
      </w:pPr>
      <w:bookmarkStart w:id="2" w:name="_heading=h.jbkceuycomuf" w:colFirst="0" w:colLast="0"/>
      <w:bookmarkEnd w:id="2"/>
    </w:p>
    <w:p w14:paraId="466222B0" w14:textId="504B7BC7" w:rsidR="00224F3B" w:rsidRDefault="00000000">
      <w:pPr>
        <w:numPr>
          <w:ilvl w:val="0"/>
          <w:numId w:val="1"/>
        </w:numPr>
        <w:pBdr>
          <w:top w:val="nil"/>
          <w:left w:val="nil"/>
          <w:bottom w:val="nil"/>
          <w:right w:val="nil"/>
          <w:between w:val="nil"/>
        </w:pBdr>
        <w:spacing w:line="276" w:lineRule="auto"/>
        <w:ind w:right="139"/>
        <w:jc w:val="both"/>
        <w:rPr>
          <w:rFonts w:ascii="Open Sans" w:eastAsia="Open Sans" w:hAnsi="Open Sans" w:cs="Open Sans"/>
          <w:color w:val="000000"/>
        </w:rPr>
      </w:pPr>
      <w:r>
        <w:rPr>
          <w:rFonts w:ascii="Open Sans" w:eastAsia="Open Sans" w:hAnsi="Open Sans" w:cs="Open Sans"/>
          <w:color w:val="000000"/>
        </w:rPr>
        <w:t xml:space="preserve">Alquilar una vivienda por habitaciones en España es un 2,7 </w:t>
      </w:r>
      <w:r>
        <w:rPr>
          <w:rFonts w:ascii="Open Sans" w:eastAsia="Open Sans" w:hAnsi="Open Sans" w:cs="Open Sans"/>
          <w:color w:val="000000"/>
          <w:sz w:val="22"/>
          <w:szCs w:val="22"/>
        </w:rPr>
        <w:t>puntos porcentuales</w:t>
      </w:r>
      <w:r>
        <w:rPr>
          <w:rFonts w:ascii="Open Sans" w:eastAsia="Open Sans" w:hAnsi="Open Sans" w:cs="Open Sans"/>
          <w:color w:val="000000"/>
        </w:rPr>
        <w:t xml:space="preserve"> más rentable que alquilarla a un único inquilino</w:t>
      </w:r>
    </w:p>
    <w:p w14:paraId="0EE22EA8" w14:textId="77777777" w:rsidR="00114B00" w:rsidRDefault="00000000" w:rsidP="00114B00">
      <w:pPr>
        <w:numPr>
          <w:ilvl w:val="0"/>
          <w:numId w:val="1"/>
        </w:numPr>
        <w:pBdr>
          <w:top w:val="nil"/>
          <w:left w:val="nil"/>
          <w:bottom w:val="nil"/>
          <w:right w:val="nil"/>
          <w:between w:val="nil"/>
        </w:pBdr>
        <w:spacing w:line="276" w:lineRule="auto"/>
        <w:ind w:right="139"/>
        <w:jc w:val="both"/>
        <w:rPr>
          <w:rFonts w:ascii="Open Sans" w:eastAsia="Open Sans" w:hAnsi="Open Sans" w:cs="Open Sans"/>
          <w:color w:val="000000"/>
        </w:rPr>
      </w:pPr>
      <w:r>
        <w:rPr>
          <w:rFonts w:ascii="Open Sans" w:eastAsia="Open Sans" w:hAnsi="Open Sans" w:cs="Open Sans"/>
          <w:color w:val="000000"/>
        </w:rPr>
        <w:t xml:space="preserve">En todas las comunidades autónomas la rentabilidad de una vivienda es superior si se alquila por habitaciones </w:t>
      </w:r>
    </w:p>
    <w:p w14:paraId="2E80BA82" w14:textId="43723182" w:rsidR="00224F3B" w:rsidRDefault="00114B00" w:rsidP="00114B00">
      <w:pPr>
        <w:numPr>
          <w:ilvl w:val="0"/>
          <w:numId w:val="1"/>
        </w:numPr>
        <w:pBdr>
          <w:top w:val="nil"/>
          <w:left w:val="nil"/>
          <w:bottom w:val="nil"/>
          <w:right w:val="nil"/>
          <w:between w:val="nil"/>
        </w:pBdr>
        <w:spacing w:line="276" w:lineRule="auto"/>
        <w:ind w:right="139"/>
        <w:jc w:val="both"/>
        <w:rPr>
          <w:rFonts w:ascii="Open Sans" w:eastAsia="Open Sans" w:hAnsi="Open Sans" w:cs="Open Sans"/>
          <w:color w:val="000000"/>
        </w:rPr>
      </w:pPr>
      <w:r w:rsidRPr="00114B00">
        <w:rPr>
          <w:rFonts w:ascii="Open Sans" w:eastAsia="Open Sans" w:hAnsi="Open Sans" w:cs="Open Sans"/>
          <w:color w:val="000000"/>
        </w:rPr>
        <w:t>Navarra es la comunidad con la brecha más ancha entre rentabilidades (3,4 puntos porcentuales), 6,7% versus el 10,1% de la vivienda alquilada por habitaciones</w:t>
      </w:r>
    </w:p>
    <w:p w14:paraId="166C56DB" w14:textId="77777777" w:rsidR="00114B00" w:rsidRPr="00114B00" w:rsidRDefault="00114B00" w:rsidP="00114B00">
      <w:pPr>
        <w:pBdr>
          <w:top w:val="nil"/>
          <w:left w:val="nil"/>
          <w:bottom w:val="nil"/>
          <w:right w:val="nil"/>
          <w:between w:val="nil"/>
        </w:pBdr>
        <w:spacing w:line="276" w:lineRule="auto"/>
        <w:ind w:left="720" w:right="139"/>
        <w:jc w:val="both"/>
        <w:rPr>
          <w:rFonts w:ascii="Open Sans" w:eastAsia="Open Sans" w:hAnsi="Open Sans" w:cs="Open Sans"/>
          <w:color w:val="000000"/>
        </w:rPr>
      </w:pPr>
    </w:p>
    <w:p w14:paraId="1B7FC640" w14:textId="77777777" w:rsidR="00224F3B" w:rsidRDefault="00000000">
      <w:pPr>
        <w:spacing w:line="276" w:lineRule="auto"/>
        <w:ind w:right="139"/>
        <w:rPr>
          <w:rFonts w:ascii="Open Sans Light" w:eastAsia="Open Sans Light" w:hAnsi="Open Sans Light" w:cs="Open Sans Light"/>
          <w:b/>
          <w:color w:val="303AB2"/>
        </w:rPr>
      </w:pPr>
      <w:r>
        <w:rPr>
          <w:rFonts w:ascii="Open Sans Light" w:eastAsia="Open Sans Light" w:hAnsi="Open Sans Light" w:cs="Open Sans Light"/>
          <w:b/>
          <w:color w:val="303AB2"/>
        </w:rPr>
        <w:t>Madrid, 22 de septiembre de 2025</w:t>
      </w:r>
    </w:p>
    <w:p w14:paraId="0FE5417F"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en España de una vivienda de 80 metros cuadrados en septiembre se sitúa en un 6% y la de una vivienda compartida de tres habitaciones en un 8,6% es decir, una diferencia de 2,7 puntos porcentuales,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2025”,</w:t>
      </w:r>
      <w:r>
        <w:rPr>
          <w:rFonts w:ascii="Open Sans" w:eastAsia="Open Sans" w:hAnsi="Open Sans" w:cs="Open Sans"/>
          <w:color w:val="000000"/>
          <w:sz w:val="22"/>
          <w:szCs w:val="22"/>
        </w:rPr>
        <w:t xml:space="preserve"> basado en el análisis de los precios de la vivienda en venta y alquiler de septiembre de 2025 por el portal inmobiliario </w:t>
      </w:r>
      <w:hyperlink r:id="rId9">
        <w:r w:rsidR="00224F3B">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690E5A1C" w14:textId="77777777" w:rsidR="00224F3B" w:rsidRDefault="00000000">
      <w:pPr>
        <w:pBdr>
          <w:top w:val="nil"/>
          <w:left w:val="nil"/>
          <w:bottom w:val="nil"/>
          <w:right w:val="nil"/>
          <w:between w:val="nil"/>
        </w:pBdr>
        <w:shd w:val="clear" w:color="auto" w:fill="FFFFFF"/>
        <w:spacing w:before="280" w:after="280" w:line="276" w:lineRule="auto"/>
        <w:ind w:right="139"/>
        <w:jc w:val="center"/>
        <w:rPr>
          <w:rFonts w:ascii="Open Sans" w:eastAsia="Open Sans" w:hAnsi="Open Sans" w:cs="Open Sans"/>
          <w:color w:val="000000"/>
          <w:sz w:val="22"/>
          <w:szCs w:val="22"/>
          <w:highlight w:val="yellow"/>
        </w:rPr>
      </w:pPr>
      <w:r>
        <w:rPr>
          <w:rFonts w:ascii="Open Sans Light" w:eastAsia="Open Sans Light" w:hAnsi="Open Sans Light" w:cs="Open Sans Light"/>
          <w:b/>
          <w:color w:val="303AB2"/>
        </w:rPr>
        <w:t>Rentabilidad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 </w:t>
      </w:r>
      <w:r>
        <w:rPr>
          <w:rFonts w:ascii="Times New Roman" w:eastAsia="Times New Roman" w:hAnsi="Times New Roman" w:cs="Times New Roman"/>
          <w:noProof/>
          <w:color w:val="000000"/>
        </w:rPr>
        <w:drawing>
          <wp:inline distT="0" distB="0" distL="0" distR="0" wp14:anchorId="19D72118" wp14:editId="63AC244C">
            <wp:extent cx="5775960" cy="2880360"/>
            <wp:effectExtent l="0" t="0" r="0" b="0"/>
            <wp:docPr id="1667803862" name="Gráfico 1667803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A3CE1E"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Light" w:eastAsia="Open Sans Light" w:hAnsi="Open Sans Light" w:cs="Open Sans Light"/>
          <w:b/>
          <w:color w:val="000000"/>
        </w:rPr>
      </w:pPr>
      <w:r>
        <w:rPr>
          <w:rFonts w:ascii="Open Sans Light" w:eastAsia="Open Sans Light" w:hAnsi="Open Sans Light" w:cs="Open Sans Light"/>
          <w:b/>
        </w:rPr>
        <w:lastRenderedPageBreak/>
        <w:t>“El rendimiento de una vivienda depende en gran medida del tipo de alquiler que elija el propietario. El alquiler por habitaciones suele ofrecer una rentabilidad superior al alquiler tradicional, ya que la suma de lo que se cobra por cada cuarto supera el precio que pagaría un único inquilino por toda la vivienda. Aun así, ambas modalidades mantienen rentabilidades estables y relevantes, lo que confirma que la vivienda sigue siendo una inversión segura para quienes buscan rendimiento. Hoy el precio de compra y el del alquiler crecen a un ritmo muy similar, en torno al 15%, por lo que no esperamos grandes saltos en la rentabilidad a corto plazo. Esta situación hace que las zonas más rentables ya no se concentren solo en los centros de las grandes ciudades. La periferia y muchos municipios intermedios se están convirtiendo en auténticas oportunidades de inversión, ya que sus precios de compra todavía no se han disparado”, explica</w:t>
      </w:r>
      <w:r>
        <w:rPr>
          <w:rFonts w:ascii="Open Sans Light" w:eastAsia="Open Sans Light" w:hAnsi="Open Sans Light" w:cs="Open Sans Light"/>
          <w:b/>
          <w:color w:val="000000"/>
        </w:rPr>
        <w:t xml:space="preserve"> </w:t>
      </w:r>
      <w:r>
        <w:rPr>
          <w:rFonts w:ascii="Open Sans" w:eastAsia="Open Sans" w:hAnsi="Open Sans" w:cs="Open Sans"/>
          <w:b/>
          <w:color w:val="000000"/>
        </w:rPr>
        <w:t xml:space="preserve">María Matos, directora de Estudios de </w:t>
      </w:r>
      <w:hyperlink r:id="rId11">
        <w:r w:rsidR="00224F3B">
          <w:rPr>
            <w:rFonts w:ascii="Open Sans" w:eastAsia="Open Sans" w:hAnsi="Open Sans" w:cs="Open Sans"/>
            <w:b/>
            <w:color w:val="1155CC"/>
            <w:u w:val="single"/>
          </w:rPr>
          <w:t>Fotocasa</w:t>
        </w:r>
      </w:hyperlink>
      <w:r>
        <w:rPr>
          <w:rFonts w:ascii="Open Sans Light" w:eastAsia="Open Sans Light" w:hAnsi="Open Sans Light" w:cs="Open Sans Light"/>
          <w:b/>
          <w:color w:val="000000"/>
        </w:rPr>
        <w:t>.</w:t>
      </w:r>
    </w:p>
    <w:p w14:paraId="35274EF5"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400CE2B9"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ambos modelos de vivienda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y una vivienda de tres habitaciones), vemos que las rentabilidades que da la misma vivienda son totalmente diferentes en ambos casos. Así, vemos que en la comunidad de </w:t>
      </w:r>
      <w:r>
        <w:rPr>
          <w:rFonts w:ascii="Open Sans" w:eastAsia="Open Sans" w:hAnsi="Open Sans" w:cs="Open Sans"/>
          <w:b/>
          <w:color w:val="000000"/>
          <w:sz w:val="22"/>
          <w:szCs w:val="22"/>
        </w:rPr>
        <w:t>Castilla-La Mancha la rentabilidad de una vivienda de 80 m</w:t>
      </w:r>
      <w:r>
        <w:rPr>
          <w:rFonts w:ascii="Open Sans" w:eastAsia="Open Sans" w:hAnsi="Open Sans" w:cs="Open Sans"/>
          <w:b/>
          <w:color w:val="000000"/>
          <w:sz w:val="22"/>
          <w:szCs w:val="22"/>
          <w:vertAlign w:val="superscript"/>
        </w:rPr>
        <w:t>2</w:t>
      </w:r>
      <w:r>
        <w:rPr>
          <w:rFonts w:ascii="Open Sans" w:eastAsia="Open Sans" w:hAnsi="Open Sans" w:cs="Open Sans"/>
          <w:b/>
          <w:color w:val="000000"/>
          <w:sz w:val="22"/>
          <w:szCs w:val="22"/>
        </w:rPr>
        <w:t xml:space="preserve"> es 7,8%, frente a los 10,5% de rentabilidad que se obtiene si se alquila la misma vivienda por habitaciones</w:t>
      </w:r>
      <w:r>
        <w:rPr>
          <w:rFonts w:ascii="Open Sans" w:eastAsia="Open Sans" w:hAnsi="Open Sans" w:cs="Open Sans"/>
          <w:color w:val="000000"/>
          <w:sz w:val="22"/>
          <w:szCs w:val="22"/>
        </w:rPr>
        <w:t xml:space="preserve"> (es decir, 2,7 puntos de diferencia entre ambas).</w:t>
      </w:r>
    </w:p>
    <w:p w14:paraId="4962A541" w14:textId="77777777" w:rsidR="00224F3B" w:rsidRDefault="00000000">
      <w:pPr>
        <w:pBdr>
          <w:top w:val="nil"/>
          <w:left w:val="nil"/>
          <w:bottom w:val="nil"/>
          <w:right w:val="nil"/>
          <w:between w:val="nil"/>
        </w:pBdr>
        <w:shd w:val="clear" w:color="auto" w:fill="FFFFFF"/>
        <w:spacing w:before="280" w:after="280" w:line="276" w:lineRule="auto"/>
        <w:ind w:right="139"/>
        <w:jc w:val="center"/>
        <w:rPr>
          <w:rFonts w:ascii="Open Sans" w:eastAsia="Open Sans" w:hAnsi="Open Sans" w:cs="Open Sans"/>
          <w:color w:val="000000"/>
          <w:sz w:val="22"/>
          <w:szCs w:val="22"/>
        </w:rPr>
      </w:pPr>
      <w:r>
        <w:rPr>
          <w:rFonts w:ascii="Open Sans Light" w:eastAsia="Open Sans Light" w:hAnsi="Open Sans Light" w:cs="Open Sans Light"/>
          <w:b/>
          <w:color w:val="303AB2"/>
        </w:rPr>
        <w:t>Rentabilidad CC.AA.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w:t>
      </w:r>
    </w:p>
    <w:p w14:paraId="686A847B"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1AC3EFDA" wp14:editId="3E8D52D5">
            <wp:extent cx="5730240" cy="3063240"/>
            <wp:effectExtent l="0" t="0" r="3810" b="3810"/>
            <wp:docPr id="1667803861" name="Gráfico 16678038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BBD75A" w14:textId="77777777" w:rsidR="00114B00" w:rsidRDefault="00114B00" w:rsidP="00114B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2"/>
          <w:szCs w:val="22"/>
        </w:rPr>
      </w:pPr>
      <w:r w:rsidRPr="00114B00">
        <w:rPr>
          <w:rFonts w:ascii="Open Sans" w:eastAsia="Open Sans" w:hAnsi="Open Sans" w:cs="Open Sans"/>
          <w:color w:val="000000"/>
          <w:sz w:val="22"/>
          <w:szCs w:val="22"/>
        </w:rPr>
        <w:lastRenderedPageBreak/>
        <w:t>Por otro lado, Navarra es la comunidad con la brecha más ancha entre rentabilidades (3,4 puntos porcentuales), un 6,7% de rentabilidad de una vivienda convencional versus el 10,1% de la vivienda alquilada por habitaciones.</w:t>
      </w:r>
    </w:p>
    <w:p w14:paraId="362F67BF" w14:textId="4EAF7C7C" w:rsidR="00224F3B" w:rsidRDefault="000000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w:t>
      </w:r>
      <w:r w:rsidRPr="00114B00">
        <w:rPr>
          <w:rFonts w:ascii="Open Sans" w:eastAsia="Open Sans" w:hAnsi="Open Sans" w:cs="Open Sans"/>
          <w:b/>
          <w:bCs/>
          <w:color w:val="000000"/>
          <w:sz w:val="22"/>
          <w:szCs w:val="22"/>
        </w:rPr>
        <w:t>el orden de las CCAA con las máximas rentabilidades de las viviendas de alquiler por habitaciones es</w:t>
      </w:r>
      <w:r>
        <w:rPr>
          <w:rFonts w:ascii="Open Sans" w:eastAsia="Open Sans" w:hAnsi="Open Sans" w:cs="Open Sans"/>
          <w:color w:val="000000"/>
          <w:sz w:val="22"/>
          <w:szCs w:val="22"/>
        </w:rPr>
        <w:t>: Castilla-La Mancha con 10,5% (7,8%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Navarra con 10,1% (6,7%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Extremadura con 9,7% (6,8%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Cataluña con 9,3% (7,6%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La Rioja con 8,8% (6,8%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Aragón con 8,8% (7,3%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Castilla y León con 8,8% (7,0%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Región de Murcia con 8,2% (6,6%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Comunitat Valenciana con 8,0% (6,5%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Galicia con 7,4% (5,7%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País Vasco con 7,4% (5,7%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Cantabria con 7,2% (6,3%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Asturias con 6,7% (6,4%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Andalucía con 6,5% (5,0%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Canarias con 6,4% (5,5%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con 5,5% (5,2%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Baleares con 5,0% (4,3%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53ABEB1E" w14:textId="39B9B0DF" w:rsidR="00224F3B"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Rentabilidad </w:t>
      </w:r>
      <w:r w:rsidR="00266B40">
        <w:rPr>
          <w:rFonts w:ascii="Open Sans Light" w:eastAsia="Open Sans Light" w:hAnsi="Open Sans Light" w:cs="Open Sans Light"/>
          <w:b/>
          <w:color w:val="303AB2"/>
        </w:rPr>
        <w:t xml:space="preserve">por CC.AA. </w:t>
      </w:r>
      <w:r>
        <w:rPr>
          <w:rFonts w:ascii="Open Sans Light" w:eastAsia="Open Sans Light" w:hAnsi="Open Sans Light" w:cs="Open Sans Light"/>
          <w:b/>
          <w:color w:val="303AB2"/>
        </w:rPr>
        <w:t>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w:t>
      </w:r>
    </w:p>
    <w:tbl>
      <w:tblPr>
        <w:tblStyle w:val="a"/>
        <w:tblW w:w="906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7"/>
        <w:gridCol w:w="2020"/>
        <w:gridCol w:w="2659"/>
        <w:gridCol w:w="1701"/>
      </w:tblGrid>
      <w:tr w:rsidR="00224F3B" w14:paraId="6D44E217" w14:textId="77777777" w:rsidTr="00224F3B">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0567CAD9"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2020" w:type="dxa"/>
            <w:vAlign w:val="center"/>
          </w:tcPr>
          <w:p w14:paraId="79DD9E5A"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Rentabilidad vivienda 80 m</w:t>
            </w:r>
            <w:r>
              <w:rPr>
                <w:rFonts w:ascii="Open Sans" w:eastAsia="Open Sans" w:hAnsi="Open Sans" w:cs="Open Sans"/>
                <w:b w:val="0"/>
                <w:sz w:val="22"/>
                <w:szCs w:val="22"/>
                <w:vertAlign w:val="superscript"/>
              </w:rPr>
              <w:t>2</w:t>
            </w:r>
            <w:r>
              <w:rPr>
                <w:rFonts w:ascii="Open Sans" w:eastAsia="Open Sans" w:hAnsi="Open Sans" w:cs="Open Sans"/>
                <w:b w:val="0"/>
                <w:sz w:val="22"/>
                <w:szCs w:val="22"/>
              </w:rPr>
              <w:t xml:space="preserve"> (sept-25)</w:t>
            </w:r>
          </w:p>
        </w:tc>
        <w:tc>
          <w:tcPr>
            <w:tcW w:w="2659" w:type="dxa"/>
            <w:vAlign w:val="center"/>
          </w:tcPr>
          <w:p w14:paraId="4610D363"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Rentabilidad vivienda compartida de 3 habitaciones (sept-25)</w:t>
            </w:r>
          </w:p>
        </w:tc>
        <w:tc>
          <w:tcPr>
            <w:tcW w:w="1701" w:type="dxa"/>
            <w:vAlign w:val="center"/>
          </w:tcPr>
          <w:p w14:paraId="0E8A5E00"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sz w:val="22"/>
                <w:szCs w:val="22"/>
              </w:rPr>
            </w:pPr>
            <w:r>
              <w:rPr>
                <w:rFonts w:ascii="Open Sans" w:eastAsia="Open Sans" w:hAnsi="Open Sans" w:cs="Open Sans"/>
                <w:b w:val="0"/>
                <w:sz w:val="22"/>
                <w:szCs w:val="22"/>
              </w:rPr>
              <w:t>Diferencia punto porcentual</w:t>
            </w:r>
          </w:p>
        </w:tc>
      </w:tr>
      <w:tr w:rsidR="00224F3B" w14:paraId="69F74164"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06A28020"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2020" w:type="dxa"/>
            <w:vAlign w:val="bottom"/>
          </w:tcPr>
          <w:p w14:paraId="2319F12B"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c>
          <w:tcPr>
            <w:tcW w:w="2659" w:type="dxa"/>
            <w:vAlign w:val="bottom"/>
          </w:tcPr>
          <w:p w14:paraId="3545B22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10,5%</w:t>
            </w:r>
          </w:p>
        </w:tc>
        <w:tc>
          <w:tcPr>
            <w:tcW w:w="1701" w:type="dxa"/>
            <w:vAlign w:val="center"/>
          </w:tcPr>
          <w:p w14:paraId="4DD11AA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224F3B" w14:paraId="132D2D62"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shd w:val="clear" w:color="auto" w:fill="2E75B5"/>
            <w:vAlign w:val="bottom"/>
          </w:tcPr>
          <w:p w14:paraId="4D948E4A"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020" w:type="dxa"/>
            <w:vAlign w:val="bottom"/>
          </w:tcPr>
          <w:p w14:paraId="57239B7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6,7%</w:t>
            </w:r>
          </w:p>
        </w:tc>
        <w:tc>
          <w:tcPr>
            <w:tcW w:w="2659" w:type="dxa"/>
            <w:vAlign w:val="bottom"/>
          </w:tcPr>
          <w:p w14:paraId="0C10750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10,1%</w:t>
            </w:r>
          </w:p>
        </w:tc>
        <w:tc>
          <w:tcPr>
            <w:tcW w:w="1701" w:type="dxa"/>
            <w:vAlign w:val="center"/>
          </w:tcPr>
          <w:p w14:paraId="6E677CD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224F3B" w14:paraId="55851FA4"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732C405"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2020" w:type="dxa"/>
            <w:vAlign w:val="bottom"/>
          </w:tcPr>
          <w:p w14:paraId="0196CF3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2659" w:type="dxa"/>
            <w:vAlign w:val="bottom"/>
          </w:tcPr>
          <w:p w14:paraId="1198D4F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9,7%</w:t>
            </w:r>
          </w:p>
        </w:tc>
        <w:tc>
          <w:tcPr>
            <w:tcW w:w="1701" w:type="dxa"/>
            <w:vAlign w:val="center"/>
          </w:tcPr>
          <w:p w14:paraId="2F2FBD7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224F3B" w14:paraId="2A19AAE0"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6F1BB3C0"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2020" w:type="dxa"/>
            <w:vAlign w:val="bottom"/>
          </w:tcPr>
          <w:p w14:paraId="14CBB4C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2659" w:type="dxa"/>
            <w:vAlign w:val="bottom"/>
          </w:tcPr>
          <w:p w14:paraId="65E2081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9,3%</w:t>
            </w:r>
          </w:p>
        </w:tc>
        <w:tc>
          <w:tcPr>
            <w:tcW w:w="1701" w:type="dxa"/>
            <w:vAlign w:val="center"/>
          </w:tcPr>
          <w:p w14:paraId="2B5D01C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224F3B" w14:paraId="06C2992F"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35BD11B7"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020" w:type="dxa"/>
            <w:vAlign w:val="bottom"/>
          </w:tcPr>
          <w:p w14:paraId="315D781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6,8%</w:t>
            </w:r>
          </w:p>
        </w:tc>
        <w:tc>
          <w:tcPr>
            <w:tcW w:w="2659" w:type="dxa"/>
            <w:vAlign w:val="bottom"/>
          </w:tcPr>
          <w:p w14:paraId="69D5DA2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8,8%</w:t>
            </w:r>
          </w:p>
        </w:tc>
        <w:tc>
          <w:tcPr>
            <w:tcW w:w="1701" w:type="dxa"/>
            <w:vAlign w:val="center"/>
          </w:tcPr>
          <w:p w14:paraId="4C201B4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w:t>
            </w:r>
          </w:p>
        </w:tc>
      </w:tr>
      <w:tr w:rsidR="00224F3B" w14:paraId="4C68A1C8"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27B4A42"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2020" w:type="dxa"/>
            <w:vAlign w:val="bottom"/>
          </w:tcPr>
          <w:p w14:paraId="7EDCA9E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2659" w:type="dxa"/>
            <w:vAlign w:val="bottom"/>
          </w:tcPr>
          <w:p w14:paraId="726FF54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c>
          <w:tcPr>
            <w:tcW w:w="1701" w:type="dxa"/>
            <w:vAlign w:val="center"/>
          </w:tcPr>
          <w:p w14:paraId="4C21EC0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224F3B" w14:paraId="6EE42A7A"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65135C4E"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2020" w:type="dxa"/>
            <w:vAlign w:val="bottom"/>
          </w:tcPr>
          <w:p w14:paraId="32C916B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2659" w:type="dxa"/>
            <w:vAlign w:val="bottom"/>
          </w:tcPr>
          <w:p w14:paraId="677875E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8,8%</w:t>
            </w:r>
          </w:p>
        </w:tc>
        <w:tc>
          <w:tcPr>
            <w:tcW w:w="1701" w:type="dxa"/>
            <w:vAlign w:val="center"/>
          </w:tcPr>
          <w:p w14:paraId="134F93C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224F3B" w14:paraId="4792732F"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shd w:val="clear" w:color="auto" w:fill="FFC000"/>
            <w:vAlign w:val="bottom"/>
          </w:tcPr>
          <w:p w14:paraId="423E8295" w14:textId="77777777" w:rsidR="00224F3B" w:rsidRDefault="00000000">
            <w:pPr>
              <w:rPr>
                <w:rFonts w:ascii="Open Sans" w:eastAsia="Open Sans" w:hAnsi="Open Sans" w:cs="Open Sans"/>
                <w:sz w:val="22"/>
                <w:szCs w:val="22"/>
              </w:rPr>
            </w:pPr>
            <w:r>
              <w:rPr>
                <w:rFonts w:ascii="Open Sans" w:eastAsia="Open Sans" w:hAnsi="Open Sans" w:cs="Open Sans"/>
                <w:b w:val="0"/>
                <w:color w:val="000000"/>
                <w:sz w:val="22"/>
                <w:szCs w:val="22"/>
              </w:rPr>
              <w:t>España</w:t>
            </w:r>
          </w:p>
        </w:tc>
        <w:tc>
          <w:tcPr>
            <w:tcW w:w="2020" w:type="dxa"/>
            <w:shd w:val="clear" w:color="auto" w:fill="FFC000"/>
            <w:vAlign w:val="bottom"/>
          </w:tcPr>
          <w:p w14:paraId="73245622"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2659" w:type="dxa"/>
            <w:shd w:val="clear" w:color="auto" w:fill="FFC000"/>
            <w:vAlign w:val="bottom"/>
          </w:tcPr>
          <w:p w14:paraId="5409458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8,6%</w:t>
            </w:r>
          </w:p>
        </w:tc>
        <w:tc>
          <w:tcPr>
            <w:tcW w:w="1701" w:type="dxa"/>
            <w:shd w:val="clear" w:color="auto" w:fill="FFC000"/>
            <w:vAlign w:val="center"/>
          </w:tcPr>
          <w:p w14:paraId="02BDD49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224F3B" w14:paraId="0B07F1C3"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5859BE59"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2020" w:type="dxa"/>
            <w:vAlign w:val="bottom"/>
          </w:tcPr>
          <w:p w14:paraId="05E838D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2659" w:type="dxa"/>
            <w:vAlign w:val="bottom"/>
          </w:tcPr>
          <w:p w14:paraId="38DA830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8,2%</w:t>
            </w:r>
          </w:p>
        </w:tc>
        <w:tc>
          <w:tcPr>
            <w:tcW w:w="1701" w:type="dxa"/>
            <w:vAlign w:val="center"/>
          </w:tcPr>
          <w:p w14:paraId="31E0757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r w:rsidR="00224F3B" w14:paraId="292646D2"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AD285E7"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2020" w:type="dxa"/>
            <w:vAlign w:val="bottom"/>
          </w:tcPr>
          <w:p w14:paraId="0967D460"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2659" w:type="dxa"/>
            <w:vAlign w:val="bottom"/>
          </w:tcPr>
          <w:p w14:paraId="6F4B181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8,0%</w:t>
            </w:r>
          </w:p>
        </w:tc>
        <w:tc>
          <w:tcPr>
            <w:tcW w:w="1701" w:type="dxa"/>
            <w:vAlign w:val="center"/>
          </w:tcPr>
          <w:p w14:paraId="2EE88440"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224F3B" w14:paraId="7364D918"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3C77A947"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2020" w:type="dxa"/>
            <w:vAlign w:val="bottom"/>
          </w:tcPr>
          <w:p w14:paraId="55A5CB1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2659" w:type="dxa"/>
            <w:vAlign w:val="bottom"/>
          </w:tcPr>
          <w:p w14:paraId="546D9B2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c>
          <w:tcPr>
            <w:tcW w:w="1701" w:type="dxa"/>
            <w:vAlign w:val="center"/>
          </w:tcPr>
          <w:p w14:paraId="0BE5366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224F3B" w14:paraId="3A89D9E2"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7EE95916"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2020" w:type="dxa"/>
            <w:vAlign w:val="bottom"/>
          </w:tcPr>
          <w:p w14:paraId="590BAC6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2659" w:type="dxa"/>
            <w:vAlign w:val="bottom"/>
          </w:tcPr>
          <w:p w14:paraId="2FE2F98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7,4%</w:t>
            </w:r>
          </w:p>
        </w:tc>
        <w:tc>
          <w:tcPr>
            <w:tcW w:w="1701" w:type="dxa"/>
            <w:vAlign w:val="center"/>
          </w:tcPr>
          <w:p w14:paraId="318AF29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224F3B" w14:paraId="683DA777"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55788812"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020" w:type="dxa"/>
            <w:vAlign w:val="bottom"/>
          </w:tcPr>
          <w:p w14:paraId="0C08F3A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2659" w:type="dxa"/>
            <w:vAlign w:val="bottom"/>
          </w:tcPr>
          <w:p w14:paraId="4E77403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7,2%</w:t>
            </w:r>
          </w:p>
        </w:tc>
        <w:tc>
          <w:tcPr>
            <w:tcW w:w="1701" w:type="dxa"/>
            <w:vAlign w:val="center"/>
          </w:tcPr>
          <w:p w14:paraId="4FE6E72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224F3B" w14:paraId="4EF93352"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204E6F34"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020" w:type="dxa"/>
            <w:vAlign w:val="bottom"/>
          </w:tcPr>
          <w:p w14:paraId="7C0CD1B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2659" w:type="dxa"/>
            <w:vAlign w:val="bottom"/>
          </w:tcPr>
          <w:p w14:paraId="12D7342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6,7%</w:t>
            </w:r>
          </w:p>
        </w:tc>
        <w:tc>
          <w:tcPr>
            <w:tcW w:w="1701" w:type="dxa"/>
            <w:vAlign w:val="center"/>
          </w:tcPr>
          <w:p w14:paraId="64F96734"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r>
      <w:tr w:rsidR="00224F3B" w14:paraId="6354FDAF"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932AD2D"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2020" w:type="dxa"/>
            <w:vAlign w:val="bottom"/>
          </w:tcPr>
          <w:p w14:paraId="382A6FC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c>
          <w:tcPr>
            <w:tcW w:w="2659" w:type="dxa"/>
            <w:vAlign w:val="bottom"/>
          </w:tcPr>
          <w:p w14:paraId="4F0E729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6,5%</w:t>
            </w:r>
          </w:p>
        </w:tc>
        <w:tc>
          <w:tcPr>
            <w:tcW w:w="1701" w:type="dxa"/>
            <w:vAlign w:val="center"/>
          </w:tcPr>
          <w:p w14:paraId="784DFFA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224F3B" w14:paraId="71A83CF8"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4E950AF3"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2020" w:type="dxa"/>
            <w:vAlign w:val="bottom"/>
          </w:tcPr>
          <w:p w14:paraId="46D1E71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2659" w:type="dxa"/>
            <w:vAlign w:val="bottom"/>
          </w:tcPr>
          <w:p w14:paraId="7D9B3CE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6,4%</w:t>
            </w:r>
          </w:p>
        </w:tc>
        <w:tc>
          <w:tcPr>
            <w:tcW w:w="1701" w:type="dxa"/>
            <w:vAlign w:val="center"/>
          </w:tcPr>
          <w:p w14:paraId="477BC102"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224F3B" w14:paraId="08C09EE3" w14:textId="77777777" w:rsidTr="00224F3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5E37EEBA"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020" w:type="dxa"/>
            <w:vAlign w:val="bottom"/>
          </w:tcPr>
          <w:p w14:paraId="22CE407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659" w:type="dxa"/>
            <w:vAlign w:val="bottom"/>
          </w:tcPr>
          <w:p w14:paraId="5D8D035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1701" w:type="dxa"/>
            <w:vAlign w:val="center"/>
          </w:tcPr>
          <w:p w14:paraId="05C59A6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r>
      <w:tr w:rsidR="00224F3B" w14:paraId="2EF4D75E" w14:textId="77777777" w:rsidTr="00224F3B">
        <w:trPr>
          <w:trHeight w:val="257"/>
        </w:trPr>
        <w:tc>
          <w:tcPr>
            <w:cnfStyle w:val="001000000000" w:firstRow="0" w:lastRow="0" w:firstColumn="1" w:lastColumn="0" w:oddVBand="0" w:evenVBand="0" w:oddHBand="0" w:evenHBand="0" w:firstRowFirstColumn="0" w:firstRowLastColumn="0" w:lastRowFirstColumn="0" w:lastRowLastColumn="0"/>
            <w:tcW w:w="2687" w:type="dxa"/>
            <w:vAlign w:val="bottom"/>
          </w:tcPr>
          <w:p w14:paraId="609C128D"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2020" w:type="dxa"/>
            <w:vAlign w:val="bottom"/>
          </w:tcPr>
          <w:p w14:paraId="5E808BE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2659" w:type="dxa"/>
            <w:vAlign w:val="bottom"/>
          </w:tcPr>
          <w:p w14:paraId="04831CB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1701" w:type="dxa"/>
            <w:vAlign w:val="center"/>
          </w:tcPr>
          <w:p w14:paraId="34F17A7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bl>
    <w:p w14:paraId="299814A2" w14:textId="77777777" w:rsidR="00114B00" w:rsidRDefault="00114B00">
      <w:pPr>
        <w:pBdr>
          <w:top w:val="nil"/>
          <w:left w:val="nil"/>
          <w:bottom w:val="nil"/>
          <w:right w:val="nil"/>
          <w:between w:val="nil"/>
        </w:pBdr>
        <w:shd w:val="clear" w:color="auto" w:fill="FFFFFF"/>
        <w:spacing w:before="280" w:after="280" w:line="276" w:lineRule="auto"/>
        <w:ind w:left="-142" w:right="139"/>
        <w:jc w:val="both"/>
        <w:rPr>
          <w:rFonts w:ascii="Open Sans Light" w:eastAsia="Open Sans Light" w:hAnsi="Open Sans Light" w:cs="Open Sans Light"/>
          <w:b/>
          <w:color w:val="303AB2"/>
          <w:sz w:val="28"/>
          <w:szCs w:val="28"/>
        </w:rPr>
      </w:pPr>
    </w:p>
    <w:p w14:paraId="01F6EF58" w14:textId="7B98A252" w:rsidR="00224F3B" w:rsidRDefault="00000000">
      <w:pPr>
        <w:pBdr>
          <w:top w:val="nil"/>
          <w:left w:val="nil"/>
          <w:bottom w:val="nil"/>
          <w:right w:val="nil"/>
          <w:between w:val="nil"/>
        </w:pBdr>
        <w:shd w:val="clear" w:color="auto" w:fill="FFFFFF"/>
        <w:spacing w:before="280" w:after="280" w:line="276" w:lineRule="auto"/>
        <w:ind w:left="-142" w:right="139"/>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Por municipios</w:t>
      </w:r>
    </w:p>
    <w:p w14:paraId="7948AD4D" w14:textId="77777777" w:rsidR="00224F3B" w:rsidRDefault="00000000">
      <w:pPr>
        <w:pBdr>
          <w:top w:val="nil"/>
          <w:left w:val="nil"/>
          <w:bottom w:val="nil"/>
          <w:right w:val="nil"/>
          <w:between w:val="nil"/>
        </w:pBdr>
        <w:shd w:val="clear" w:color="auto" w:fill="FFFFFF"/>
        <w:spacing w:before="280" w:after="280" w:line="276" w:lineRule="auto"/>
        <w:ind w:left="-142"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análisis de </w:t>
      </w:r>
      <w:hyperlink r:id="rId13">
        <w:r w:rsidR="00224F3B">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vemos que, al igual que las comunidades autónomas, en los municipios de España también la rentabilidad de la vivienda alquilada por habitaciones es muy superior a la rentabilidad de un alquiler convencional. En el caso de </w:t>
      </w:r>
      <w:r>
        <w:rPr>
          <w:rFonts w:ascii="Open Sans" w:eastAsia="Open Sans" w:hAnsi="Open Sans" w:cs="Open Sans"/>
          <w:b/>
          <w:color w:val="000000"/>
          <w:sz w:val="22"/>
          <w:szCs w:val="22"/>
        </w:rPr>
        <w:t>Ponferrada la diferencia entre una rentabilidad y otra alcanza los 3,7 puntos porcentuales, es decir, por el alquiler de una vivienda se saca 8,2% frente a la rentabilidad del 11,9%</w:t>
      </w:r>
      <w:r>
        <w:rPr>
          <w:rFonts w:ascii="Open Sans" w:eastAsia="Open Sans" w:hAnsi="Open Sans" w:cs="Open Sans"/>
          <w:color w:val="000000"/>
          <w:sz w:val="22"/>
          <w:szCs w:val="22"/>
        </w:rPr>
        <w:t xml:space="preserve"> que se saca por el alquiler de las habitaciones de esa misma vivienda.</w:t>
      </w:r>
    </w:p>
    <w:p w14:paraId="742D54DD" w14:textId="4D17920A" w:rsidR="00224F3B" w:rsidRDefault="00000000">
      <w:pPr>
        <w:pBdr>
          <w:top w:val="nil"/>
          <w:left w:val="nil"/>
          <w:bottom w:val="nil"/>
          <w:right w:val="nil"/>
          <w:between w:val="nil"/>
        </w:pBdr>
        <w:shd w:val="clear" w:color="auto" w:fill="FFFFFF"/>
        <w:spacing w:before="280" w:after="280" w:line="276" w:lineRule="auto"/>
        <w:ind w:left="-142"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w:t>
      </w:r>
      <w:r w:rsidRPr="00C74CEE">
        <w:rPr>
          <w:rFonts w:ascii="Open Sans" w:eastAsia="Open Sans" w:hAnsi="Open Sans" w:cs="Open Sans"/>
          <w:b/>
          <w:bCs/>
          <w:color w:val="000000"/>
          <w:sz w:val="22"/>
          <w:szCs w:val="22"/>
        </w:rPr>
        <w:t xml:space="preserve">el orden de las 10 ciudades con las máximas rentabilidades de las viviendas de alquiler por </w:t>
      </w:r>
      <w:r w:rsidRPr="00C74CEE">
        <w:rPr>
          <w:rFonts w:ascii="Open Sans" w:eastAsia="Open Sans" w:hAnsi="Open Sans" w:cs="Open Sans"/>
          <w:b/>
          <w:bCs/>
          <w:sz w:val="22"/>
          <w:szCs w:val="22"/>
        </w:rPr>
        <w:t>habitaciones e</w:t>
      </w:r>
      <w:r w:rsidR="00C74CEE">
        <w:rPr>
          <w:rFonts w:ascii="Open Sans" w:eastAsia="Open Sans" w:hAnsi="Open Sans" w:cs="Open Sans"/>
          <w:b/>
          <w:bCs/>
          <w:sz w:val="22"/>
          <w:szCs w:val="22"/>
        </w:rPr>
        <w:t>s</w:t>
      </w:r>
      <w:r>
        <w:rPr>
          <w:rFonts w:ascii="Open Sans" w:eastAsia="Open Sans" w:hAnsi="Open Sans" w:cs="Open Sans"/>
          <w:color w:val="000000"/>
          <w:sz w:val="22"/>
          <w:szCs w:val="22"/>
        </w:rPr>
        <w:t>: Ponferrada con 11,9% (8,2%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Talavera de la Reina con 11,5% (8,2%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Sueca con 11,1% (9,2%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Sagunto / Sagunt con 10,9% (8,1%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Ávila Capital con 9,7% (6,4%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Lleida Capital con 9,3%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L'Hospitalet de Llobregat con 9,2% (9,4%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Burjassot con 8,8% (6,5%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 Vicente del Raspeig / Sant Vicent del Raspeig con 8,8%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Moncada con 8,5% (6,9%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0A1D96CD" w14:textId="2ACFF04F" w:rsidR="00224F3B" w:rsidRDefault="00000000">
      <w:pPr>
        <w:pBdr>
          <w:top w:val="nil"/>
          <w:left w:val="nil"/>
          <w:bottom w:val="nil"/>
          <w:right w:val="nil"/>
          <w:between w:val="nil"/>
        </w:pBdr>
        <w:shd w:val="clear" w:color="auto" w:fill="FFFFFF"/>
        <w:spacing w:before="280" w:after="280" w:line="276" w:lineRule="auto"/>
        <w:ind w:left="-142" w:right="139"/>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w:t>
      </w:r>
      <w:r w:rsidRPr="00C74CEE">
        <w:rPr>
          <w:rFonts w:ascii="Open Sans" w:eastAsia="Open Sans" w:hAnsi="Open Sans" w:cs="Open Sans"/>
          <w:b/>
          <w:bCs/>
          <w:color w:val="000000"/>
          <w:sz w:val="22"/>
          <w:szCs w:val="22"/>
        </w:rPr>
        <w:t xml:space="preserve">el orden de las diez ciudades con las rentabilidades más bajas de las viviendas de alquiler por </w:t>
      </w:r>
      <w:r w:rsidRPr="00C74CEE">
        <w:rPr>
          <w:rFonts w:ascii="Open Sans" w:eastAsia="Open Sans" w:hAnsi="Open Sans" w:cs="Open Sans"/>
          <w:b/>
          <w:bCs/>
          <w:sz w:val="22"/>
          <w:szCs w:val="22"/>
        </w:rPr>
        <w:t xml:space="preserve">habitaciones </w:t>
      </w:r>
      <w:r w:rsidR="00C74CEE">
        <w:rPr>
          <w:rFonts w:ascii="Open Sans" w:eastAsia="Open Sans" w:hAnsi="Open Sans" w:cs="Open Sans"/>
          <w:b/>
          <w:bCs/>
          <w:sz w:val="22"/>
          <w:szCs w:val="22"/>
        </w:rPr>
        <w:t>es</w:t>
      </w:r>
      <w:r>
        <w:rPr>
          <w:rFonts w:ascii="Open Sans" w:eastAsia="Open Sans" w:hAnsi="Open Sans" w:cs="Open Sans"/>
          <w:color w:val="000000"/>
          <w:sz w:val="22"/>
          <w:szCs w:val="22"/>
        </w:rPr>
        <w:t>:</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Donostia - San Sebastián con 3,3% (3,3%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 Cugat del Vallès con 5,7% (3,4%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 Coruña Capital con 5,0% (4,2%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Granada Capital con 5,2% (4,2%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Capital con 4,6% (4,3%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Palma de Mallorca con 5,2% (4,4%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Pozuelo de Alarcón con 4,4% (4,4%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Santiago de Compostela con 5,6% (4,4%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Vigo con 5,7% (4,4%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Málaga Capital con 5,6% (4,5%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2C2EFB55" w14:textId="77777777" w:rsidR="00224F3B" w:rsidRDefault="00000000">
      <w:pPr>
        <w:pBdr>
          <w:top w:val="nil"/>
          <w:left w:val="nil"/>
          <w:bottom w:val="nil"/>
          <w:right w:val="nil"/>
          <w:between w:val="nil"/>
        </w:pBdr>
        <w:shd w:val="clear" w:color="auto" w:fill="FFFFFF"/>
        <w:spacing w:before="280" w:after="280" w:line="276" w:lineRule="auto"/>
        <w:ind w:right="139"/>
        <w:jc w:val="both"/>
        <w:rPr>
          <w:rFonts w:ascii="Open Sans" w:eastAsia="Open Sans" w:hAnsi="Open Sans" w:cs="Open Sans"/>
          <w:color w:val="000000"/>
          <w:sz w:val="20"/>
          <w:szCs w:val="20"/>
        </w:rPr>
      </w:pPr>
      <w:r>
        <w:rPr>
          <w:rFonts w:ascii="Open Sans Light" w:eastAsia="Open Sans Light" w:hAnsi="Open Sans Light" w:cs="Open Sans Light"/>
          <w:b/>
          <w:color w:val="303AB2"/>
          <w:u w:val="single"/>
        </w:rPr>
        <w:t>Tabla por municipios</w:t>
      </w:r>
      <w:r>
        <w:rPr>
          <w:rFonts w:ascii="Open Sans Light" w:eastAsia="Open Sans Light" w:hAnsi="Open Sans Light" w:cs="Open Sans Light"/>
          <w:b/>
          <w:color w:val="303AB2"/>
        </w:rPr>
        <w:t>: Rentabilidad de vivienda de 80 m</w:t>
      </w:r>
      <w:r>
        <w:rPr>
          <w:rFonts w:ascii="Open Sans Light" w:eastAsia="Open Sans Light" w:hAnsi="Open Sans Light" w:cs="Open Sans Light"/>
          <w:b/>
          <w:color w:val="303AB2"/>
          <w:vertAlign w:val="superscript"/>
        </w:rPr>
        <w:t>2</w:t>
      </w:r>
      <w:r>
        <w:rPr>
          <w:rFonts w:ascii="Open Sans Light" w:eastAsia="Open Sans Light" w:hAnsi="Open Sans Light" w:cs="Open Sans Light"/>
          <w:b/>
          <w:color w:val="303AB2"/>
        </w:rPr>
        <w:t xml:space="preserve"> completa vs alquiler de 3 habitaciones </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551"/>
        <w:gridCol w:w="1701"/>
        <w:gridCol w:w="1843"/>
        <w:gridCol w:w="1473"/>
      </w:tblGrid>
      <w:tr w:rsidR="00224F3B" w14:paraId="548A74CF" w14:textId="77777777" w:rsidTr="00224F3B">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tcBorders>
            <w:vAlign w:val="center"/>
          </w:tcPr>
          <w:p w14:paraId="216CC2F3" w14:textId="77777777" w:rsidR="00224F3B"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551" w:type="dxa"/>
            <w:tcBorders>
              <w:top w:val="nil"/>
            </w:tcBorders>
            <w:vAlign w:val="center"/>
          </w:tcPr>
          <w:p w14:paraId="647F9A4C" w14:textId="77777777" w:rsidR="00224F3B" w:rsidRPr="00266B40" w:rsidRDefault="00000000">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b w:val="0"/>
                <w:sz w:val="20"/>
                <w:szCs w:val="20"/>
              </w:rPr>
            </w:pPr>
            <w:r w:rsidRPr="00266B40">
              <w:rPr>
                <w:rFonts w:ascii="Open Sans" w:eastAsia="Open Sans" w:hAnsi="Open Sans" w:cs="Open Sans"/>
                <w:b w:val="0"/>
                <w:sz w:val="20"/>
                <w:szCs w:val="20"/>
              </w:rPr>
              <w:t>Municipio</w:t>
            </w:r>
          </w:p>
        </w:tc>
        <w:tc>
          <w:tcPr>
            <w:tcW w:w="1701" w:type="dxa"/>
            <w:tcBorders>
              <w:top w:val="nil"/>
            </w:tcBorders>
            <w:vAlign w:val="center"/>
          </w:tcPr>
          <w:p w14:paraId="0E4F5464"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Rentabilidad vivienda 80 m</w:t>
            </w:r>
            <w:r>
              <w:rPr>
                <w:rFonts w:ascii="Open Sans" w:eastAsia="Open Sans" w:hAnsi="Open Sans" w:cs="Open Sans"/>
                <w:b w:val="0"/>
                <w:sz w:val="20"/>
                <w:szCs w:val="20"/>
                <w:vertAlign w:val="superscript"/>
              </w:rPr>
              <w:t xml:space="preserve">2 </w:t>
            </w:r>
            <w:r>
              <w:rPr>
                <w:rFonts w:ascii="Open Sans" w:eastAsia="Open Sans" w:hAnsi="Open Sans" w:cs="Open Sans"/>
                <w:b w:val="0"/>
                <w:sz w:val="20"/>
                <w:szCs w:val="20"/>
              </w:rPr>
              <w:t>(sept-25)</w:t>
            </w:r>
          </w:p>
        </w:tc>
        <w:tc>
          <w:tcPr>
            <w:tcW w:w="1843" w:type="dxa"/>
            <w:tcBorders>
              <w:top w:val="nil"/>
            </w:tcBorders>
            <w:vAlign w:val="center"/>
          </w:tcPr>
          <w:p w14:paraId="146540B2"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sz w:val="20"/>
                <w:szCs w:val="20"/>
              </w:rPr>
            </w:pPr>
            <w:r>
              <w:rPr>
                <w:rFonts w:ascii="Open Sans" w:eastAsia="Open Sans" w:hAnsi="Open Sans" w:cs="Open Sans"/>
                <w:b w:val="0"/>
                <w:sz w:val="20"/>
                <w:szCs w:val="20"/>
              </w:rPr>
              <w:t>Rentabilidad de una vivenda compartida de 3 hab. (sept-25)</w:t>
            </w:r>
          </w:p>
        </w:tc>
        <w:tc>
          <w:tcPr>
            <w:tcW w:w="1473" w:type="dxa"/>
            <w:tcBorders>
              <w:top w:val="nil"/>
              <w:right w:val="nil"/>
            </w:tcBorders>
            <w:vAlign w:val="center"/>
          </w:tcPr>
          <w:p w14:paraId="0B6FA144" w14:textId="77777777" w:rsidR="00224F3B"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sz w:val="20"/>
                <w:szCs w:val="20"/>
              </w:rPr>
              <w:t>Diferencia punto porcentual</w:t>
            </w:r>
          </w:p>
        </w:tc>
      </w:tr>
      <w:tr w:rsidR="00224F3B" w14:paraId="786E8E34"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EB0117F"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León</w:t>
            </w:r>
          </w:p>
        </w:tc>
        <w:tc>
          <w:tcPr>
            <w:tcW w:w="2551" w:type="dxa"/>
            <w:vAlign w:val="bottom"/>
          </w:tcPr>
          <w:p w14:paraId="239C2F59"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Ponferrada</w:t>
            </w:r>
          </w:p>
        </w:tc>
        <w:tc>
          <w:tcPr>
            <w:tcW w:w="1701" w:type="dxa"/>
            <w:vAlign w:val="bottom"/>
          </w:tcPr>
          <w:p w14:paraId="39D126A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w:t>
            </w:r>
          </w:p>
        </w:tc>
        <w:tc>
          <w:tcPr>
            <w:tcW w:w="1843" w:type="dxa"/>
            <w:vAlign w:val="bottom"/>
          </w:tcPr>
          <w:p w14:paraId="27C391E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11,9%</w:t>
            </w:r>
          </w:p>
        </w:tc>
        <w:tc>
          <w:tcPr>
            <w:tcW w:w="1473" w:type="dxa"/>
            <w:vAlign w:val="center"/>
          </w:tcPr>
          <w:p w14:paraId="14C22E15"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3,7</w:t>
            </w:r>
          </w:p>
        </w:tc>
      </w:tr>
      <w:tr w:rsidR="00224F3B" w14:paraId="68349EC4"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4525208"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Toledo</w:t>
            </w:r>
          </w:p>
        </w:tc>
        <w:tc>
          <w:tcPr>
            <w:tcW w:w="2551" w:type="dxa"/>
            <w:vAlign w:val="bottom"/>
          </w:tcPr>
          <w:p w14:paraId="2521E189"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Talavera de la Reina</w:t>
            </w:r>
          </w:p>
        </w:tc>
        <w:tc>
          <w:tcPr>
            <w:tcW w:w="1701" w:type="dxa"/>
            <w:vAlign w:val="bottom"/>
          </w:tcPr>
          <w:p w14:paraId="1FD61C70"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w:t>
            </w:r>
          </w:p>
        </w:tc>
        <w:tc>
          <w:tcPr>
            <w:tcW w:w="1843" w:type="dxa"/>
            <w:vAlign w:val="bottom"/>
          </w:tcPr>
          <w:p w14:paraId="740DBC1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11,5%</w:t>
            </w:r>
          </w:p>
        </w:tc>
        <w:tc>
          <w:tcPr>
            <w:tcW w:w="1473" w:type="dxa"/>
            <w:vAlign w:val="center"/>
          </w:tcPr>
          <w:p w14:paraId="4DF5C28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3,4</w:t>
            </w:r>
          </w:p>
        </w:tc>
      </w:tr>
      <w:tr w:rsidR="00224F3B" w14:paraId="4DA5BD0F"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5BBAA5B"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4B834724"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Sueca</w:t>
            </w:r>
          </w:p>
        </w:tc>
        <w:tc>
          <w:tcPr>
            <w:tcW w:w="1701" w:type="dxa"/>
            <w:vAlign w:val="bottom"/>
          </w:tcPr>
          <w:p w14:paraId="064D010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9,2%</w:t>
            </w:r>
          </w:p>
        </w:tc>
        <w:tc>
          <w:tcPr>
            <w:tcW w:w="1843" w:type="dxa"/>
            <w:vAlign w:val="bottom"/>
          </w:tcPr>
          <w:p w14:paraId="532C3D6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11,1%</w:t>
            </w:r>
          </w:p>
        </w:tc>
        <w:tc>
          <w:tcPr>
            <w:tcW w:w="1473" w:type="dxa"/>
            <w:vAlign w:val="center"/>
          </w:tcPr>
          <w:p w14:paraId="633D9C65"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1,9</w:t>
            </w:r>
          </w:p>
        </w:tc>
      </w:tr>
      <w:tr w:rsidR="00224F3B" w14:paraId="04CCA7DA"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A52D7A4"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07279DB3"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Sagunto / Sagunt</w:t>
            </w:r>
          </w:p>
        </w:tc>
        <w:tc>
          <w:tcPr>
            <w:tcW w:w="1701" w:type="dxa"/>
            <w:vAlign w:val="bottom"/>
          </w:tcPr>
          <w:p w14:paraId="15D99DD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w:t>
            </w:r>
          </w:p>
        </w:tc>
        <w:tc>
          <w:tcPr>
            <w:tcW w:w="1843" w:type="dxa"/>
            <w:vAlign w:val="bottom"/>
          </w:tcPr>
          <w:p w14:paraId="588820D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10,9%</w:t>
            </w:r>
          </w:p>
        </w:tc>
        <w:tc>
          <w:tcPr>
            <w:tcW w:w="1473" w:type="dxa"/>
            <w:vAlign w:val="center"/>
          </w:tcPr>
          <w:p w14:paraId="7960774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2,8</w:t>
            </w:r>
          </w:p>
        </w:tc>
      </w:tr>
      <w:tr w:rsidR="00224F3B" w14:paraId="143CD060"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A500D91"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Ávila</w:t>
            </w:r>
          </w:p>
        </w:tc>
        <w:tc>
          <w:tcPr>
            <w:tcW w:w="2551" w:type="dxa"/>
            <w:vAlign w:val="bottom"/>
          </w:tcPr>
          <w:p w14:paraId="2C25566F"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Ávila Capital</w:t>
            </w:r>
          </w:p>
        </w:tc>
        <w:tc>
          <w:tcPr>
            <w:tcW w:w="1701" w:type="dxa"/>
            <w:vAlign w:val="bottom"/>
          </w:tcPr>
          <w:p w14:paraId="2F71A33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w:t>
            </w:r>
          </w:p>
        </w:tc>
        <w:tc>
          <w:tcPr>
            <w:tcW w:w="1843" w:type="dxa"/>
            <w:vAlign w:val="bottom"/>
          </w:tcPr>
          <w:p w14:paraId="3590168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9,7%</w:t>
            </w:r>
          </w:p>
        </w:tc>
        <w:tc>
          <w:tcPr>
            <w:tcW w:w="1473" w:type="dxa"/>
            <w:vAlign w:val="center"/>
          </w:tcPr>
          <w:p w14:paraId="73BC274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3,3</w:t>
            </w:r>
          </w:p>
        </w:tc>
      </w:tr>
      <w:tr w:rsidR="00224F3B" w14:paraId="016E51F9"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C12C239"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lastRenderedPageBreak/>
              <w:t>Lleida</w:t>
            </w:r>
          </w:p>
        </w:tc>
        <w:tc>
          <w:tcPr>
            <w:tcW w:w="2551" w:type="dxa"/>
            <w:vAlign w:val="bottom"/>
          </w:tcPr>
          <w:p w14:paraId="76B1EC41"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Lleida Capital</w:t>
            </w:r>
          </w:p>
        </w:tc>
        <w:tc>
          <w:tcPr>
            <w:tcW w:w="1701" w:type="dxa"/>
            <w:vAlign w:val="bottom"/>
          </w:tcPr>
          <w:p w14:paraId="22C17B04"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7399169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9,3%</w:t>
            </w:r>
          </w:p>
        </w:tc>
        <w:tc>
          <w:tcPr>
            <w:tcW w:w="1473" w:type="dxa"/>
            <w:vAlign w:val="center"/>
          </w:tcPr>
          <w:p w14:paraId="5304FD1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3,2</w:t>
            </w:r>
          </w:p>
        </w:tc>
      </w:tr>
      <w:tr w:rsidR="00224F3B" w14:paraId="06511CED"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04B5F2E"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668F1125"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L'Hospitalet de Llobregat</w:t>
            </w:r>
          </w:p>
        </w:tc>
        <w:tc>
          <w:tcPr>
            <w:tcW w:w="1701" w:type="dxa"/>
            <w:vAlign w:val="bottom"/>
          </w:tcPr>
          <w:p w14:paraId="1991AEF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9,4%</w:t>
            </w:r>
          </w:p>
        </w:tc>
        <w:tc>
          <w:tcPr>
            <w:tcW w:w="1843" w:type="dxa"/>
            <w:vAlign w:val="bottom"/>
          </w:tcPr>
          <w:p w14:paraId="04F1103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9,2%</w:t>
            </w:r>
          </w:p>
        </w:tc>
        <w:tc>
          <w:tcPr>
            <w:tcW w:w="1473" w:type="dxa"/>
            <w:vAlign w:val="center"/>
          </w:tcPr>
          <w:p w14:paraId="2F08F94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                         0,2</w:t>
            </w:r>
          </w:p>
        </w:tc>
      </w:tr>
      <w:tr w:rsidR="00224F3B" w14:paraId="6D38215D"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0CF5FA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5E9656CC"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Burjassot</w:t>
            </w:r>
          </w:p>
        </w:tc>
        <w:tc>
          <w:tcPr>
            <w:tcW w:w="1701" w:type="dxa"/>
            <w:vAlign w:val="bottom"/>
          </w:tcPr>
          <w:p w14:paraId="488CC02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w:t>
            </w:r>
          </w:p>
        </w:tc>
        <w:tc>
          <w:tcPr>
            <w:tcW w:w="1843" w:type="dxa"/>
            <w:vAlign w:val="bottom"/>
          </w:tcPr>
          <w:p w14:paraId="5AB37AA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8,8%</w:t>
            </w:r>
          </w:p>
        </w:tc>
        <w:tc>
          <w:tcPr>
            <w:tcW w:w="1473" w:type="dxa"/>
            <w:vAlign w:val="center"/>
          </w:tcPr>
          <w:p w14:paraId="3275D34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2,3</w:t>
            </w:r>
          </w:p>
        </w:tc>
      </w:tr>
      <w:tr w:rsidR="00224F3B" w14:paraId="7B2BDC6A"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D64D84F"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551" w:type="dxa"/>
            <w:vAlign w:val="bottom"/>
          </w:tcPr>
          <w:p w14:paraId="40CB1B5A"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 Vicente del Raspeig / Sant Vicent del Raspeig</w:t>
            </w:r>
          </w:p>
        </w:tc>
        <w:tc>
          <w:tcPr>
            <w:tcW w:w="1701" w:type="dxa"/>
            <w:vAlign w:val="bottom"/>
          </w:tcPr>
          <w:p w14:paraId="4AE51E9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52D2767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8,8%</w:t>
            </w:r>
          </w:p>
        </w:tc>
        <w:tc>
          <w:tcPr>
            <w:tcW w:w="1473" w:type="dxa"/>
            <w:vAlign w:val="center"/>
          </w:tcPr>
          <w:p w14:paraId="6F17B29B"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2,6</w:t>
            </w:r>
          </w:p>
        </w:tc>
      </w:tr>
      <w:tr w:rsidR="00224F3B" w14:paraId="37A8A66A"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CB3D54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7A0AE27B"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Moncada</w:t>
            </w:r>
          </w:p>
        </w:tc>
        <w:tc>
          <w:tcPr>
            <w:tcW w:w="1701" w:type="dxa"/>
            <w:vAlign w:val="bottom"/>
          </w:tcPr>
          <w:p w14:paraId="0E9F7E0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6,9%</w:t>
            </w:r>
          </w:p>
        </w:tc>
        <w:tc>
          <w:tcPr>
            <w:tcW w:w="1843" w:type="dxa"/>
            <w:vAlign w:val="bottom"/>
          </w:tcPr>
          <w:p w14:paraId="17B2710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8,5%</w:t>
            </w:r>
          </w:p>
        </w:tc>
        <w:tc>
          <w:tcPr>
            <w:tcW w:w="1473" w:type="dxa"/>
            <w:vAlign w:val="center"/>
          </w:tcPr>
          <w:p w14:paraId="33A763B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w:t>
            </w:r>
          </w:p>
        </w:tc>
      </w:tr>
      <w:tr w:rsidR="00224F3B" w14:paraId="0386EE2E"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C0508EC"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551" w:type="dxa"/>
            <w:vAlign w:val="bottom"/>
          </w:tcPr>
          <w:p w14:paraId="48342C76"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Alcoy / Alcoi</w:t>
            </w:r>
          </w:p>
        </w:tc>
        <w:tc>
          <w:tcPr>
            <w:tcW w:w="1701" w:type="dxa"/>
            <w:vAlign w:val="bottom"/>
          </w:tcPr>
          <w:p w14:paraId="149A85D5"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7,1%</w:t>
            </w:r>
          </w:p>
        </w:tc>
        <w:tc>
          <w:tcPr>
            <w:tcW w:w="1843" w:type="dxa"/>
            <w:vAlign w:val="bottom"/>
          </w:tcPr>
          <w:p w14:paraId="070D037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8,5%</w:t>
            </w:r>
          </w:p>
        </w:tc>
        <w:tc>
          <w:tcPr>
            <w:tcW w:w="1473" w:type="dxa"/>
            <w:vAlign w:val="center"/>
          </w:tcPr>
          <w:p w14:paraId="194B945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1,4</w:t>
            </w:r>
          </w:p>
        </w:tc>
      </w:tr>
      <w:tr w:rsidR="00224F3B" w14:paraId="1EC49457"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A6C1800"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4FE1A82B"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Paterna</w:t>
            </w:r>
          </w:p>
        </w:tc>
        <w:tc>
          <w:tcPr>
            <w:tcW w:w="1701" w:type="dxa"/>
            <w:vAlign w:val="bottom"/>
          </w:tcPr>
          <w:p w14:paraId="1EFD503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6,6%</w:t>
            </w:r>
          </w:p>
        </w:tc>
        <w:tc>
          <w:tcPr>
            <w:tcW w:w="1843" w:type="dxa"/>
            <w:vAlign w:val="bottom"/>
          </w:tcPr>
          <w:p w14:paraId="76FC0D1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8,2%</w:t>
            </w:r>
          </w:p>
        </w:tc>
        <w:tc>
          <w:tcPr>
            <w:tcW w:w="1473" w:type="dxa"/>
            <w:vAlign w:val="center"/>
          </w:tcPr>
          <w:p w14:paraId="3E8F693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w:t>
            </w:r>
          </w:p>
        </w:tc>
      </w:tr>
      <w:tr w:rsidR="00224F3B" w14:paraId="0FC10742"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67B7EE8"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7AC0780C"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Badalona</w:t>
            </w:r>
          </w:p>
        </w:tc>
        <w:tc>
          <w:tcPr>
            <w:tcW w:w="1701" w:type="dxa"/>
            <w:vAlign w:val="bottom"/>
          </w:tcPr>
          <w:p w14:paraId="44CA689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w:t>
            </w:r>
          </w:p>
        </w:tc>
        <w:tc>
          <w:tcPr>
            <w:tcW w:w="1843" w:type="dxa"/>
            <w:vAlign w:val="bottom"/>
          </w:tcPr>
          <w:p w14:paraId="241BF31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w:t>
            </w:r>
          </w:p>
        </w:tc>
        <w:tc>
          <w:tcPr>
            <w:tcW w:w="1473" w:type="dxa"/>
            <w:vAlign w:val="center"/>
          </w:tcPr>
          <w:p w14:paraId="5F4907E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                         0,0</w:t>
            </w:r>
          </w:p>
        </w:tc>
      </w:tr>
      <w:tr w:rsidR="00224F3B" w14:paraId="6ADD46A9"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B401663"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64A7C2A2"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El Prat de Llobregat</w:t>
            </w:r>
          </w:p>
        </w:tc>
        <w:tc>
          <w:tcPr>
            <w:tcW w:w="1701" w:type="dxa"/>
            <w:vAlign w:val="bottom"/>
          </w:tcPr>
          <w:p w14:paraId="12E2A5A2" w14:textId="77777777" w:rsidR="00224F3B" w:rsidRDefault="00224F3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843" w:type="dxa"/>
            <w:vAlign w:val="bottom"/>
          </w:tcPr>
          <w:p w14:paraId="1BF8F71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w:t>
            </w:r>
          </w:p>
        </w:tc>
        <w:tc>
          <w:tcPr>
            <w:tcW w:w="1473" w:type="dxa"/>
            <w:vAlign w:val="center"/>
          </w:tcPr>
          <w:p w14:paraId="392C12E2"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8,1</w:t>
            </w:r>
          </w:p>
        </w:tc>
      </w:tr>
      <w:tr w:rsidR="00224F3B" w14:paraId="7FF369E0"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5ECA413"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Almería</w:t>
            </w:r>
          </w:p>
        </w:tc>
        <w:tc>
          <w:tcPr>
            <w:tcW w:w="2551" w:type="dxa"/>
            <w:vAlign w:val="bottom"/>
          </w:tcPr>
          <w:p w14:paraId="225F4F49"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Almería Capital</w:t>
            </w:r>
          </w:p>
        </w:tc>
        <w:tc>
          <w:tcPr>
            <w:tcW w:w="1701" w:type="dxa"/>
            <w:vAlign w:val="bottom"/>
          </w:tcPr>
          <w:p w14:paraId="3D7169F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w:t>
            </w:r>
          </w:p>
        </w:tc>
        <w:tc>
          <w:tcPr>
            <w:tcW w:w="1843" w:type="dxa"/>
            <w:vAlign w:val="bottom"/>
          </w:tcPr>
          <w:p w14:paraId="42FA859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8,0%</w:t>
            </w:r>
          </w:p>
        </w:tc>
        <w:tc>
          <w:tcPr>
            <w:tcW w:w="1473" w:type="dxa"/>
            <w:vAlign w:val="center"/>
          </w:tcPr>
          <w:p w14:paraId="1FE3C46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w:t>
            </w:r>
          </w:p>
        </w:tc>
      </w:tr>
      <w:tr w:rsidR="00224F3B" w14:paraId="2D8B4B78"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831C63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Sevilla</w:t>
            </w:r>
          </w:p>
        </w:tc>
        <w:tc>
          <w:tcPr>
            <w:tcW w:w="2551" w:type="dxa"/>
            <w:vAlign w:val="bottom"/>
          </w:tcPr>
          <w:p w14:paraId="688EE268"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Sevilla Capital</w:t>
            </w:r>
          </w:p>
        </w:tc>
        <w:tc>
          <w:tcPr>
            <w:tcW w:w="1701" w:type="dxa"/>
            <w:vAlign w:val="bottom"/>
          </w:tcPr>
          <w:p w14:paraId="4C909E3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6312E6D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7,9%</w:t>
            </w:r>
          </w:p>
        </w:tc>
        <w:tc>
          <w:tcPr>
            <w:tcW w:w="1473" w:type="dxa"/>
            <w:vAlign w:val="center"/>
          </w:tcPr>
          <w:p w14:paraId="672FBDA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1,7</w:t>
            </w:r>
          </w:p>
        </w:tc>
      </w:tr>
      <w:tr w:rsidR="00224F3B" w14:paraId="6F99A18D"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3DAFCFB"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Murcia</w:t>
            </w:r>
          </w:p>
        </w:tc>
        <w:tc>
          <w:tcPr>
            <w:tcW w:w="2551" w:type="dxa"/>
            <w:vAlign w:val="bottom"/>
          </w:tcPr>
          <w:p w14:paraId="1328007A"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Cartagena</w:t>
            </w:r>
          </w:p>
        </w:tc>
        <w:tc>
          <w:tcPr>
            <w:tcW w:w="1701" w:type="dxa"/>
            <w:vAlign w:val="bottom"/>
          </w:tcPr>
          <w:p w14:paraId="00A7134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249A4A4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w:t>
            </w:r>
          </w:p>
        </w:tc>
        <w:tc>
          <w:tcPr>
            <w:tcW w:w="1473" w:type="dxa"/>
            <w:vAlign w:val="center"/>
          </w:tcPr>
          <w:p w14:paraId="4E2153D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w:t>
            </w:r>
          </w:p>
        </w:tc>
      </w:tr>
      <w:tr w:rsidR="00224F3B" w14:paraId="081A1176"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3D782EC"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Santa Cruz de Tenerife</w:t>
            </w:r>
          </w:p>
        </w:tc>
        <w:tc>
          <w:tcPr>
            <w:tcW w:w="2551" w:type="dxa"/>
            <w:vAlign w:val="bottom"/>
          </w:tcPr>
          <w:p w14:paraId="2DC69CBC"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Santa Cruz de Tenerife Capital</w:t>
            </w:r>
          </w:p>
        </w:tc>
        <w:tc>
          <w:tcPr>
            <w:tcW w:w="1701" w:type="dxa"/>
            <w:vAlign w:val="bottom"/>
          </w:tcPr>
          <w:p w14:paraId="37779BA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843" w:type="dxa"/>
            <w:vAlign w:val="bottom"/>
          </w:tcPr>
          <w:p w14:paraId="029B6130"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w:t>
            </w:r>
          </w:p>
        </w:tc>
        <w:tc>
          <w:tcPr>
            <w:tcW w:w="1473" w:type="dxa"/>
            <w:vAlign w:val="center"/>
          </w:tcPr>
          <w:p w14:paraId="1DEC2A2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2,1</w:t>
            </w:r>
          </w:p>
        </w:tc>
      </w:tr>
      <w:tr w:rsidR="00224F3B" w14:paraId="327105A0"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B1C8693"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Murcia</w:t>
            </w:r>
          </w:p>
        </w:tc>
        <w:tc>
          <w:tcPr>
            <w:tcW w:w="2551" w:type="dxa"/>
            <w:vAlign w:val="bottom"/>
          </w:tcPr>
          <w:p w14:paraId="4063A3C6"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Murcia Capital</w:t>
            </w:r>
          </w:p>
        </w:tc>
        <w:tc>
          <w:tcPr>
            <w:tcW w:w="1701" w:type="dxa"/>
            <w:vAlign w:val="bottom"/>
          </w:tcPr>
          <w:p w14:paraId="498EABD6"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0163007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7,8%</w:t>
            </w:r>
          </w:p>
        </w:tc>
        <w:tc>
          <w:tcPr>
            <w:tcW w:w="1473" w:type="dxa"/>
            <w:vAlign w:val="center"/>
          </w:tcPr>
          <w:p w14:paraId="4E15B94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1,6</w:t>
            </w:r>
          </w:p>
        </w:tc>
      </w:tr>
      <w:tr w:rsidR="00224F3B" w14:paraId="032FF21D"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4F1989A"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Bizkaia</w:t>
            </w:r>
          </w:p>
        </w:tc>
        <w:tc>
          <w:tcPr>
            <w:tcW w:w="2551" w:type="dxa"/>
            <w:vAlign w:val="bottom"/>
          </w:tcPr>
          <w:p w14:paraId="33781EBE"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Bilbao</w:t>
            </w:r>
          </w:p>
        </w:tc>
        <w:tc>
          <w:tcPr>
            <w:tcW w:w="1701" w:type="dxa"/>
            <w:vAlign w:val="bottom"/>
          </w:tcPr>
          <w:p w14:paraId="22402DD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w:t>
            </w:r>
          </w:p>
        </w:tc>
        <w:tc>
          <w:tcPr>
            <w:tcW w:w="1843" w:type="dxa"/>
            <w:vAlign w:val="bottom"/>
          </w:tcPr>
          <w:p w14:paraId="132BBAF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7,7%</w:t>
            </w:r>
          </w:p>
        </w:tc>
        <w:tc>
          <w:tcPr>
            <w:tcW w:w="1473" w:type="dxa"/>
            <w:vAlign w:val="center"/>
          </w:tcPr>
          <w:p w14:paraId="0FB08D7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2,6</w:t>
            </w:r>
          </w:p>
        </w:tc>
      </w:tr>
      <w:tr w:rsidR="00224F3B" w14:paraId="21107ED8"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167FAE1"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Cádiz</w:t>
            </w:r>
          </w:p>
        </w:tc>
        <w:tc>
          <w:tcPr>
            <w:tcW w:w="2551" w:type="dxa"/>
            <w:vAlign w:val="bottom"/>
          </w:tcPr>
          <w:p w14:paraId="6D107A5B"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Jerez de la Frontera</w:t>
            </w:r>
          </w:p>
        </w:tc>
        <w:tc>
          <w:tcPr>
            <w:tcW w:w="1701" w:type="dxa"/>
            <w:vAlign w:val="bottom"/>
          </w:tcPr>
          <w:p w14:paraId="2C32E62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6,4%</w:t>
            </w:r>
          </w:p>
        </w:tc>
        <w:tc>
          <w:tcPr>
            <w:tcW w:w="1843" w:type="dxa"/>
            <w:vAlign w:val="bottom"/>
          </w:tcPr>
          <w:p w14:paraId="37B33736"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w:t>
            </w:r>
          </w:p>
        </w:tc>
        <w:tc>
          <w:tcPr>
            <w:tcW w:w="1473" w:type="dxa"/>
            <w:vAlign w:val="center"/>
          </w:tcPr>
          <w:p w14:paraId="7159E76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w:t>
            </w:r>
          </w:p>
        </w:tc>
      </w:tr>
      <w:tr w:rsidR="00224F3B" w14:paraId="0114AF11"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0DEDF24"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Cáceres</w:t>
            </w:r>
          </w:p>
        </w:tc>
        <w:tc>
          <w:tcPr>
            <w:tcW w:w="2551" w:type="dxa"/>
            <w:vAlign w:val="bottom"/>
          </w:tcPr>
          <w:p w14:paraId="5123242B"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Cáceres Capital</w:t>
            </w:r>
          </w:p>
        </w:tc>
        <w:tc>
          <w:tcPr>
            <w:tcW w:w="1701" w:type="dxa"/>
            <w:vAlign w:val="bottom"/>
          </w:tcPr>
          <w:p w14:paraId="4C2F796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843" w:type="dxa"/>
            <w:vAlign w:val="bottom"/>
          </w:tcPr>
          <w:p w14:paraId="545096C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7,5%</w:t>
            </w:r>
          </w:p>
        </w:tc>
        <w:tc>
          <w:tcPr>
            <w:tcW w:w="1473" w:type="dxa"/>
            <w:vAlign w:val="center"/>
          </w:tcPr>
          <w:p w14:paraId="32B5BCB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w:t>
            </w:r>
          </w:p>
        </w:tc>
      </w:tr>
      <w:tr w:rsidR="00224F3B" w14:paraId="62F7A9DA"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18CCDB6"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61BC6AE0"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Fuenlabrada</w:t>
            </w:r>
          </w:p>
        </w:tc>
        <w:tc>
          <w:tcPr>
            <w:tcW w:w="1701" w:type="dxa"/>
            <w:vAlign w:val="bottom"/>
          </w:tcPr>
          <w:p w14:paraId="145CFBB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7,1%</w:t>
            </w:r>
          </w:p>
        </w:tc>
        <w:tc>
          <w:tcPr>
            <w:tcW w:w="1843" w:type="dxa"/>
            <w:vAlign w:val="bottom"/>
          </w:tcPr>
          <w:p w14:paraId="4E315FA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572FE1D6"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0,3</w:t>
            </w:r>
          </w:p>
        </w:tc>
      </w:tr>
      <w:tr w:rsidR="00224F3B" w14:paraId="0CC5516D"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23C0B9A"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Castellón</w:t>
            </w:r>
          </w:p>
        </w:tc>
        <w:tc>
          <w:tcPr>
            <w:tcW w:w="2551" w:type="dxa"/>
            <w:vAlign w:val="bottom"/>
          </w:tcPr>
          <w:p w14:paraId="6495F300"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Castellón de la Plana / Castelló de la Plana</w:t>
            </w:r>
          </w:p>
        </w:tc>
        <w:tc>
          <w:tcPr>
            <w:tcW w:w="1701" w:type="dxa"/>
            <w:vAlign w:val="bottom"/>
          </w:tcPr>
          <w:p w14:paraId="679841F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6,0%</w:t>
            </w:r>
          </w:p>
        </w:tc>
        <w:tc>
          <w:tcPr>
            <w:tcW w:w="1843" w:type="dxa"/>
            <w:vAlign w:val="bottom"/>
          </w:tcPr>
          <w:p w14:paraId="5727309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1580E45C"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1,5</w:t>
            </w:r>
          </w:p>
        </w:tc>
      </w:tr>
      <w:tr w:rsidR="00224F3B" w14:paraId="69E20FC9"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8D17853"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6701C4B1"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Cerdanyola del Vallès</w:t>
            </w:r>
          </w:p>
        </w:tc>
        <w:tc>
          <w:tcPr>
            <w:tcW w:w="1701" w:type="dxa"/>
            <w:vAlign w:val="bottom"/>
          </w:tcPr>
          <w:p w14:paraId="49E3B18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4,8%</w:t>
            </w:r>
          </w:p>
        </w:tc>
        <w:tc>
          <w:tcPr>
            <w:tcW w:w="1843" w:type="dxa"/>
            <w:vAlign w:val="bottom"/>
          </w:tcPr>
          <w:p w14:paraId="3F1DC80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7490964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2,6</w:t>
            </w:r>
          </w:p>
        </w:tc>
      </w:tr>
      <w:tr w:rsidR="00224F3B" w14:paraId="4750249D"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08484B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Alicante</w:t>
            </w:r>
          </w:p>
        </w:tc>
        <w:tc>
          <w:tcPr>
            <w:tcW w:w="2551" w:type="dxa"/>
            <w:vAlign w:val="bottom"/>
          </w:tcPr>
          <w:p w14:paraId="16E4FDA9"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Elche / Elx</w:t>
            </w:r>
          </w:p>
        </w:tc>
        <w:tc>
          <w:tcPr>
            <w:tcW w:w="1701" w:type="dxa"/>
            <w:vAlign w:val="bottom"/>
          </w:tcPr>
          <w:p w14:paraId="69E3FC4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843" w:type="dxa"/>
            <w:vAlign w:val="bottom"/>
          </w:tcPr>
          <w:p w14:paraId="6A533A37"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7,4%</w:t>
            </w:r>
          </w:p>
        </w:tc>
        <w:tc>
          <w:tcPr>
            <w:tcW w:w="1473" w:type="dxa"/>
            <w:vAlign w:val="center"/>
          </w:tcPr>
          <w:p w14:paraId="15ED2FD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w:t>
            </w:r>
          </w:p>
        </w:tc>
      </w:tr>
      <w:tr w:rsidR="00224F3B" w14:paraId="5632737B"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8998402"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646A2CEC"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Getafe</w:t>
            </w:r>
          </w:p>
        </w:tc>
        <w:tc>
          <w:tcPr>
            <w:tcW w:w="1701" w:type="dxa"/>
            <w:vAlign w:val="bottom"/>
          </w:tcPr>
          <w:p w14:paraId="584A3EA9"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6,5%</w:t>
            </w:r>
          </w:p>
        </w:tc>
        <w:tc>
          <w:tcPr>
            <w:tcW w:w="1843" w:type="dxa"/>
            <w:vAlign w:val="bottom"/>
          </w:tcPr>
          <w:p w14:paraId="3352CCE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w:t>
            </w:r>
          </w:p>
        </w:tc>
        <w:tc>
          <w:tcPr>
            <w:tcW w:w="1473" w:type="dxa"/>
            <w:vAlign w:val="center"/>
          </w:tcPr>
          <w:p w14:paraId="0A8CCA1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0,8</w:t>
            </w:r>
          </w:p>
        </w:tc>
      </w:tr>
      <w:tr w:rsidR="00224F3B" w14:paraId="349C01D1"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8851152"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Navarra</w:t>
            </w:r>
          </w:p>
        </w:tc>
        <w:tc>
          <w:tcPr>
            <w:tcW w:w="2551" w:type="dxa"/>
            <w:vAlign w:val="bottom"/>
          </w:tcPr>
          <w:p w14:paraId="53F6563F"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Pamplona / Iruña</w:t>
            </w:r>
          </w:p>
        </w:tc>
        <w:tc>
          <w:tcPr>
            <w:tcW w:w="1701" w:type="dxa"/>
            <w:vAlign w:val="bottom"/>
          </w:tcPr>
          <w:p w14:paraId="2C57987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4,9%</w:t>
            </w:r>
          </w:p>
        </w:tc>
        <w:tc>
          <w:tcPr>
            <w:tcW w:w="1843" w:type="dxa"/>
            <w:vAlign w:val="bottom"/>
          </w:tcPr>
          <w:p w14:paraId="3780BE1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w:t>
            </w:r>
          </w:p>
        </w:tc>
        <w:tc>
          <w:tcPr>
            <w:tcW w:w="1473" w:type="dxa"/>
            <w:vAlign w:val="center"/>
          </w:tcPr>
          <w:p w14:paraId="610915F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2,5</w:t>
            </w:r>
          </w:p>
        </w:tc>
      </w:tr>
      <w:tr w:rsidR="00224F3B" w14:paraId="0DD64356"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FFE7009"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Valladolid</w:t>
            </w:r>
          </w:p>
        </w:tc>
        <w:tc>
          <w:tcPr>
            <w:tcW w:w="2551" w:type="dxa"/>
            <w:vAlign w:val="bottom"/>
          </w:tcPr>
          <w:p w14:paraId="3F1D038E"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Valladolid Capital</w:t>
            </w:r>
          </w:p>
        </w:tc>
        <w:tc>
          <w:tcPr>
            <w:tcW w:w="1701" w:type="dxa"/>
            <w:vAlign w:val="bottom"/>
          </w:tcPr>
          <w:p w14:paraId="571E22D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5,5%</w:t>
            </w:r>
          </w:p>
        </w:tc>
        <w:tc>
          <w:tcPr>
            <w:tcW w:w="1843" w:type="dxa"/>
            <w:vAlign w:val="bottom"/>
          </w:tcPr>
          <w:p w14:paraId="3A2BA48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w:t>
            </w:r>
          </w:p>
        </w:tc>
        <w:tc>
          <w:tcPr>
            <w:tcW w:w="1473" w:type="dxa"/>
            <w:vAlign w:val="center"/>
          </w:tcPr>
          <w:p w14:paraId="375332F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w:t>
            </w:r>
          </w:p>
        </w:tc>
      </w:tr>
      <w:tr w:rsidR="00224F3B" w14:paraId="5C27F120"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FE1F06A"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49D0F8DC"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Leganés</w:t>
            </w:r>
          </w:p>
        </w:tc>
        <w:tc>
          <w:tcPr>
            <w:tcW w:w="1701" w:type="dxa"/>
            <w:vAlign w:val="bottom"/>
          </w:tcPr>
          <w:p w14:paraId="70E7EE8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7,0%</w:t>
            </w:r>
          </w:p>
        </w:tc>
        <w:tc>
          <w:tcPr>
            <w:tcW w:w="1843" w:type="dxa"/>
            <w:vAlign w:val="bottom"/>
          </w:tcPr>
          <w:p w14:paraId="0CB7A73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w:t>
            </w:r>
          </w:p>
        </w:tc>
        <w:tc>
          <w:tcPr>
            <w:tcW w:w="1473" w:type="dxa"/>
            <w:vAlign w:val="center"/>
          </w:tcPr>
          <w:p w14:paraId="7C97872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0,3</w:t>
            </w:r>
          </w:p>
        </w:tc>
      </w:tr>
      <w:tr w:rsidR="00224F3B" w14:paraId="68A73EF9"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35A4773"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Jaén</w:t>
            </w:r>
          </w:p>
        </w:tc>
        <w:tc>
          <w:tcPr>
            <w:tcW w:w="2551" w:type="dxa"/>
            <w:vAlign w:val="bottom"/>
          </w:tcPr>
          <w:p w14:paraId="3973ACB1"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Jaén Capital</w:t>
            </w:r>
          </w:p>
        </w:tc>
        <w:tc>
          <w:tcPr>
            <w:tcW w:w="1701" w:type="dxa"/>
            <w:vAlign w:val="bottom"/>
          </w:tcPr>
          <w:p w14:paraId="25B4D8B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5,4%</w:t>
            </w:r>
          </w:p>
        </w:tc>
        <w:tc>
          <w:tcPr>
            <w:tcW w:w="1843" w:type="dxa"/>
            <w:vAlign w:val="bottom"/>
          </w:tcPr>
          <w:p w14:paraId="25E9E8B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7,3%</w:t>
            </w:r>
          </w:p>
        </w:tc>
        <w:tc>
          <w:tcPr>
            <w:tcW w:w="1473" w:type="dxa"/>
            <w:vAlign w:val="center"/>
          </w:tcPr>
          <w:p w14:paraId="1990F22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1,8</w:t>
            </w:r>
          </w:p>
        </w:tc>
      </w:tr>
      <w:tr w:rsidR="00224F3B" w14:paraId="1D307463"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327D11D"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598E2CA3"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701" w:type="dxa"/>
            <w:vAlign w:val="bottom"/>
          </w:tcPr>
          <w:p w14:paraId="3E5340A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1AE445E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c>
          <w:tcPr>
            <w:tcW w:w="1473" w:type="dxa"/>
            <w:vAlign w:val="center"/>
          </w:tcPr>
          <w:p w14:paraId="425A4C5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224F3B" w14:paraId="5B36D34C"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6EDC351"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4A6AF3F6"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701" w:type="dxa"/>
            <w:vAlign w:val="bottom"/>
          </w:tcPr>
          <w:p w14:paraId="041DEFA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843" w:type="dxa"/>
            <w:vAlign w:val="bottom"/>
          </w:tcPr>
          <w:p w14:paraId="0B806205"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73" w:type="dxa"/>
            <w:vAlign w:val="center"/>
          </w:tcPr>
          <w:p w14:paraId="573D06B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224F3B" w14:paraId="342EB811"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154F561"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551" w:type="dxa"/>
            <w:vAlign w:val="bottom"/>
          </w:tcPr>
          <w:p w14:paraId="13568439"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701" w:type="dxa"/>
            <w:vAlign w:val="bottom"/>
          </w:tcPr>
          <w:p w14:paraId="791B4D74"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843" w:type="dxa"/>
            <w:vAlign w:val="bottom"/>
          </w:tcPr>
          <w:p w14:paraId="277757AC"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473" w:type="dxa"/>
            <w:vAlign w:val="center"/>
          </w:tcPr>
          <w:p w14:paraId="286B372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224F3B" w14:paraId="39633E69"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F583E29"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7755B0DD"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701" w:type="dxa"/>
            <w:vAlign w:val="bottom"/>
          </w:tcPr>
          <w:p w14:paraId="2D6F05C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843" w:type="dxa"/>
            <w:vAlign w:val="bottom"/>
          </w:tcPr>
          <w:p w14:paraId="173E3229"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73" w:type="dxa"/>
            <w:vAlign w:val="center"/>
          </w:tcPr>
          <w:p w14:paraId="48171A9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r>
      <w:tr w:rsidR="00224F3B" w14:paraId="78D8BE3B"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F5E2726"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4A10B0F3"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701" w:type="dxa"/>
            <w:vAlign w:val="bottom"/>
          </w:tcPr>
          <w:p w14:paraId="7D613370"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14FF55B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73" w:type="dxa"/>
            <w:vAlign w:val="center"/>
          </w:tcPr>
          <w:p w14:paraId="2288E57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224F3B" w14:paraId="2E46EB57"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E06C4C3"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54B732E6"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701" w:type="dxa"/>
            <w:vAlign w:val="bottom"/>
          </w:tcPr>
          <w:p w14:paraId="1328750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1843" w:type="dxa"/>
            <w:vAlign w:val="bottom"/>
          </w:tcPr>
          <w:p w14:paraId="121E4E5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73" w:type="dxa"/>
            <w:vAlign w:val="center"/>
          </w:tcPr>
          <w:p w14:paraId="2FB0D77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224F3B" w14:paraId="038EF8CA"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1BF2CCA"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4E262676"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701" w:type="dxa"/>
            <w:vAlign w:val="bottom"/>
          </w:tcPr>
          <w:p w14:paraId="289E580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843" w:type="dxa"/>
            <w:vAlign w:val="bottom"/>
          </w:tcPr>
          <w:p w14:paraId="5DA4ED1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1473" w:type="dxa"/>
            <w:vAlign w:val="center"/>
          </w:tcPr>
          <w:p w14:paraId="1B28B40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224F3B" w14:paraId="1AE5839D"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EEB101D"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3AD5DAE3"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701" w:type="dxa"/>
            <w:vAlign w:val="bottom"/>
          </w:tcPr>
          <w:p w14:paraId="393B12B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843" w:type="dxa"/>
            <w:vAlign w:val="bottom"/>
          </w:tcPr>
          <w:p w14:paraId="2A494DD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1473" w:type="dxa"/>
            <w:vAlign w:val="center"/>
          </w:tcPr>
          <w:p w14:paraId="593D2C9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r>
      <w:tr w:rsidR="00224F3B" w14:paraId="7F8FCA60"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1F6EC2F"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28CFB239"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701" w:type="dxa"/>
            <w:vAlign w:val="bottom"/>
          </w:tcPr>
          <w:p w14:paraId="42F504F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843" w:type="dxa"/>
            <w:vAlign w:val="bottom"/>
          </w:tcPr>
          <w:p w14:paraId="4CCBF31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473" w:type="dxa"/>
            <w:vAlign w:val="center"/>
          </w:tcPr>
          <w:p w14:paraId="473962C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224F3B" w14:paraId="2E28298E"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A53D3C3"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0CEFC8AB"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701" w:type="dxa"/>
            <w:vAlign w:val="bottom"/>
          </w:tcPr>
          <w:p w14:paraId="65F2000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0FF786A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73" w:type="dxa"/>
            <w:vAlign w:val="center"/>
          </w:tcPr>
          <w:p w14:paraId="25F4748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r>
      <w:tr w:rsidR="00224F3B" w14:paraId="79A42694"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5CEE861"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7DB5A920"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701" w:type="dxa"/>
            <w:vAlign w:val="bottom"/>
          </w:tcPr>
          <w:p w14:paraId="3D26334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843" w:type="dxa"/>
            <w:vAlign w:val="bottom"/>
          </w:tcPr>
          <w:p w14:paraId="7D8AE26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473" w:type="dxa"/>
            <w:vAlign w:val="center"/>
          </w:tcPr>
          <w:p w14:paraId="541D0DB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224F3B" w14:paraId="459E96ED"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968FAB2"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51" w:type="dxa"/>
            <w:vAlign w:val="bottom"/>
          </w:tcPr>
          <w:p w14:paraId="3B664D1D"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701" w:type="dxa"/>
            <w:vAlign w:val="bottom"/>
          </w:tcPr>
          <w:p w14:paraId="5EA9323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1843" w:type="dxa"/>
            <w:vAlign w:val="bottom"/>
          </w:tcPr>
          <w:p w14:paraId="1BF767C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73" w:type="dxa"/>
            <w:vAlign w:val="center"/>
          </w:tcPr>
          <w:p w14:paraId="7D551F4C"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224F3B" w14:paraId="2BBA1520"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010E6B9"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Córdoba</w:t>
            </w:r>
          </w:p>
        </w:tc>
        <w:tc>
          <w:tcPr>
            <w:tcW w:w="2551" w:type="dxa"/>
            <w:vAlign w:val="bottom"/>
          </w:tcPr>
          <w:p w14:paraId="5370453C"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701" w:type="dxa"/>
            <w:vAlign w:val="bottom"/>
          </w:tcPr>
          <w:p w14:paraId="151CFCB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843" w:type="dxa"/>
            <w:vAlign w:val="bottom"/>
          </w:tcPr>
          <w:p w14:paraId="1417E43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1473" w:type="dxa"/>
            <w:vAlign w:val="center"/>
          </w:tcPr>
          <w:p w14:paraId="739B668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224F3B" w14:paraId="63FE2D9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CC947AA"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70CF12D5"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701" w:type="dxa"/>
            <w:vAlign w:val="bottom"/>
          </w:tcPr>
          <w:p w14:paraId="5312598F" w14:textId="77777777" w:rsidR="00224F3B" w:rsidRDefault="00224F3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843" w:type="dxa"/>
            <w:vAlign w:val="bottom"/>
          </w:tcPr>
          <w:p w14:paraId="0202973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1473" w:type="dxa"/>
            <w:vAlign w:val="center"/>
          </w:tcPr>
          <w:p w14:paraId="38710CA0"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w:t>
            </w:r>
          </w:p>
        </w:tc>
      </w:tr>
      <w:tr w:rsidR="00224F3B" w14:paraId="25FB9EB4"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927038C"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58BFCC9A"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701" w:type="dxa"/>
            <w:vAlign w:val="bottom"/>
          </w:tcPr>
          <w:p w14:paraId="5119195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843" w:type="dxa"/>
            <w:vAlign w:val="bottom"/>
          </w:tcPr>
          <w:p w14:paraId="4AEF1AC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73" w:type="dxa"/>
            <w:vAlign w:val="center"/>
          </w:tcPr>
          <w:p w14:paraId="51E3A9F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224F3B" w14:paraId="4B2096B5"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104278C" w14:textId="77777777" w:rsidR="00224F3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576DFCA0"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701" w:type="dxa"/>
            <w:vAlign w:val="bottom"/>
          </w:tcPr>
          <w:p w14:paraId="31816D0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843" w:type="dxa"/>
            <w:vAlign w:val="bottom"/>
          </w:tcPr>
          <w:p w14:paraId="4D3F81E6"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473" w:type="dxa"/>
            <w:vAlign w:val="center"/>
          </w:tcPr>
          <w:p w14:paraId="186739C9"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224F3B" w14:paraId="228C92BF"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C426A8E"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Valencia</w:t>
            </w:r>
          </w:p>
        </w:tc>
        <w:tc>
          <w:tcPr>
            <w:tcW w:w="2551" w:type="dxa"/>
            <w:vAlign w:val="bottom"/>
          </w:tcPr>
          <w:p w14:paraId="5AFEAA64"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Valencia Capital</w:t>
            </w:r>
          </w:p>
        </w:tc>
        <w:tc>
          <w:tcPr>
            <w:tcW w:w="1701" w:type="dxa"/>
            <w:vAlign w:val="bottom"/>
          </w:tcPr>
          <w:p w14:paraId="76DBB23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843" w:type="dxa"/>
            <w:vAlign w:val="bottom"/>
          </w:tcPr>
          <w:p w14:paraId="6551CE4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6,2%</w:t>
            </w:r>
          </w:p>
        </w:tc>
        <w:tc>
          <w:tcPr>
            <w:tcW w:w="1473" w:type="dxa"/>
            <w:vAlign w:val="center"/>
          </w:tcPr>
          <w:p w14:paraId="0E63B7B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0,5</w:t>
            </w:r>
          </w:p>
        </w:tc>
      </w:tr>
      <w:tr w:rsidR="00224F3B" w14:paraId="19F9E30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5E66F00"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Cantabria</w:t>
            </w:r>
          </w:p>
        </w:tc>
        <w:tc>
          <w:tcPr>
            <w:tcW w:w="2551" w:type="dxa"/>
            <w:vAlign w:val="bottom"/>
          </w:tcPr>
          <w:p w14:paraId="743CFCA8"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Santander</w:t>
            </w:r>
          </w:p>
        </w:tc>
        <w:tc>
          <w:tcPr>
            <w:tcW w:w="1701" w:type="dxa"/>
            <w:vAlign w:val="bottom"/>
          </w:tcPr>
          <w:p w14:paraId="62B5B8E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5,2%</w:t>
            </w:r>
          </w:p>
        </w:tc>
        <w:tc>
          <w:tcPr>
            <w:tcW w:w="1843" w:type="dxa"/>
            <w:vAlign w:val="bottom"/>
          </w:tcPr>
          <w:p w14:paraId="7084850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6,1%</w:t>
            </w:r>
          </w:p>
        </w:tc>
        <w:tc>
          <w:tcPr>
            <w:tcW w:w="1473" w:type="dxa"/>
            <w:vAlign w:val="center"/>
          </w:tcPr>
          <w:p w14:paraId="26F1814B"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w:t>
            </w:r>
          </w:p>
        </w:tc>
      </w:tr>
      <w:tr w:rsidR="00224F3B" w14:paraId="04809B2F"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2865F27"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Asturias</w:t>
            </w:r>
          </w:p>
        </w:tc>
        <w:tc>
          <w:tcPr>
            <w:tcW w:w="2551" w:type="dxa"/>
            <w:vAlign w:val="bottom"/>
          </w:tcPr>
          <w:p w14:paraId="17FD2114"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Oviedo</w:t>
            </w:r>
          </w:p>
        </w:tc>
        <w:tc>
          <w:tcPr>
            <w:tcW w:w="1701" w:type="dxa"/>
            <w:vAlign w:val="bottom"/>
          </w:tcPr>
          <w:p w14:paraId="64EAC1CC"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843" w:type="dxa"/>
            <w:vAlign w:val="bottom"/>
          </w:tcPr>
          <w:p w14:paraId="1D199E8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w:t>
            </w:r>
          </w:p>
        </w:tc>
        <w:tc>
          <w:tcPr>
            <w:tcW w:w="1473" w:type="dxa"/>
            <w:vAlign w:val="center"/>
          </w:tcPr>
          <w:p w14:paraId="7AE37EB3"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0,2</w:t>
            </w:r>
          </w:p>
        </w:tc>
      </w:tr>
      <w:tr w:rsidR="00224F3B" w14:paraId="6F511FD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4CDFAD1"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7D1C0C39"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Barcelona Capital</w:t>
            </w:r>
          </w:p>
        </w:tc>
        <w:tc>
          <w:tcPr>
            <w:tcW w:w="1701" w:type="dxa"/>
            <w:vAlign w:val="bottom"/>
          </w:tcPr>
          <w:p w14:paraId="380DE0E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5,4%</w:t>
            </w:r>
          </w:p>
        </w:tc>
        <w:tc>
          <w:tcPr>
            <w:tcW w:w="1843" w:type="dxa"/>
            <w:vAlign w:val="bottom"/>
          </w:tcPr>
          <w:p w14:paraId="077A54B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5,8%</w:t>
            </w:r>
          </w:p>
        </w:tc>
        <w:tc>
          <w:tcPr>
            <w:tcW w:w="1473" w:type="dxa"/>
            <w:vAlign w:val="center"/>
          </w:tcPr>
          <w:p w14:paraId="7B11A76E"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0,4</w:t>
            </w:r>
          </w:p>
        </w:tc>
      </w:tr>
      <w:tr w:rsidR="00224F3B" w14:paraId="7C7986A2"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63E94AE"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Pontevedra</w:t>
            </w:r>
          </w:p>
        </w:tc>
        <w:tc>
          <w:tcPr>
            <w:tcW w:w="2551" w:type="dxa"/>
            <w:vAlign w:val="bottom"/>
          </w:tcPr>
          <w:p w14:paraId="79DAA582"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Vigo</w:t>
            </w:r>
          </w:p>
        </w:tc>
        <w:tc>
          <w:tcPr>
            <w:tcW w:w="1701" w:type="dxa"/>
            <w:vAlign w:val="bottom"/>
          </w:tcPr>
          <w:p w14:paraId="540C654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4,4%</w:t>
            </w:r>
          </w:p>
        </w:tc>
        <w:tc>
          <w:tcPr>
            <w:tcW w:w="1843" w:type="dxa"/>
            <w:vAlign w:val="bottom"/>
          </w:tcPr>
          <w:p w14:paraId="7A9775E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1F9399A1"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1,3</w:t>
            </w:r>
          </w:p>
        </w:tc>
      </w:tr>
      <w:tr w:rsidR="00224F3B" w14:paraId="2331B834"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D2EEA30"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Salamanca</w:t>
            </w:r>
          </w:p>
        </w:tc>
        <w:tc>
          <w:tcPr>
            <w:tcW w:w="2551" w:type="dxa"/>
            <w:vAlign w:val="bottom"/>
          </w:tcPr>
          <w:p w14:paraId="6BDB1EA8"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Salamanca Capital</w:t>
            </w:r>
          </w:p>
        </w:tc>
        <w:tc>
          <w:tcPr>
            <w:tcW w:w="1701" w:type="dxa"/>
            <w:vAlign w:val="bottom"/>
          </w:tcPr>
          <w:p w14:paraId="50341076"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w:t>
            </w:r>
          </w:p>
        </w:tc>
        <w:tc>
          <w:tcPr>
            <w:tcW w:w="1843" w:type="dxa"/>
            <w:vAlign w:val="bottom"/>
          </w:tcPr>
          <w:p w14:paraId="78685B6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568764C5"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0,6</w:t>
            </w:r>
          </w:p>
        </w:tc>
      </w:tr>
      <w:tr w:rsidR="00224F3B" w14:paraId="57ACF728"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574662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Barcelona</w:t>
            </w:r>
          </w:p>
        </w:tc>
        <w:tc>
          <w:tcPr>
            <w:tcW w:w="2551" w:type="dxa"/>
            <w:vAlign w:val="bottom"/>
          </w:tcPr>
          <w:p w14:paraId="1D80AA89"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Sant Cugat del Vallès</w:t>
            </w:r>
          </w:p>
        </w:tc>
        <w:tc>
          <w:tcPr>
            <w:tcW w:w="1701" w:type="dxa"/>
            <w:vAlign w:val="bottom"/>
          </w:tcPr>
          <w:p w14:paraId="6C1B099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3,4%</w:t>
            </w:r>
          </w:p>
        </w:tc>
        <w:tc>
          <w:tcPr>
            <w:tcW w:w="1843" w:type="dxa"/>
            <w:vAlign w:val="bottom"/>
          </w:tcPr>
          <w:p w14:paraId="644C763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5,7%</w:t>
            </w:r>
          </w:p>
        </w:tc>
        <w:tc>
          <w:tcPr>
            <w:tcW w:w="1473" w:type="dxa"/>
            <w:vAlign w:val="center"/>
          </w:tcPr>
          <w:p w14:paraId="6460265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2,2</w:t>
            </w:r>
          </w:p>
        </w:tc>
      </w:tr>
      <w:tr w:rsidR="00224F3B" w14:paraId="3D58DBE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192A1E9"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 Coruña</w:t>
            </w:r>
          </w:p>
        </w:tc>
        <w:tc>
          <w:tcPr>
            <w:tcW w:w="2551" w:type="dxa"/>
            <w:vAlign w:val="bottom"/>
          </w:tcPr>
          <w:p w14:paraId="115A1C19"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Santiago de Compostela</w:t>
            </w:r>
          </w:p>
        </w:tc>
        <w:tc>
          <w:tcPr>
            <w:tcW w:w="1701" w:type="dxa"/>
            <w:vAlign w:val="bottom"/>
          </w:tcPr>
          <w:p w14:paraId="48F4A44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4,4%</w:t>
            </w:r>
          </w:p>
        </w:tc>
        <w:tc>
          <w:tcPr>
            <w:tcW w:w="1843" w:type="dxa"/>
            <w:vAlign w:val="bottom"/>
          </w:tcPr>
          <w:p w14:paraId="6C4E1BC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5,6%</w:t>
            </w:r>
          </w:p>
        </w:tc>
        <w:tc>
          <w:tcPr>
            <w:tcW w:w="1473" w:type="dxa"/>
            <w:vAlign w:val="center"/>
          </w:tcPr>
          <w:p w14:paraId="0B8D0DD8"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1,2</w:t>
            </w:r>
          </w:p>
        </w:tc>
      </w:tr>
      <w:tr w:rsidR="00224F3B" w14:paraId="3E71FCA8"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4F81A5C"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Málaga</w:t>
            </w:r>
          </w:p>
        </w:tc>
        <w:tc>
          <w:tcPr>
            <w:tcW w:w="2551" w:type="dxa"/>
            <w:vAlign w:val="bottom"/>
          </w:tcPr>
          <w:p w14:paraId="0D180A2D"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Málaga Capital</w:t>
            </w:r>
          </w:p>
        </w:tc>
        <w:tc>
          <w:tcPr>
            <w:tcW w:w="1701" w:type="dxa"/>
            <w:vAlign w:val="bottom"/>
          </w:tcPr>
          <w:p w14:paraId="6E4B1026"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4,5%</w:t>
            </w:r>
          </w:p>
        </w:tc>
        <w:tc>
          <w:tcPr>
            <w:tcW w:w="1843" w:type="dxa"/>
            <w:vAlign w:val="bottom"/>
          </w:tcPr>
          <w:p w14:paraId="50B77DA9"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5,6%</w:t>
            </w:r>
          </w:p>
        </w:tc>
        <w:tc>
          <w:tcPr>
            <w:tcW w:w="1473" w:type="dxa"/>
            <w:vAlign w:val="center"/>
          </w:tcPr>
          <w:p w14:paraId="2A5C9FF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1,1</w:t>
            </w:r>
          </w:p>
        </w:tc>
      </w:tr>
      <w:tr w:rsidR="00224F3B" w14:paraId="3DDAD455"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5F693C5"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Illes Balears</w:t>
            </w:r>
          </w:p>
        </w:tc>
        <w:tc>
          <w:tcPr>
            <w:tcW w:w="2551" w:type="dxa"/>
            <w:vAlign w:val="bottom"/>
          </w:tcPr>
          <w:p w14:paraId="4F8FC522"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Palma de Mallorca</w:t>
            </w:r>
          </w:p>
        </w:tc>
        <w:tc>
          <w:tcPr>
            <w:tcW w:w="1701" w:type="dxa"/>
            <w:vAlign w:val="bottom"/>
          </w:tcPr>
          <w:p w14:paraId="598A77A7"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4,4%</w:t>
            </w:r>
          </w:p>
        </w:tc>
        <w:tc>
          <w:tcPr>
            <w:tcW w:w="1843" w:type="dxa"/>
            <w:vAlign w:val="bottom"/>
          </w:tcPr>
          <w:p w14:paraId="301D1464"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5,2%</w:t>
            </w:r>
          </w:p>
        </w:tc>
        <w:tc>
          <w:tcPr>
            <w:tcW w:w="1473" w:type="dxa"/>
            <w:vAlign w:val="center"/>
          </w:tcPr>
          <w:p w14:paraId="66A4082F"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0,9</w:t>
            </w:r>
          </w:p>
        </w:tc>
      </w:tr>
      <w:tr w:rsidR="00224F3B" w14:paraId="03477A64"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F1091E1"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Granada</w:t>
            </w:r>
          </w:p>
        </w:tc>
        <w:tc>
          <w:tcPr>
            <w:tcW w:w="2551" w:type="dxa"/>
            <w:vAlign w:val="bottom"/>
          </w:tcPr>
          <w:p w14:paraId="09B925C8"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Granada Capital</w:t>
            </w:r>
          </w:p>
        </w:tc>
        <w:tc>
          <w:tcPr>
            <w:tcW w:w="1701" w:type="dxa"/>
            <w:vAlign w:val="bottom"/>
          </w:tcPr>
          <w:p w14:paraId="1EEB103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4,2%</w:t>
            </w:r>
          </w:p>
        </w:tc>
        <w:tc>
          <w:tcPr>
            <w:tcW w:w="1843" w:type="dxa"/>
            <w:vAlign w:val="bottom"/>
          </w:tcPr>
          <w:p w14:paraId="3ADB0945"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5,2%</w:t>
            </w:r>
          </w:p>
        </w:tc>
        <w:tc>
          <w:tcPr>
            <w:tcW w:w="1473" w:type="dxa"/>
            <w:vAlign w:val="center"/>
          </w:tcPr>
          <w:p w14:paraId="7FFF615F"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1,0</w:t>
            </w:r>
          </w:p>
        </w:tc>
      </w:tr>
      <w:tr w:rsidR="00224F3B" w14:paraId="69048AC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82F11FC"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A Coruña</w:t>
            </w:r>
          </w:p>
        </w:tc>
        <w:tc>
          <w:tcPr>
            <w:tcW w:w="2551" w:type="dxa"/>
            <w:vAlign w:val="bottom"/>
          </w:tcPr>
          <w:p w14:paraId="70D1F193"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 Coruña Capital</w:t>
            </w:r>
          </w:p>
        </w:tc>
        <w:tc>
          <w:tcPr>
            <w:tcW w:w="1701" w:type="dxa"/>
            <w:vAlign w:val="bottom"/>
          </w:tcPr>
          <w:p w14:paraId="412D7D0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4,2%</w:t>
            </w:r>
          </w:p>
        </w:tc>
        <w:tc>
          <w:tcPr>
            <w:tcW w:w="1843" w:type="dxa"/>
            <w:vAlign w:val="bottom"/>
          </w:tcPr>
          <w:p w14:paraId="092158B9"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5,0%</w:t>
            </w:r>
          </w:p>
        </w:tc>
        <w:tc>
          <w:tcPr>
            <w:tcW w:w="1473" w:type="dxa"/>
            <w:vAlign w:val="center"/>
          </w:tcPr>
          <w:p w14:paraId="5F555E03"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0,8</w:t>
            </w:r>
          </w:p>
        </w:tc>
      </w:tr>
      <w:tr w:rsidR="00224F3B" w14:paraId="3DA30CB3"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E4BFD01"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743608F8"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Alcobendas</w:t>
            </w:r>
          </w:p>
        </w:tc>
        <w:tc>
          <w:tcPr>
            <w:tcW w:w="1701" w:type="dxa"/>
            <w:vAlign w:val="bottom"/>
          </w:tcPr>
          <w:p w14:paraId="58030AC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5,1%</w:t>
            </w:r>
          </w:p>
        </w:tc>
        <w:tc>
          <w:tcPr>
            <w:tcW w:w="1843" w:type="dxa"/>
            <w:vAlign w:val="bottom"/>
          </w:tcPr>
          <w:p w14:paraId="07C24C4B"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4,9%</w:t>
            </w:r>
          </w:p>
        </w:tc>
        <w:tc>
          <w:tcPr>
            <w:tcW w:w="1473" w:type="dxa"/>
            <w:vAlign w:val="center"/>
          </w:tcPr>
          <w:p w14:paraId="43F5895A"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 xml:space="preserve">                         -0,2</w:t>
            </w:r>
          </w:p>
        </w:tc>
      </w:tr>
      <w:tr w:rsidR="00224F3B" w14:paraId="7F406A0A"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32B020D"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13FA6A18"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Madrid Capital</w:t>
            </w:r>
          </w:p>
        </w:tc>
        <w:tc>
          <w:tcPr>
            <w:tcW w:w="1701" w:type="dxa"/>
            <w:vAlign w:val="bottom"/>
          </w:tcPr>
          <w:p w14:paraId="08C4C522"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4,3%</w:t>
            </w:r>
          </w:p>
        </w:tc>
        <w:tc>
          <w:tcPr>
            <w:tcW w:w="1843" w:type="dxa"/>
            <w:vAlign w:val="bottom"/>
          </w:tcPr>
          <w:p w14:paraId="7FCB557B"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4,6%</w:t>
            </w:r>
          </w:p>
        </w:tc>
        <w:tc>
          <w:tcPr>
            <w:tcW w:w="1473" w:type="dxa"/>
            <w:vAlign w:val="center"/>
          </w:tcPr>
          <w:p w14:paraId="369B4F5D"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0,2</w:t>
            </w:r>
          </w:p>
        </w:tc>
      </w:tr>
      <w:tr w:rsidR="00224F3B" w14:paraId="0EA8BC4E" w14:textId="77777777" w:rsidTr="00224F3B">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530F7DE"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Madrid</w:t>
            </w:r>
          </w:p>
        </w:tc>
        <w:tc>
          <w:tcPr>
            <w:tcW w:w="2551" w:type="dxa"/>
            <w:vAlign w:val="bottom"/>
          </w:tcPr>
          <w:p w14:paraId="22A1F1C4" w14:textId="77777777" w:rsidR="00224F3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Pozuelo de Alarcón</w:t>
            </w:r>
          </w:p>
        </w:tc>
        <w:tc>
          <w:tcPr>
            <w:tcW w:w="1701" w:type="dxa"/>
            <w:vAlign w:val="bottom"/>
          </w:tcPr>
          <w:p w14:paraId="39C4B82E"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4,4%</w:t>
            </w:r>
          </w:p>
        </w:tc>
        <w:tc>
          <w:tcPr>
            <w:tcW w:w="1843" w:type="dxa"/>
            <w:vAlign w:val="bottom"/>
          </w:tcPr>
          <w:p w14:paraId="4ADA9D98"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4,4%</w:t>
            </w:r>
          </w:p>
        </w:tc>
        <w:tc>
          <w:tcPr>
            <w:tcW w:w="1473" w:type="dxa"/>
            <w:vAlign w:val="center"/>
          </w:tcPr>
          <w:p w14:paraId="3FDCA4BD" w14:textId="77777777" w:rsidR="00224F3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2"/>
                <w:szCs w:val="22"/>
              </w:rPr>
              <w:t>-                         0,0</w:t>
            </w:r>
          </w:p>
        </w:tc>
      </w:tr>
      <w:tr w:rsidR="00224F3B" w14:paraId="3E3E8631" w14:textId="77777777" w:rsidTr="00224F3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bottom w:val="nil"/>
            </w:tcBorders>
            <w:vAlign w:val="bottom"/>
          </w:tcPr>
          <w:p w14:paraId="7A4CC769" w14:textId="77777777" w:rsidR="00224F3B" w:rsidRDefault="00000000">
            <w:pPr>
              <w:rPr>
                <w:rFonts w:ascii="Open Sans" w:eastAsia="Open Sans" w:hAnsi="Open Sans" w:cs="Open Sans"/>
                <w:sz w:val="20"/>
                <w:szCs w:val="20"/>
              </w:rPr>
            </w:pPr>
            <w:r>
              <w:rPr>
                <w:rFonts w:ascii="Open Sans" w:eastAsia="Open Sans" w:hAnsi="Open Sans" w:cs="Open Sans"/>
                <w:b w:val="0"/>
                <w:sz w:val="22"/>
                <w:szCs w:val="22"/>
              </w:rPr>
              <w:t>Gipuzkoa</w:t>
            </w:r>
          </w:p>
        </w:tc>
        <w:tc>
          <w:tcPr>
            <w:tcW w:w="2551" w:type="dxa"/>
            <w:vAlign w:val="bottom"/>
          </w:tcPr>
          <w:p w14:paraId="6E8B077F" w14:textId="77777777" w:rsidR="00224F3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Donostia - San Sebastián</w:t>
            </w:r>
          </w:p>
        </w:tc>
        <w:tc>
          <w:tcPr>
            <w:tcW w:w="1701" w:type="dxa"/>
            <w:vAlign w:val="bottom"/>
          </w:tcPr>
          <w:p w14:paraId="66AB72D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3,3%</w:t>
            </w:r>
          </w:p>
        </w:tc>
        <w:tc>
          <w:tcPr>
            <w:tcW w:w="1843" w:type="dxa"/>
            <w:vAlign w:val="bottom"/>
          </w:tcPr>
          <w:p w14:paraId="5A60BA7A"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2"/>
                <w:szCs w:val="22"/>
              </w:rPr>
              <w:t>3,3%</w:t>
            </w:r>
          </w:p>
        </w:tc>
        <w:tc>
          <w:tcPr>
            <w:tcW w:w="1473" w:type="dxa"/>
            <w:vAlign w:val="center"/>
          </w:tcPr>
          <w:p w14:paraId="4BDED281" w14:textId="77777777" w:rsidR="00224F3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2"/>
                <w:szCs w:val="22"/>
              </w:rPr>
              <w:t>0,0</w:t>
            </w:r>
          </w:p>
        </w:tc>
      </w:tr>
    </w:tbl>
    <w:p w14:paraId="7FAECBC8" w14:textId="77777777" w:rsidR="00224F3B" w:rsidRDefault="00224F3B">
      <w:pPr>
        <w:spacing w:line="276" w:lineRule="auto"/>
        <w:ind w:right="-716"/>
        <w:jc w:val="right"/>
        <w:rPr>
          <w:rFonts w:ascii="Open Sans Light" w:eastAsia="Open Sans Light" w:hAnsi="Open Sans Light" w:cs="Open Sans Light"/>
          <w:b/>
          <w:color w:val="303AB2"/>
        </w:rPr>
      </w:pPr>
    </w:p>
    <w:p w14:paraId="6D9D41B4" w14:textId="77777777" w:rsidR="00C74CEE" w:rsidRDefault="00C74CEE" w:rsidP="00266B40">
      <w:pPr>
        <w:spacing w:line="276" w:lineRule="auto"/>
        <w:jc w:val="right"/>
        <w:rPr>
          <w:rFonts w:ascii="Open Sans Light" w:eastAsia="Open Sans Light" w:hAnsi="Open Sans Light" w:cs="Open Sans Light"/>
          <w:b/>
          <w:color w:val="303AB2"/>
        </w:rPr>
      </w:pPr>
    </w:p>
    <w:p w14:paraId="0DA4531C" w14:textId="77777777" w:rsidR="00C74CEE" w:rsidRDefault="00C74CEE" w:rsidP="00266B40">
      <w:pPr>
        <w:spacing w:line="276" w:lineRule="auto"/>
        <w:jc w:val="right"/>
        <w:rPr>
          <w:rFonts w:ascii="Open Sans Light" w:eastAsia="Open Sans Light" w:hAnsi="Open Sans Light" w:cs="Open Sans Light"/>
          <w:b/>
          <w:color w:val="303AB2"/>
        </w:rPr>
      </w:pPr>
    </w:p>
    <w:p w14:paraId="5764B044" w14:textId="77777777" w:rsidR="00F34904" w:rsidRDefault="00F34904" w:rsidP="00266B40">
      <w:pPr>
        <w:spacing w:line="276" w:lineRule="auto"/>
        <w:jc w:val="right"/>
        <w:rPr>
          <w:rFonts w:ascii="Open Sans Light" w:eastAsia="Open Sans Light" w:hAnsi="Open Sans Light" w:cs="Open Sans Light"/>
          <w:b/>
          <w:color w:val="303AB2"/>
        </w:rPr>
      </w:pPr>
    </w:p>
    <w:p w14:paraId="6429DEC3" w14:textId="5422D57B" w:rsidR="00266B40" w:rsidRDefault="00266B40" w:rsidP="00266B4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553CAE3" w14:textId="77777777" w:rsidR="00266B40" w:rsidRDefault="00266B40" w:rsidP="00266B4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A9B3D74" w14:textId="77777777" w:rsidR="00266B40" w:rsidRDefault="00266B40" w:rsidP="00266B4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609186EC" w14:textId="77777777" w:rsidR="00266B40" w:rsidRDefault="00266B40" w:rsidP="00266B40">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4A1C459" w14:textId="77777777" w:rsidR="00C74CEE" w:rsidRDefault="00C74CEE" w:rsidP="00266B40">
      <w:pPr>
        <w:spacing w:line="276" w:lineRule="auto"/>
        <w:jc w:val="right"/>
        <w:rPr>
          <w:rFonts w:ascii="Open Sans Light" w:eastAsia="Open Sans Light" w:hAnsi="Open Sans Light" w:cs="Open Sans Light"/>
          <w:b/>
          <w:color w:val="303AB2"/>
        </w:rPr>
      </w:pPr>
    </w:p>
    <w:p w14:paraId="06BAD7A3" w14:textId="77777777" w:rsidR="00C74CEE" w:rsidRDefault="00C74CEE" w:rsidP="00266B40">
      <w:pPr>
        <w:spacing w:line="276" w:lineRule="auto"/>
        <w:jc w:val="right"/>
        <w:rPr>
          <w:rFonts w:ascii="Open Sans Light" w:eastAsia="Open Sans Light" w:hAnsi="Open Sans Light" w:cs="Open Sans Light"/>
          <w:b/>
          <w:color w:val="303AB2"/>
        </w:rPr>
      </w:pPr>
    </w:p>
    <w:p w14:paraId="49F1E845" w14:textId="48EF4B47" w:rsidR="00266B40" w:rsidRDefault="00266B40" w:rsidP="00266B4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6068856B" w14:textId="77777777" w:rsidR="00266B40" w:rsidRDefault="00266B40" w:rsidP="00266B4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4D3385C" w14:textId="77777777" w:rsidR="00266B40" w:rsidRDefault="00266B40" w:rsidP="00266B4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625D6C5" w14:textId="77777777" w:rsidR="00266B40" w:rsidRDefault="00266B40" w:rsidP="00266B4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04AD29FF" w14:textId="77777777" w:rsidR="00266B40" w:rsidRDefault="00266B40" w:rsidP="00266B4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0230DABB" w14:textId="77777777" w:rsidR="00266B40" w:rsidRDefault="00266B40" w:rsidP="00266B40">
      <w:pPr>
        <w:spacing w:line="276" w:lineRule="auto"/>
        <w:rPr>
          <w:rFonts w:ascii="Open Sans" w:eastAsia="Open Sans" w:hAnsi="Open Sans" w:cs="Open Sans"/>
        </w:rPr>
      </w:pPr>
    </w:p>
    <w:p w14:paraId="2743E92A" w14:textId="77777777" w:rsidR="00266B40" w:rsidRDefault="00266B40" w:rsidP="00266B4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354B0B2" w14:textId="77777777" w:rsidR="00266B40" w:rsidRDefault="00266B40" w:rsidP="00266B4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30B959A" w14:textId="77777777" w:rsidR="00266B40" w:rsidRDefault="00266B40" w:rsidP="00266B4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E76EF04" w14:textId="77777777" w:rsidR="00266B40" w:rsidRDefault="00266B40" w:rsidP="00266B4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0783B69" w14:textId="371CBA75" w:rsidR="00224F3B" w:rsidRDefault="00224F3B" w:rsidP="00266B40">
      <w:pPr>
        <w:spacing w:line="276" w:lineRule="auto"/>
        <w:ind w:right="-2"/>
        <w:jc w:val="right"/>
        <w:rPr>
          <w:rFonts w:ascii="Open Sans" w:eastAsia="Open Sans" w:hAnsi="Open Sans" w:cs="Open Sans"/>
          <w:color w:val="000000"/>
          <w:sz w:val="21"/>
          <w:szCs w:val="21"/>
        </w:rPr>
      </w:pPr>
    </w:p>
    <w:sectPr w:rsidR="00224F3B">
      <w:footerReference w:type="default" r:id="rId25"/>
      <w:pgSz w:w="11900" w:h="16840"/>
      <w:pgMar w:top="1418" w:right="1002"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F75CF" w14:textId="77777777" w:rsidR="00737B73" w:rsidRDefault="00737B73">
      <w:r>
        <w:separator/>
      </w:r>
    </w:p>
  </w:endnote>
  <w:endnote w:type="continuationSeparator" w:id="0">
    <w:p w14:paraId="07EF6E5A" w14:textId="77777777" w:rsidR="00737B73" w:rsidRDefault="0073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68337E-BA35-4FC0-AC54-60FBA9A0899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630EA5-91D4-4C84-BDA2-94343E0F7C2A}"/>
    <w:embedBold r:id="rId3" w:fontKey="{991F1D3B-759A-44A7-AC28-CDA274D0C0AD}"/>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920027E5-4D51-4E09-878A-9D538ACE7A9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B3C06B3-751C-4D9F-9171-D7477565B43D}"/>
    <w:embedItalic r:id="rId6" w:fontKey="{0F6A492D-999A-4747-B72A-5DEC064DF22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20A8675D-33C2-4D65-9691-0BC23C774604}"/>
    <w:embedBold r:id="rId8" w:fontKey="{0077BCE8-72A4-40FB-A543-AE58977F62FF}"/>
    <w:embedBoldItalic r:id="rId9" w:fontKey="{0E050B0A-1885-4C7E-9DD6-29B2F19C89FC}"/>
  </w:font>
  <w:font w:name="Open Sans Light">
    <w:charset w:val="00"/>
    <w:family w:val="swiss"/>
    <w:pitch w:val="variable"/>
    <w:sig w:usb0="E00002EF" w:usb1="4000205B" w:usb2="00000028" w:usb3="00000000" w:csb0="0000019F" w:csb1="00000000"/>
    <w:embedRegular r:id="rId10" w:fontKey="{A38AC8AE-B857-4089-BE9A-6245FA51BA1B}"/>
    <w:embedBold r:id="rId11" w:fontKey="{5E731E48-904B-418E-88BF-C739254BE085}"/>
  </w:font>
  <w:font w:name="Calibri Light">
    <w:panose1 w:val="020F0302020204030204"/>
    <w:charset w:val="00"/>
    <w:family w:val="swiss"/>
    <w:pitch w:val="variable"/>
    <w:sig w:usb0="E4002EFF" w:usb1="C200247B" w:usb2="00000009" w:usb3="00000000" w:csb0="000001FF" w:csb1="00000000"/>
    <w:embedRegular r:id="rId12" w:fontKey="{5E125147-14DA-43F1-AFBD-B48CA6E24C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B9BD" w14:textId="77777777" w:rsidR="00224F3B"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266B40">
      <w:rPr>
        <w:noProof/>
        <w:color w:val="4472C4"/>
        <w:sz w:val="20"/>
        <w:szCs w:val="20"/>
      </w:rPr>
      <w:t>1</w:t>
    </w:r>
    <w:r>
      <w:rPr>
        <w:color w:val="4472C4"/>
        <w:sz w:val="20"/>
        <w:szCs w:val="20"/>
      </w:rPr>
      <w:fldChar w:fldCharType="end"/>
    </w:r>
  </w:p>
  <w:p w14:paraId="49925E94" w14:textId="77777777" w:rsidR="00224F3B" w:rsidRDefault="00224F3B">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4FC59" w14:textId="77777777" w:rsidR="00737B73" w:rsidRDefault="00737B73">
      <w:r>
        <w:separator/>
      </w:r>
    </w:p>
  </w:footnote>
  <w:footnote w:type="continuationSeparator" w:id="0">
    <w:p w14:paraId="6034418D" w14:textId="77777777" w:rsidR="00737B73" w:rsidRDefault="00737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21919"/>
    <w:multiLevelType w:val="multilevel"/>
    <w:tmpl w:val="94DC5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7189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3B"/>
    <w:rsid w:val="000760EC"/>
    <w:rsid w:val="000E6A46"/>
    <w:rsid w:val="00114B00"/>
    <w:rsid w:val="00224F3B"/>
    <w:rsid w:val="00266B40"/>
    <w:rsid w:val="004C43E4"/>
    <w:rsid w:val="00737B73"/>
    <w:rsid w:val="00837BC7"/>
    <w:rsid w:val="00891524"/>
    <w:rsid w:val="00C74CEE"/>
    <w:rsid w:val="00F349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B96F"/>
  <w15:docId w15:val="{A006BFF9-D732-46B6-9DC6-8E90821B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E34DF1"/>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adevinta.es" TargetMode="External"/><Relationship Id="rId10" Type="http://schemas.openxmlformats.org/officeDocument/2006/relationships/chart" Target="charts/chart1.xm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I:\Mi%20unidad\01-SCHIBSTED\04-ESTUDIO%20NdP\RENTABILIDAD\PISO%20COMPARTIDO\SEPTIEMBRE%202025\PRENSA%20RENTABILIDAD%20COMPARTIR%20sep%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RENTABILIDAD\PISO%20COMPARTIDO\SEPTIEMBRE%202025\PRENSA%20RENTABILIDAD%20COMPARTIR%20sep%2020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Tabla!$F$5</c:f>
              <c:strCache>
                <c:ptCount val="1"/>
                <c:pt idx="0">
                  <c:v>Rentabilidad vivienda 80 metros</c:v>
                </c:pt>
              </c:strCache>
            </c:strRef>
          </c:tx>
          <c:spPr>
            <a:ln w="22225" cap="rnd" cmpd="sng" algn="ctr">
              <a:solidFill>
                <a:schemeClr val="accent1"/>
              </a:solidFill>
              <a:round/>
            </a:ln>
            <a:effectLst/>
          </c:spPr>
          <c:marker>
            <c:symbol val="none"/>
          </c:marker>
          <c:dLbls>
            <c:dLbl>
              <c:idx val="0"/>
              <c:layout>
                <c:manualLayout>
                  <c:x val="-4.1545241528111176E-2"/>
                  <c:y val="3.777776042578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97-460B-90BA-56C5867D412D}"/>
                </c:ext>
              </c:extLst>
            </c:dLbl>
            <c:dLbl>
              <c:idx val="1"/>
              <c:layout>
                <c:manualLayout>
                  <c:x val="-4.1545241528111149E-2"/>
                  <c:y val="4.2499980479011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97-460B-90BA-56C5867D412D}"/>
                </c:ext>
              </c:extLst>
            </c:dLbl>
            <c:dLbl>
              <c:idx val="2"/>
              <c:layout>
                <c:manualLayout>
                  <c:x val="-4.1545241528111149E-2"/>
                  <c:y val="4.2499980479011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97-460B-90BA-56C5867D412D}"/>
                </c:ext>
              </c:extLst>
            </c:dLbl>
            <c:dLbl>
              <c:idx val="3"/>
              <c:layout>
                <c:manualLayout>
                  <c:x val="-4.1545241528111149E-2"/>
                  <c:y val="4.7222200532235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97-460B-90BA-56C5867D412D}"/>
                </c:ext>
              </c:extLst>
            </c:dLbl>
            <c:dLbl>
              <c:idx val="4"/>
              <c:layout>
                <c:manualLayout>
                  <c:x val="-4.1545241528111149E-2"/>
                  <c:y val="3.7777760425788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97-460B-90BA-56C5867D412D}"/>
                </c:ext>
              </c:extLst>
            </c:dLbl>
            <c:dLbl>
              <c:idx val="5"/>
              <c:layout>
                <c:manualLayout>
                  <c:x val="-4.1545241528111149E-2"/>
                  <c:y val="3.3055540372564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97-460B-90BA-56C5867D412D}"/>
                </c:ext>
              </c:extLst>
            </c:dLbl>
            <c:dLbl>
              <c:idx val="6"/>
              <c:layout>
                <c:manualLayout>
                  <c:x val="-4.3899741320192136E-2"/>
                  <c:y val="4.2499980479011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97-460B-90BA-56C5867D412D}"/>
                </c:ext>
              </c:extLst>
            </c:dLbl>
            <c:dLbl>
              <c:idx val="7"/>
              <c:layout>
                <c:manualLayout>
                  <c:x val="-4.3899741320192136E-2"/>
                  <c:y val="3.305554037256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97-460B-90BA-56C5867D412D}"/>
                </c:ext>
              </c:extLst>
            </c:dLbl>
            <c:dLbl>
              <c:idx val="8"/>
              <c:layout>
                <c:manualLayout>
                  <c:x val="-4.1545241528111322E-2"/>
                  <c:y val="3.777776042578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97-460B-90BA-56C5867D412D}"/>
                </c:ext>
              </c:extLst>
            </c:dLbl>
            <c:dLbl>
              <c:idx val="9"/>
              <c:layout>
                <c:manualLayout>
                  <c:x val="-4.1545241528111322E-2"/>
                  <c:y val="2.8333320319341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97-460B-90BA-56C5867D41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Tabla!$E$6:$E$16</c:f>
              <c:strCache>
                <c:ptCount val="11"/>
                <c:pt idx="0">
                  <c:v>T3                               2015</c:v>
                </c:pt>
                <c:pt idx="1">
                  <c:v>T3                               2016</c:v>
                </c:pt>
                <c:pt idx="2">
                  <c:v>T3                               2017</c:v>
                </c:pt>
                <c:pt idx="3">
                  <c:v>T3                               2018</c:v>
                </c:pt>
                <c:pt idx="4">
                  <c:v>T3                               2019</c:v>
                </c:pt>
                <c:pt idx="5">
                  <c:v>T3                               2020</c:v>
                </c:pt>
                <c:pt idx="6">
                  <c:v>T3                               2021</c:v>
                </c:pt>
                <c:pt idx="7">
                  <c:v>T3                               2022</c:v>
                </c:pt>
                <c:pt idx="8">
                  <c:v>T3                               2023</c:v>
                </c:pt>
                <c:pt idx="9">
                  <c:v>T3                               2024</c:v>
                </c:pt>
                <c:pt idx="10">
                  <c:v>T3                               2025</c:v>
                </c:pt>
              </c:strCache>
            </c:strRef>
          </c:cat>
          <c:val>
            <c:numRef>
              <c:f>Tabla!$F$6:$F$16</c:f>
              <c:numCache>
                <c:formatCode>0.0%</c:formatCode>
                <c:ptCount val="11"/>
                <c:pt idx="0">
                  <c:v>5.0014994777345778E-2</c:v>
                </c:pt>
                <c:pt idx="1">
                  <c:v>5.2068411536991065E-2</c:v>
                </c:pt>
                <c:pt idx="2">
                  <c:v>5.700878739744393E-2</c:v>
                </c:pt>
                <c:pt idx="3">
                  <c:v>6.0824552433209285E-2</c:v>
                </c:pt>
                <c:pt idx="4">
                  <c:v>6.0869227162337253E-2</c:v>
                </c:pt>
                <c:pt idx="5">
                  <c:v>6.9835868369575241E-2</c:v>
                </c:pt>
                <c:pt idx="6">
                  <c:v>6.4321055525013757E-2</c:v>
                </c:pt>
                <c:pt idx="7">
                  <c:v>6.1833211477342234E-2</c:v>
                </c:pt>
                <c:pt idx="8">
                  <c:v>6.2196397443346894E-2</c:v>
                </c:pt>
                <c:pt idx="9">
                  <c:v>6.1054178363479608E-2</c:v>
                </c:pt>
                <c:pt idx="10">
                  <c:v>5.961548231639608E-2</c:v>
                </c:pt>
              </c:numCache>
            </c:numRef>
          </c:val>
          <c:smooth val="0"/>
          <c:extLst>
            <c:ext xmlns:c16="http://schemas.microsoft.com/office/drawing/2014/chart" uri="{C3380CC4-5D6E-409C-BE32-E72D297353CC}">
              <c16:uniqueId val="{0000000A-8097-460B-90BA-56C5867D412D}"/>
            </c:ext>
          </c:extLst>
        </c:ser>
        <c:ser>
          <c:idx val="1"/>
          <c:order val="1"/>
          <c:tx>
            <c:strRef>
              <c:f>Tabla!$G$5</c:f>
              <c:strCache>
                <c:ptCount val="1"/>
                <c:pt idx="0">
                  <c:v>Rentabilidad vivienda compartida de 3 habitaciones</c:v>
                </c:pt>
              </c:strCache>
            </c:strRef>
          </c:tx>
          <c:spPr>
            <a:ln w="22225" cap="rnd" cmpd="sng" algn="ctr">
              <a:solidFill>
                <a:schemeClr val="accent2"/>
              </a:solidFill>
              <a:round/>
            </a:ln>
            <a:effectLst/>
          </c:spPr>
          <c:marker>
            <c:symbol val="none"/>
          </c:marker>
          <c:dLbls>
            <c:dLbl>
              <c:idx val="0"/>
              <c:layout>
                <c:manualLayout>
                  <c:x val="-4.1545241528111176E-2"/>
                  <c:y val="-2.3611100266117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97-460B-90BA-56C5867D412D}"/>
                </c:ext>
              </c:extLst>
            </c:dLbl>
            <c:dLbl>
              <c:idx val="1"/>
              <c:layout>
                <c:manualLayout>
                  <c:x val="-4.157528651515606E-2"/>
                  <c:y val="-2.8333320319341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97-460B-90BA-56C5867D412D}"/>
                </c:ext>
              </c:extLst>
            </c:dLbl>
            <c:dLbl>
              <c:idx val="2"/>
              <c:layout>
                <c:manualLayout>
                  <c:x val="-4.1545241528111149E-2"/>
                  <c:y val="-3.777776042578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97-460B-90BA-56C5867D412D}"/>
                </c:ext>
              </c:extLst>
            </c:dLbl>
            <c:dLbl>
              <c:idx val="3"/>
              <c:layout>
                <c:manualLayout>
                  <c:x val="-4.1545241528111149E-2"/>
                  <c:y val="-2.8333320319341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97-460B-90BA-56C5867D412D}"/>
                </c:ext>
              </c:extLst>
            </c:dLbl>
            <c:dLbl>
              <c:idx val="4"/>
              <c:layout>
                <c:manualLayout>
                  <c:x val="-4.1545241528111149E-2"/>
                  <c:y val="-3.7777760425788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97-460B-90BA-56C5867D412D}"/>
                </c:ext>
              </c:extLst>
            </c:dLbl>
            <c:dLbl>
              <c:idx val="5"/>
              <c:layout>
                <c:manualLayout>
                  <c:x val="-4.1545241528111149E-2"/>
                  <c:y val="-3.3055540372564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97-460B-90BA-56C5867D412D}"/>
                </c:ext>
              </c:extLst>
            </c:dLbl>
            <c:dLbl>
              <c:idx val="6"/>
              <c:layout>
                <c:manualLayout>
                  <c:x val="-4.1545241528111149E-2"/>
                  <c:y val="-2.8333320319341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97-460B-90BA-56C5867D412D}"/>
                </c:ext>
              </c:extLst>
            </c:dLbl>
            <c:dLbl>
              <c:idx val="7"/>
              <c:layout>
                <c:manualLayout>
                  <c:x val="-4.1545241528111065E-2"/>
                  <c:y val="-3.3055540372564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97-460B-90BA-56C5867D412D}"/>
                </c:ext>
              </c:extLst>
            </c:dLbl>
            <c:dLbl>
              <c:idx val="8"/>
              <c:layout>
                <c:manualLayout>
                  <c:x val="-4.1545241528111322E-2"/>
                  <c:y val="-3.305554037256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97-460B-90BA-56C5867D412D}"/>
                </c:ext>
              </c:extLst>
            </c:dLbl>
            <c:dLbl>
              <c:idx val="9"/>
              <c:layout>
                <c:manualLayout>
                  <c:x val="-3.9190741736030169E-2"/>
                  <c:y val="-3.77777604257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097-460B-90BA-56C5867D412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Tabla!$E$6:$E$16</c:f>
              <c:strCache>
                <c:ptCount val="11"/>
                <c:pt idx="0">
                  <c:v>T3                               2015</c:v>
                </c:pt>
                <c:pt idx="1">
                  <c:v>T3                               2016</c:v>
                </c:pt>
                <c:pt idx="2">
                  <c:v>T3                               2017</c:v>
                </c:pt>
                <c:pt idx="3">
                  <c:v>T3                               2018</c:v>
                </c:pt>
                <c:pt idx="4">
                  <c:v>T3                               2019</c:v>
                </c:pt>
                <c:pt idx="5">
                  <c:v>T3                               2020</c:v>
                </c:pt>
                <c:pt idx="6">
                  <c:v>T3                               2021</c:v>
                </c:pt>
                <c:pt idx="7">
                  <c:v>T3                               2022</c:v>
                </c:pt>
                <c:pt idx="8">
                  <c:v>T3                               2023</c:v>
                </c:pt>
                <c:pt idx="9">
                  <c:v>T3                               2024</c:v>
                </c:pt>
                <c:pt idx="10">
                  <c:v>T3                               2025</c:v>
                </c:pt>
              </c:strCache>
            </c:strRef>
          </c:cat>
          <c:val>
            <c:numRef>
              <c:f>Tabla!$G$6:$G$16</c:f>
              <c:numCache>
                <c:formatCode>0.0%</c:formatCode>
                <c:ptCount val="11"/>
                <c:pt idx="0">
                  <c:v>6.8072522228481508E-2</c:v>
                </c:pt>
                <c:pt idx="1">
                  <c:v>8.3583550977663873E-2</c:v>
                </c:pt>
                <c:pt idx="2">
                  <c:v>8.9502921846082092E-2</c:v>
                </c:pt>
                <c:pt idx="3">
                  <c:v>7.6261135750836997E-2</c:v>
                </c:pt>
                <c:pt idx="4">
                  <c:v>7.193628724689724E-2</c:v>
                </c:pt>
                <c:pt idx="5">
                  <c:v>7.8297127561000726E-2</c:v>
                </c:pt>
                <c:pt idx="6">
                  <c:v>8.3367604770161141E-2</c:v>
                </c:pt>
                <c:pt idx="7">
                  <c:v>9.7190349005505897E-2</c:v>
                </c:pt>
                <c:pt idx="8">
                  <c:v>9.4867635095874495E-2</c:v>
                </c:pt>
                <c:pt idx="9">
                  <c:v>9.3471373421726539E-2</c:v>
                </c:pt>
                <c:pt idx="10">
                  <c:v>8.6300922465035595E-2</c:v>
                </c:pt>
              </c:numCache>
            </c:numRef>
          </c:val>
          <c:smooth val="0"/>
          <c:extLst>
            <c:ext xmlns:c16="http://schemas.microsoft.com/office/drawing/2014/chart" uri="{C3380CC4-5D6E-409C-BE32-E72D297353CC}">
              <c16:uniqueId val="{00000015-8097-460B-90BA-56C5867D412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5846928"/>
        <c:axId val="85848368"/>
      </c:lineChart>
      <c:catAx>
        <c:axId val="85846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8368"/>
        <c:crosses val="autoZero"/>
        <c:auto val="1"/>
        <c:lblAlgn val="ctr"/>
        <c:lblOffset val="100"/>
        <c:noMultiLvlLbl val="0"/>
      </c:catAx>
      <c:valAx>
        <c:axId val="858483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6928"/>
        <c:crosses val="autoZero"/>
        <c:crossBetween val="between"/>
        <c:majorUnit val="2.0000000000000004E-2"/>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108078002186072E-2"/>
          <c:y val="3.8608508416833311E-2"/>
          <c:w val="0.87744557460821371"/>
          <c:h val="0.58411938012221976"/>
        </c:manualLayout>
      </c:layout>
      <c:lineChart>
        <c:grouping val="standard"/>
        <c:varyColors val="0"/>
        <c:ser>
          <c:idx val="0"/>
          <c:order val="0"/>
          <c:tx>
            <c:strRef>
              <c:f>Tabla!$F$28</c:f>
              <c:strCache>
                <c:ptCount val="1"/>
                <c:pt idx="0">
                  <c:v>Rentabilidad vivienda 80 metros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Tabla!$E$29:$E$46</c:f>
              <c:strCache>
                <c:ptCount val="18"/>
                <c:pt idx="0">
                  <c:v>Castilla-La Mancha</c:v>
                </c:pt>
                <c:pt idx="1">
                  <c:v>Navarra</c:v>
                </c:pt>
                <c:pt idx="2">
                  <c:v>Extremadura</c:v>
                </c:pt>
                <c:pt idx="3">
                  <c:v>Cataluña</c:v>
                </c:pt>
                <c:pt idx="4">
                  <c:v>La Rioja</c:v>
                </c:pt>
                <c:pt idx="5">
                  <c:v>Aragón</c:v>
                </c:pt>
                <c:pt idx="6">
                  <c:v>Castilla y León</c:v>
                </c:pt>
                <c:pt idx="7">
                  <c:v>España</c:v>
                </c:pt>
                <c:pt idx="8">
                  <c:v>Región de Murcia</c:v>
                </c:pt>
                <c:pt idx="9">
                  <c:v>Comunitat Valenciana</c:v>
                </c:pt>
                <c:pt idx="10">
                  <c:v>Galicia</c:v>
                </c:pt>
                <c:pt idx="11">
                  <c:v>País Vasco</c:v>
                </c:pt>
                <c:pt idx="12">
                  <c:v>Cantabria</c:v>
                </c:pt>
                <c:pt idx="13">
                  <c:v>Asturias</c:v>
                </c:pt>
                <c:pt idx="14">
                  <c:v>Andalucía</c:v>
                </c:pt>
                <c:pt idx="15">
                  <c:v>Canarias</c:v>
                </c:pt>
                <c:pt idx="16">
                  <c:v>Madrid</c:v>
                </c:pt>
                <c:pt idx="17">
                  <c:v>Baleares</c:v>
                </c:pt>
              </c:strCache>
            </c:strRef>
          </c:cat>
          <c:val>
            <c:numRef>
              <c:f>Tabla!$F$29:$F$46</c:f>
              <c:numCache>
                <c:formatCode>0.0%</c:formatCode>
                <c:ptCount val="18"/>
                <c:pt idx="0">
                  <c:v>7.7901331245105718E-2</c:v>
                </c:pt>
                <c:pt idx="1">
                  <c:v>6.729895980600524E-2</c:v>
                </c:pt>
                <c:pt idx="2">
                  <c:v>6.7849391337170897E-2</c:v>
                </c:pt>
                <c:pt idx="3">
                  <c:v>7.6271431277064955E-2</c:v>
                </c:pt>
                <c:pt idx="4">
                  <c:v>6.8380205002333522E-2</c:v>
                </c:pt>
                <c:pt idx="5">
                  <c:v>7.2663612239131758E-2</c:v>
                </c:pt>
                <c:pt idx="6">
                  <c:v>7.0227848721182221E-2</c:v>
                </c:pt>
                <c:pt idx="7">
                  <c:v>5.961548231639608E-2</c:v>
                </c:pt>
                <c:pt idx="8">
                  <c:v>6.6330341649524796E-2</c:v>
                </c:pt>
                <c:pt idx="9">
                  <c:v>6.4818550013715656E-2</c:v>
                </c:pt>
                <c:pt idx="10">
                  <c:v>5.6974824396010204E-2</c:v>
                </c:pt>
                <c:pt idx="11">
                  <c:v>5.6951912133257843E-2</c:v>
                </c:pt>
                <c:pt idx="12">
                  <c:v>6.3201201428589454E-2</c:v>
                </c:pt>
                <c:pt idx="13">
                  <c:v>6.4074380049568017E-2</c:v>
                </c:pt>
                <c:pt idx="14">
                  <c:v>5.0096973963052543E-2</c:v>
                </c:pt>
                <c:pt idx="15">
                  <c:v>5.5183678597791781E-2</c:v>
                </c:pt>
                <c:pt idx="16">
                  <c:v>5.1595465487387714E-2</c:v>
                </c:pt>
                <c:pt idx="17">
                  <c:v>4.2869351647251759E-2</c:v>
                </c:pt>
              </c:numCache>
            </c:numRef>
          </c:val>
          <c:smooth val="0"/>
          <c:extLst>
            <c:ext xmlns:c16="http://schemas.microsoft.com/office/drawing/2014/chart" uri="{C3380CC4-5D6E-409C-BE32-E72D297353CC}">
              <c16:uniqueId val="{00000000-A5B6-400C-A3C8-154D7B166DAB}"/>
            </c:ext>
          </c:extLst>
        </c:ser>
        <c:ser>
          <c:idx val="1"/>
          <c:order val="1"/>
          <c:tx>
            <c:strRef>
              <c:f>Tabla!$G$28</c:f>
              <c:strCache>
                <c:ptCount val="1"/>
                <c:pt idx="0">
                  <c:v>Rentabilidad vivienda compartida de 3 habitaciones</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65000"/>
                        <a:lumOff val="3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Tabla!$E$29:$E$46</c:f>
              <c:strCache>
                <c:ptCount val="18"/>
                <c:pt idx="0">
                  <c:v>Castilla-La Mancha</c:v>
                </c:pt>
                <c:pt idx="1">
                  <c:v>Navarra</c:v>
                </c:pt>
                <c:pt idx="2">
                  <c:v>Extremadura</c:v>
                </c:pt>
                <c:pt idx="3">
                  <c:v>Cataluña</c:v>
                </c:pt>
                <c:pt idx="4">
                  <c:v>La Rioja</c:v>
                </c:pt>
                <c:pt idx="5">
                  <c:v>Aragón</c:v>
                </c:pt>
                <c:pt idx="6">
                  <c:v>Castilla y León</c:v>
                </c:pt>
                <c:pt idx="7">
                  <c:v>España</c:v>
                </c:pt>
                <c:pt idx="8">
                  <c:v>Región de Murcia</c:v>
                </c:pt>
                <c:pt idx="9">
                  <c:v>Comunitat Valenciana</c:v>
                </c:pt>
                <c:pt idx="10">
                  <c:v>Galicia</c:v>
                </c:pt>
                <c:pt idx="11">
                  <c:v>País Vasco</c:v>
                </c:pt>
                <c:pt idx="12">
                  <c:v>Cantabria</c:v>
                </c:pt>
                <c:pt idx="13">
                  <c:v>Asturias</c:v>
                </c:pt>
                <c:pt idx="14">
                  <c:v>Andalucía</c:v>
                </c:pt>
                <c:pt idx="15">
                  <c:v>Canarias</c:v>
                </c:pt>
                <c:pt idx="16">
                  <c:v>Madrid</c:v>
                </c:pt>
                <c:pt idx="17">
                  <c:v>Baleares</c:v>
                </c:pt>
              </c:strCache>
            </c:strRef>
          </c:cat>
          <c:val>
            <c:numRef>
              <c:f>Tabla!$G$29:$G$46</c:f>
              <c:numCache>
                <c:formatCode>0.0%</c:formatCode>
                <c:ptCount val="18"/>
                <c:pt idx="0">
                  <c:v>0.1045994518402506</c:v>
                </c:pt>
                <c:pt idx="1">
                  <c:v>0.10097161234750532</c:v>
                </c:pt>
                <c:pt idx="2">
                  <c:v>9.712064735302442E-2</c:v>
                </c:pt>
                <c:pt idx="3">
                  <c:v>9.2830132351477759E-2</c:v>
                </c:pt>
                <c:pt idx="4">
                  <c:v>8.8395588819940196E-2</c:v>
                </c:pt>
                <c:pt idx="5">
                  <c:v>8.7954216827421161E-2</c:v>
                </c:pt>
                <c:pt idx="6">
                  <c:v>8.7513008558100805E-2</c:v>
                </c:pt>
                <c:pt idx="7">
                  <c:v>8.6300922465035595E-2</c:v>
                </c:pt>
                <c:pt idx="8">
                  <c:v>8.1962272607131764E-2</c:v>
                </c:pt>
                <c:pt idx="9">
                  <c:v>7.9927952495441573E-2</c:v>
                </c:pt>
                <c:pt idx="10">
                  <c:v>7.412442238743272E-2</c:v>
                </c:pt>
                <c:pt idx="11">
                  <c:v>7.4070704918676164E-2</c:v>
                </c:pt>
                <c:pt idx="12">
                  <c:v>7.2337485329193943E-2</c:v>
                </c:pt>
                <c:pt idx="13">
                  <c:v>6.6954646652757729E-2</c:v>
                </c:pt>
                <c:pt idx="14">
                  <c:v>6.4586344268801346E-2</c:v>
                </c:pt>
                <c:pt idx="15">
                  <c:v>6.3751001240753252E-2</c:v>
                </c:pt>
                <c:pt idx="16">
                  <c:v>5.5061206267232175E-2</c:v>
                </c:pt>
                <c:pt idx="17">
                  <c:v>5.0277365013127205E-2</c:v>
                </c:pt>
              </c:numCache>
            </c:numRef>
          </c:val>
          <c:smooth val="0"/>
          <c:extLst>
            <c:ext xmlns:c16="http://schemas.microsoft.com/office/drawing/2014/chart" uri="{C3380CC4-5D6E-409C-BE32-E72D297353CC}">
              <c16:uniqueId val="{00000001-A5B6-400C-A3C8-154D7B166DAB}"/>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5846928"/>
        <c:axId val="85848368"/>
      </c:lineChart>
      <c:catAx>
        <c:axId val="858469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8368"/>
        <c:crosses val="autoZero"/>
        <c:auto val="1"/>
        <c:lblAlgn val="ctr"/>
        <c:lblOffset val="100"/>
        <c:noMultiLvlLbl val="0"/>
      </c:catAx>
      <c:valAx>
        <c:axId val="858483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mn-lt"/>
                <a:ea typeface="+mn-ea"/>
                <a:cs typeface="+mn-cs"/>
              </a:defRPr>
            </a:pPr>
            <a:endParaRPr lang="es-ES"/>
          </a:p>
        </c:txPr>
        <c:crossAx val="858469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5eYOlwblOM48WwcvFwJOq+c3JQ==">CgMxLjAyDmguNmtkdnM2bHo1dHNjMg5oLndjd2JsZ2h0aDVnMTIOaC5qYmtjZXV5Y29tdWYyCWguMnM4ZXlvMTgAciExdW5KNW1zZ1ZDSmdPLWtSU1RRdWNRWGJ4emtXbXBRYVg=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1780</Words>
  <Characters>9794</Characters>
  <Application>Microsoft Office Word</Application>
  <DocSecurity>0</DocSecurity>
  <Lines>81</Lines>
  <Paragraphs>23</Paragraphs>
  <ScaleCrop>false</ScaleCrop>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dcterms:created xsi:type="dcterms:W3CDTF">2024-10-15T07:38:00Z</dcterms:created>
  <dcterms:modified xsi:type="dcterms:W3CDTF">2025-09-19T06:13:00Z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2024-10-15T07:38:27Z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9e8f4abe-0493-4428-9643-733fd548dca3</vt:lpwstr>
  </property>
  <property fmtid="{D5CDD505-2E9C-101B-9397-08002B2CF9AE}" pid="8" name="MSIP_Label_defa4170-0d19-0005-0004-bc88714345d2_ContentBits">
    <vt:lpwstr>0</vt:lpwstr>
  </property>
</Properties>
</file>