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B66696" w14:textId="77777777" w:rsidR="000F55EB" w:rsidRDefault="00000000">
      <w:r>
        <w:rPr>
          <w:noProof/>
        </w:rPr>
        <w:drawing>
          <wp:anchor distT="0" distB="0" distL="114300" distR="114300" simplePos="0" relativeHeight="251658240" behindDoc="0" locked="0" layoutInCell="1" hidden="0" allowOverlap="1" wp14:anchorId="170C184F" wp14:editId="460D4F70">
            <wp:simplePos x="0" y="0"/>
            <wp:positionH relativeFrom="column">
              <wp:posOffset>-1080112</wp:posOffset>
            </wp:positionH>
            <wp:positionV relativeFrom="paragraph">
              <wp:posOffset>-654660</wp:posOffset>
            </wp:positionV>
            <wp:extent cx="7581265" cy="1019175"/>
            <wp:effectExtent l="0" t="0" r="0" b="0"/>
            <wp:wrapNone/>
            <wp:docPr id="20668166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7C8A7582" w14:textId="77777777" w:rsidR="000F55EB" w:rsidRDefault="000F55EB">
      <w:pPr>
        <w:jc w:val="right"/>
        <w:rPr>
          <w:rFonts w:ascii="National" w:eastAsia="National" w:hAnsi="National" w:cs="National"/>
          <w:color w:val="303AB2"/>
          <w:sz w:val="36"/>
          <w:szCs w:val="36"/>
        </w:rPr>
      </w:pPr>
    </w:p>
    <w:p w14:paraId="66CB0784" w14:textId="77777777" w:rsidR="000F55EB" w:rsidRDefault="000F55EB">
      <w:pPr>
        <w:jc w:val="center"/>
        <w:rPr>
          <w:rFonts w:ascii="National" w:eastAsia="National" w:hAnsi="National" w:cs="National"/>
          <w:b/>
          <w:color w:val="1DBDC5"/>
          <w:sz w:val="34"/>
          <w:szCs w:val="34"/>
        </w:rPr>
      </w:pPr>
    </w:p>
    <w:p w14:paraId="15EC4692" w14:textId="77777777" w:rsidR="000F55EB" w:rsidRDefault="00000000">
      <w:pPr>
        <w:jc w:val="center"/>
        <w:rPr>
          <w:rFonts w:ascii="National" w:eastAsia="National" w:hAnsi="National" w:cs="National"/>
          <w:b/>
          <w:color w:val="1DBDC5"/>
          <w:sz w:val="34"/>
          <w:szCs w:val="34"/>
        </w:rPr>
      </w:pPr>
      <w:r>
        <w:rPr>
          <w:rFonts w:ascii="National" w:eastAsia="National" w:hAnsi="National" w:cs="National"/>
          <w:b/>
          <w:color w:val="1DBDC5"/>
          <w:sz w:val="34"/>
          <w:szCs w:val="34"/>
        </w:rPr>
        <w:t>EXPERIENCIA EN ALQUILER EN 2025</w:t>
      </w:r>
    </w:p>
    <w:p w14:paraId="245C0CEF" w14:textId="77777777" w:rsidR="000F55EB" w:rsidRDefault="00000000">
      <w:pPr>
        <w:jc w:val="center"/>
        <w:rPr>
          <w:rFonts w:ascii="National" w:eastAsia="National" w:hAnsi="National" w:cs="National"/>
          <w:b/>
          <w:color w:val="303AB2"/>
          <w:sz w:val="54"/>
          <w:szCs w:val="54"/>
        </w:rPr>
      </w:pPr>
      <w:r>
        <w:rPr>
          <w:rFonts w:ascii="National" w:eastAsia="National" w:hAnsi="National" w:cs="National"/>
          <w:b/>
          <w:color w:val="303AB2"/>
          <w:sz w:val="54"/>
          <w:szCs w:val="54"/>
        </w:rPr>
        <w:t xml:space="preserve">Crece la intención de los inquilinos de comprar vivienda: el 53% quiere comprar en los próximos cinco años </w:t>
      </w:r>
    </w:p>
    <w:p w14:paraId="7A68E1A5" w14:textId="77777777" w:rsidR="000F55EB" w:rsidRDefault="000F55EB">
      <w:pPr>
        <w:rPr>
          <w:rFonts w:ascii="Open Sans" w:eastAsia="Open Sans" w:hAnsi="Open Sans" w:cs="Open Sans"/>
          <w:color w:val="303AB2"/>
        </w:rPr>
      </w:pPr>
    </w:p>
    <w:p w14:paraId="24A57952" w14:textId="77777777" w:rsidR="000F55EB" w:rsidRDefault="00000000">
      <w:pPr>
        <w:numPr>
          <w:ilvl w:val="0"/>
          <w:numId w:val="1"/>
        </w:numPr>
        <w:pBdr>
          <w:top w:val="nil"/>
          <w:left w:val="nil"/>
          <w:bottom w:val="nil"/>
          <w:right w:val="nil"/>
          <w:between w:val="nil"/>
        </w:pBdr>
        <w:spacing w:line="276" w:lineRule="auto"/>
        <w:ind w:right="283"/>
        <w:jc w:val="both"/>
        <w:rPr>
          <w:rFonts w:ascii="Open Sans" w:eastAsia="Open Sans" w:hAnsi="Open Sans" w:cs="Open Sans"/>
          <w:color w:val="000000"/>
          <w:sz w:val="22"/>
          <w:szCs w:val="22"/>
        </w:rPr>
      </w:pPr>
      <w:r>
        <w:rPr>
          <w:rFonts w:ascii="Open Sans" w:eastAsia="Open Sans" w:hAnsi="Open Sans" w:cs="Open Sans"/>
          <w:color w:val="000000"/>
          <w:sz w:val="22"/>
          <w:szCs w:val="22"/>
        </w:rPr>
        <w:t>Un 19% quiere comprar en un plazo de dos años y un 39% quiere hacerlo en un plazo entre dos y cinco años</w:t>
      </w:r>
    </w:p>
    <w:p w14:paraId="7B2BF45C" w14:textId="77777777" w:rsidR="000F55EB" w:rsidRDefault="00000000">
      <w:pPr>
        <w:numPr>
          <w:ilvl w:val="0"/>
          <w:numId w:val="1"/>
        </w:numPr>
        <w:pBdr>
          <w:top w:val="nil"/>
          <w:left w:val="nil"/>
          <w:bottom w:val="nil"/>
          <w:right w:val="nil"/>
          <w:between w:val="nil"/>
        </w:pBdr>
        <w:spacing w:line="276" w:lineRule="auto"/>
        <w:ind w:right="283"/>
        <w:jc w:val="both"/>
        <w:rPr>
          <w:rFonts w:ascii="Open Sans" w:eastAsia="Open Sans" w:hAnsi="Open Sans" w:cs="Open Sans"/>
          <w:color w:val="000000"/>
          <w:sz w:val="22"/>
          <w:szCs w:val="22"/>
        </w:rPr>
      </w:pPr>
      <w:r>
        <w:rPr>
          <w:rFonts w:ascii="Open Sans" w:eastAsia="Open Sans" w:hAnsi="Open Sans" w:cs="Open Sans"/>
          <w:color w:val="000000"/>
          <w:sz w:val="22"/>
          <w:szCs w:val="22"/>
        </w:rPr>
        <w:t>Hace un año era un 48% los inquilinos que querían comprar y ahora se ha incrementado en cinco puntos porcentuales</w:t>
      </w:r>
    </w:p>
    <w:p w14:paraId="604A68C1" w14:textId="77777777" w:rsidR="000F55EB" w:rsidRDefault="00000000">
      <w:pPr>
        <w:numPr>
          <w:ilvl w:val="0"/>
          <w:numId w:val="1"/>
        </w:numPr>
        <w:pBdr>
          <w:top w:val="nil"/>
          <w:left w:val="nil"/>
          <w:bottom w:val="nil"/>
          <w:right w:val="nil"/>
          <w:between w:val="nil"/>
        </w:pBdr>
        <w:spacing w:line="276" w:lineRule="auto"/>
        <w:ind w:right="283"/>
        <w:jc w:val="both"/>
        <w:rPr>
          <w:rFonts w:ascii="Open Sans" w:eastAsia="Open Sans" w:hAnsi="Open Sans" w:cs="Open Sans"/>
          <w:color w:val="000000"/>
          <w:sz w:val="22"/>
          <w:szCs w:val="22"/>
        </w:rPr>
      </w:pPr>
      <w:r>
        <w:rPr>
          <w:rFonts w:ascii="Open Sans" w:eastAsia="Open Sans" w:hAnsi="Open Sans" w:cs="Open Sans"/>
          <w:color w:val="000000"/>
          <w:sz w:val="22"/>
          <w:szCs w:val="22"/>
        </w:rPr>
        <w:t>Un 30% de inquilinos no se plantea comprar ahora pero no descarta hacerlo más adelante y un 17% lo descarta por completo</w:t>
      </w:r>
    </w:p>
    <w:p w14:paraId="21A18D5B" w14:textId="77777777" w:rsidR="000F55EB" w:rsidRDefault="00000000">
      <w:pPr>
        <w:numPr>
          <w:ilvl w:val="0"/>
          <w:numId w:val="1"/>
        </w:numPr>
        <w:pBdr>
          <w:top w:val="nil"/>
          <w:left w:val="nil"/>
          <w:bottom w:val="nil"/>
          <w:right w:val="nil"/>
          <w:between w:val="nil"/>
        </w:pBdr>
        <w:spacing w:line="276" w:lineRule="auto"/>
        <w:ind w:right="283"/>
        <w:jc w:val="both"/>
        <w:rPr>
          <w:rFonts w:ascii="Open Sans" w:eastAsia="Open Sans" w:hAnsi="Open Sans" w:cs="Open Sans"/>
          <w:color w:val="000000"/>
          <w:sz w:val="22"/>
          <w:szCs w:val="22"/>
        </w:rPr>
      </w:pPr>
      <w:r>
        <w:rPr>
          <w:rFonts w:ascii="Open Sans" w:eastAsia="Open Sans" w:hAnsi="Open Sans" w:cs="Open Sans"/>
          <w:color w:val="000000"/>
          <w:sz w:val="22"/>
          <w:szCs w:val="22"/>
        </w:rPr>
        <w:t>Ocho de cada diez inquilinos creen que los precios de la vivienda de compra van a seguir aumentando</w:t>
      </w:r>
    </w:p>
    <w:p w14:paraId="4DB89C59" w14:textId="77777777" w:rsidR="000F55EB" w:rsidRDefault="000F55EB">
      <w:pPr>
        <w:pBdr>
          <w:top w:val="nil"/>
          <w:left w:val="nil"/>
          <w:bottom w:val="nil"/>
          <w:right w:val="nil"/>
          <w:between w:val="nil"/>
        </w:pBdr>
        <w:spacing w:line="276" w:lineRule="auto"/>
        <w:ind w:left="720" w:right="283"/>
        <w:jc w:val="both"/>
        <w:rPr>
          <w:rFonts w:ascii="Open Sans" w:eastAsia="Open Sans" w:hAnsi="Open Sans" w:cs="Open Sans"/>
          <w:color w:val="000000"/>
          <w:sz w:val="22"/>
          <w:szCs w:val="22"/>
        </w:rPr>
      </w:pPr>
    </w:p>
    <w:p w14:paraId="3E52D654" w14:textId="77777777" w:rsidR="000F55EB" w:rsidRDefault="000F55EB">
      <w:pPr>
        <w:pBdr>
          <w:top w:val="nil"/>
          <w:left w:val="nil"/>
          <w:bottom w:val="nil"/>
          <w:right w:val="nil"/>
          <w:between w:val="nil"/>
        </w:pBdr>
        <w:spacing w:line="276" w:lineRule="auto"/>
        <w:ind w:right="283"/>
        <w:jc w:val="both"/>
        <w:rPr>
          <w:rFonts w:ascii="Open Sans Light" w:eastAsia="Open Sans Light" w:hAnsi="Open Sans Light" w:cs="Open Sans Light"/>
          <w:b/>
          <w:color w:val="303AB2"/>
        </w:rPr>
      </w:pPr>
    </w:p>
    <w:p w14:paraId="0AF51FBF" w14:textId="0F807FBF" w:rsidR="000F55EB"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Madrid, </w:t>
      </w:r>
      <w:r w:rsidR="00D02089">
        <w:rPr>
          <w:rFonts w:ascii="Open Sans Light" w:eastAsia="Open Sans Light" w:hAnsi="Open Sans Light" w:cs="Open Sans Light"/>
          <w:b/>
          <w:color w:val="303AB2"/>
        </w:rPr>
        <w:t>6</w:t>
      </w:r>
      <w:r>
        <w:rPr>
          <w:rFonts w:ascii="Open Sans Light" w:eastAsia="Open Sans Light" w:hAnsi="Open Sans Light" w:cs="Open Sans Light"/>
          <w:b/>
          <w:color w:val="303AB2"/>
        </w:rPr>
        <w:t xml:space="preserve"> de octubre de 2025</w:t>
      </w:r>
    </w:p>
    <w:p w14:paraId="78CFA3F2" w14:textId="77777777" w:rsidR="000F55EB" w:rsidRDefault="000F55EB">
      <w:pPr>
        <w:pBdr>
          <w:top w:val="nil"/>
          <w:left w:val="nil"/>
          <w:bottom w:val="nil"/>
          <w:right w:val="nil"/>
          <w:between w:val="nil"/>
        </w:pBdr>
        <w:spacing w:line="276" w:lineRule="auto"/>
        <w:jc w:val="both"/>
        <w:rPr>
          <w:rFonts w:ascii="Open Sans Light" w:eastAsia="Open Sans Light" w:hAnsi="Open Sans Light" w:cs="Open Sans Light"/>
          <w:b/>
          <w:color w:val="303AB2"/>
        </w:rPr>
      </w:pPr>
    </w:p>
    <w:p w14:paraId="50D178A5" w14:textId="77777777" w:rsidR="000F55EB" w:rsidRDefault="00000000">
      <w:p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sz w:val="22"/>
          <w:szCs w:val="22"/>
        </w:rPr>
        <w:t xml:space="preserve">Son muchos los inquilinos que, aunque están buscando vivienda para alquilar, </w:t>
      </w:r>
      <w:r>
        <w:rPr>
          <w:rFonts w:ascii="Open Sans" w:eastAsia="Open Sans" w:hAnsi="Open Sans" w:cs="Open Sans"/>
          <w:b/>
          <w:sz w:val="22"/>
          <w:szCs w:val="22"/>
        </w:rPr>
        <w:t>tienen la intención de comprar una vivienda en un futuro no muy lejano</w:t>
      </w:r>
      <w:r>
        <w:rPr>
          <w:rFonts w:ascii="Open Sans" w:eastAsia="Open Sans" w:hAnsi="Open Sans" w:cs="Open Sans"/>
          <w:sz w:val="22"/>
          <w:szCs w:val="22"/>
        </w:rPr>
        <w:t xml:space="preserve">. Unos planes que pueden estar posponiendo, por falta de estabilidad o ahorro, entre otros motivos. En este sentido, uno de cada dos inquilinos mayores de 18 años que han alquilado una vivienda para vivir en ella o lo han intentado durante 2025 </w:t>
      </w:r>
      <w:r>
        <w:rPr>
          <w:rFonts w:ascii="Open Sans" w:eastAsia="Open Sans" w:hAnsi="Open Sans" w:cs="Open Sans"/>
          <w:b/>
          <w:sz w:val="22"/>
          <w:szCs w:val="22"/>
        </w:rPr>
        <w:t>prevé adquirir una en un plazo no superior a cinco años</w:t>
      </w:r>
      <w:r>
        <w:rPr>
          <w:rFonts w:ascii="Open Sans" w:eastAsia="Open Sans" w:hAnsi="Open Sans" w:cs="Open Sans"/>
          <w:sz w:val="22"/>
          <w:szCs w:val="22"/>
        </w:rPr>
        <w:t>. Este grupo se reparte entre un 19% que estima que realizará esta compra en un plazo de dos años y un 34% que prevé hacerlo en un horizonte temporal que oscila entre los dos y cinco años. Esta es una de las principales conclusiones del informe “</w:t>
      </w:r>
      <w:hyperlink r:id="rId9">
        <w:r w:rsidR="000F55EB">
          <w:rPr>
            <w:rFonts w:ascii="Open Sans" w:eastAsia="Open Sans" w:hAnsi="Open Sans" w:cs="Open Sans"/>
            <w:b/>
            <w:i/>
            <w:color w:val="0000FF"/>
            <w:sz w:val="22"/>
            <w:szCs w:val="22"/>
            <w:u w:val="single"/>
          </w:rPr>
          <w:t>Experiencia en alquiler en 2025</w:t>
        </w:r>
      </w:hyperlink>
      <w:r>
        <w:rPr>
          <w:rFonts w:ascii="Open Sans" w:eastAsia="Open Sans" w:hAnsi="Open Sans" w:cs="Open Sans"/>
          <w:sz w:val="22"/>
          <w:szCs w:val="22"/>
        </w:rPr>
        <w:t xml:space="preserve">”, elaborado por </w:t>
      </w:r>
      <w:hyperlink r:id="rId10">
        <w:r w:rsidR="000F55EB">
          <w:rPr>
            <w:rFonts w:ascii="Open Sans" w:eastAsia="Open Sans" w:hAnsi="Open Sans" w:cs="Open Sans"/>
            <w:b/>
            <w:color w:val="0000FF"/>
            <w:sz w:val="22"/>
            <w:szCs w:val="22"/>
            <w:u w:val="single"/>
          </w:rPr>
          <w:t xml:space="preserve">Fotocasa </w:t>
        </w:r>
        <w:proofErr w:type="spellStart"/>
        <w:r w:rsidR="000F55EB">
          <w:rPr>
            <w:rFonts w:ascii="Open Sans" w:eastAsia="Open Sans" w:hAnsi="Open Sans" w:cs="Open Sans"/>
            <w:b/>
            <w:color w:val="0000FF"/>
            <w:sz w:val="22"/>
            <w:szCs w:val="22"/>
            <w:u w:val="single"/>
          </w:rPr>
          <w:t>Research</w:t>
        </w:r>
        <w:proofErr w:type="spellEnd"/>
      </w:hyperlink>
      <w:r>
        <w:rPr>
          <w:rFonts w:ascii="Open Sans" w:eastAsia="Open Sans" w:hAnsi="Open Sans" w:cs="Open Sans"/>
          <w:sz w:val="22"/>
          <w:szCs w:val="22"/>
        </w:rPr>
        <w:t xml:space="preserve"> y que traza una exhaustiva radiografía del mercado de la vivienda en arrendamiento.</w:t>
      </w:r>
    </w:p>
    <w:p w14:paraId="0F0E23FE" w14:textId="77777777" w:rsidR="000F55EB" w:rsidRDefault="000F55EB">
      <w:pPr>
        <w:pBdr>
          <w:top w:val="nil"/>
          <w:left w:val="nil"/>
          <w:bottom w:val="nil"/>
          <w:right w:val="nil"/>
          <w:between w:val="nil"/>
        </w:pBdr>
        <w:spacing w:line="276" w:lineRule="auto"/>
        <w:jc w:val="both"/>
        <w:rPr>
          <w:rFonts w:ascii="Open Sans" w:eastAsia="Open Sans" w:hAnsi="Open Sans" w:cs="Open Sans"/>
          <w:sz w:val="22"/>
          <w:szCs w:val="22"/>
        </w:rPr>
      </w:pPr>
    </w:p>
    <w:p w14:paraId="2C8776C8" w14:textId="77777777" w:rsidR="000F55EB" w:rsidRDefault="00000000">
      <w:p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b/>
          <w:sz w:val="22"/>
          <w:szCs w:val="22"/>
        </w:rPr>
        <w:t>Un cambio significativo que se ha producido con respecto a 2024 es el aumento de esta intención de compra</w:t>
      </w:r>
      <w:r>
        <w:rPr>
          <w:rFonts w:ascii="Open Sans" w:eastAsia="Open Sans" w:hAnsi="Open Sans" w:cs="Open Sans"/>
          <w:sz w:val="22"/>
          <w:szCs w:val="22"/>
        </w:rPr>
        <w:t>. Hace doce meses eran el 48% los que se planteaban comprar una vivienda en el próximo lustro. Sin embargo, ahora son el 53%, cinco puntos más. Este último registro, además, se sitúa en valores similares a los de 2023, cuando la intención de compra a cinco años vista por parte de los demandantes de vivienda de alquiler alcanzaba al 52%.</w:t>
      </w:r>
    </w:p>
    <w:p w14:paraId="527FC16B" w14:textId="77777777" w:rsidR="000F55EB" w:rsidRDefault="00000000">
      <w:pPr>
        <w:pBdr>
          <w:top w:val="nil"/>
          <w:left w:val="nil"/>
          <w:bottom w:val="nil"/>
          <w:right w:val="nil"/>
          <w:between w:val="nil"/>
        </w:pBdr>
        <w:spacing w:line="276" w:lineRule="auto"/>
        <w:jc w:val="both"/>
        <w:rPr>
          <w:rFonts w:ascii="Open Sans" w:eastAsia="Open Sans" w:hAnsi="Open Sans" w:cs="Open Sans"/>
          <w:b/>
          <w:sz w:val="22"/>
          <w:szCs w:val="22"/>
        </w:rPr>
      </w:pPr>
      <w:r>
        <w:rPr>
          <w:rFonts w:ascii="Open Sans" w:eastAsia="Open Sans" w:hAnsi="Open Sans" w:cs="Open Sans"/>
          <w:sz w:val="22"/>
          <w:szCs w:val="22"/>
        </w:rPr>
        <w:lastRenderedPageBreak/>
        <w:t xml:space="preserve">“La realidad que muestran los datos es cada vez más evidente: el alquiler ya no es una opción deseada a largo plazo para muchos ciudadanos, sino una etapa forzada por no poder comprar vivienda. Que más de la mitad de los inquilinos afirme que quiere comprar en los próximos cinco años indica elegir otro modelo residencial dirigido a la propiedad. Este cambio de tendencia tan acusado responde a un precio del alquiler cada vez más tensionado y a una percepción creciente de que la compra, a pesar de sus dificultades, representa mayor estabilidad y protección frente a la subida de precios del mercado del arrendamiento”, </w:t>
      </w:r>
      <w:r>
        <w:rPr>
          <w:rFonts w:ascii="Open Sans" w:eastAsia="Open Sans" w:hAnsi="Open Sans" w:cs="Open Sans"/>
          <w:b/>
          <w:sz w:val="22"/>
          <w:szCs w:val="22"/>
        </w:rPr>
        <w:t xml:space="preserve">explica María Matos, directora de Estudios y portavoz de </w:t>
      </w:r>
      <w:hyperlink r:id="rId11">
        <w:r w:rsidR="000F55EB">
          <w:rPr>
            <w:rFonts w:ascii="Open Sans" w:eastAsia="Open Sans" w:hAnsi="Open Sans" w:cs="Open Sans"/>
            <w:b/>
            <w:color w:val="1155CC"/>
            <w:sz w:val="22"/>
            <w:szCs w:val="22"/>
            <w:u w:val="single"/>
          </w:rPr>
          <w:t>Fotocasa</w:t>
        </w:r>
      </w:hyperlink>
      <w:r>
        <w:rPr>
          <w:rFonts w:ascii="Open Sans" w:eastAsia="Open Sans" w:hAnsi="Open Sans" w:cs="Open Sans"/>
          <w:b/>
          <w:sz w:val="22"/>
          <w:szCs w:val="22"/>
        </w:rPr>
        <w:t xml:space="preserve">. </w:t>
      </w:r>
    </w:p>
    <w:p w14:paraId="0A2C069B" w14:textId="77777777" w:rsidR="000F55EB" w:rsidRDefault="000F55EB">
      <w:pPr>
        <w:pBdr>
          <w:top w:val="nil"/>
          <w:left w:val="nil"/>
          <w:bottom w:val="nil"/>
          <w:right w:val="nil"/>
          <w:between w:val="nil"/>
        </w:pBdr>
        <w:spacing w:line="276" w:lineRule="auto"/>
        <w:jc w:val="both"/>
        <w:rPr>
          <w:rFonts w:ascii="Open Sans" w:eastAsia="Open Sans" w:hAnsi="Open Sans" w:cs="Open Sans"/>
          <w:sz w:val="22"/>
          <w:szCs w:val="22"/>
        </w:rPr>
      </w:pPr>
    </w:p>
    <w:p w14:paraId="56062EE4" w14:textId="77777777" w:rsidR="000F55EB" w:rsidRDefault="00000000">
      <w:p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sz w:val="22"/>
          <w:szCs w:val="22"/>
        </w:rPr>
        <w:t xml:space="preserve">Aparte de estos, </w:t>
      </w:r>
      <w:r>
        <w:rPr>
          <w:rFonts w:ascii="Open Sans" w:eastAsia="Open Sans" w:hAnsi="Open Sans" w:cs="Open Sans"/>
          <w:b/>
          <w:sz w:val="22"/>
          <w:szCs w:val="22"/>
        </w:rPr>
        <w:t>hay un 30% que, aunque no se plantea comprar una vivienda a medio plazo, pero sí que espera hacerlo más adelante</w:t>
      </w:r>
      <w:r>
        <w:rPr>
          <w:rFonts w:ascii="Open Sans" w:eastAsia="Open Sans" w:hAnsi="Open Sans" w:cs="Open Sans"/>
          <w:sz w:val="22"/>
          <w:szCs w:val="22"/>
        </w:rPr>
        <w:t>. Y, por último, hay un 17% que descarta por completo realizar esta operación tanto a medio como a largo plazo.</w:t>
      </w:r>
    </w:p>
    <w:p w14:paraId="4641BEB7" w14:textId="77777777" w:rsidR="000F55EB" w:rsidRDefault="000F55EB">
      <w:pPr>
        <w:pBdr>
          <w:top w:val="nil"/>
          <w:left w:val="nil"/>
          <w:bottom w:val="nil"/>
          <w:right w:val="nil"/>
          <w:between w:val="nil"/>
        </w:pBdr>
        <w:spacing w:line="276" w:lineRule="auto"/>
        <w:jc w:val="both"/>
        <w:rPr>
          <w:rFonts w:ascii="Open Sans" w:eastAsia="Open Sans" w:hAnsi="Open Sans" w:cs="Open Sans"/>
          <w:sz w:val="22"/>
          <w:szCs w:val="22"/>
        </w:rPr>
      </w:pPr>
    </w:p>
    <w:p w14:paraId="205563E4" w14:textId="77777777" w:rsidR="000F55EB" w:rsidRDefault="00000000">
      <w:pPr>
        <w:pBdr>
          <w:top w:val="nil"/>
          <w:left w:val="nil"/>
          <w:bottom w:val="nil"/>
          <w:right w:val="nil"/>
          <w:between w:val="nil"/>
        </w:pBdr>
        <w:spacing w:line="276" w:lineRule="auto"/>
        <w:jc w:val="both"/>
        <w:rPr>
          <w:rFonts w:ascii="Open Sans" w:eastAsia="Open Sans" w:hAnsi="Open Sans" w:cs="Open Sans"/>
          <w:sz w:val="22"/>
          <w:szCs w:val="22"/>
        </w:rPr>
      </w:pPr>
      <w:r>
        <w:rPr>
          <w:noProof/>
        </w:rPr>
        <w:drawing>
          <wp:inline distT="0" distB="0" distL="0" distR="0" wp14:anchorId="07AD5322" wp14:editId="1F5AF1DB">
            <wp:extent cx="5760720" cy="2691765"/>
            <wp:effectExtent l="0" t="0" r="0" b="0"/>
            <wp:docPr id="2066816633" name="image4.png" descr="Gráfico, Gráfico de líneas&#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4.png" descr="Gráfico, Gráfico de líneas&#10;&#10;El contenido generado por IA puede ser incorrecto."/>
                    <pic:cNvPicPr preferRelativeResize="0"/>
                  </pic:nvPicPr>
                  <pic:blipFill>
                    <a:blip r:embed="rId12"/>
                    <a:srcRect/>
                    <a:stretch>
                      <a:fillRect/>
                    </a:stretch>
                  </pic:blipFill>
                  <pic:spPr>
                    <a:xfrm>
                      <a:off x="0" y="0"/>
                      <a:ext cx="5760720" cy="2691765"/>
                    </a:xfrm>
                    <a:prstGeom prst="rect">
                      <a:avLst/>
                    </a:prstGeom>
                    <a:ln/>
                  </pic:spPr>
                </pic:pic>
              </a:graphicData>
            </a:graphic>
          </wp:inline>
        </w:drawing>
      </w:r>
    </w:p>
    <w:p w14:paraId="06E5EF3C" w14:textId="77777777" w:rsidR="000F55EB" w:rsidRDefault="000F55EB">
      <w:pPr>
        <w:pBdr>
          <w:top w:val="nil"/>
          <w:left w:val="nil"/>
          <w:bottom w:val="nil"/>
          <w:right w:val="nil"/>
          <w:between w:val="nil"/>
        </w:pBdr>
        <w:spacing w:line="276" w:lineRule="auto"/>
        <w:jc w:val="both"/>
        <w:rPr>
          <w:rFonts w:ascii="Open Sans" w:eastAsia="Open Sans" w:hAnsi="Open Sans" w:cs="Open Sans"/>
          <w:sz w:val="22"/>
          <w:szCs w:val="22"/>
        </w:rPr>
      </w:pPr>
    </w:p>
    <w:p w14:paraId="3E177643" w14:textId="77777777" w:rsidR="000F55EB" w:rsidRDefault="000F55EB">
      <w:pPr>
        <w:pBdr>
          <w:top w:val="nil"/>
          <w:left w:val="nil"/>
          <w:bottom w:val="nil"/>
          <w:right w:val="nil"/>
          <w:between w:val="nil"/>
        </w:pBdr>
        <w:spacing w:line="276" w:lineRule="auto"/>
        <w:jc w:val="both"/>
        <w:rPr>
          <w:rFonts w:ascii="Open Sans" w:eastAsia="Open Sans" w:hAnsi="Open Sans" w:cs="Open Sans"/>
          <w:sz w:val="22"/>
          <w:szCs w:val="22"/>
        </w:rPr>
      </w:pPr>
    </w:p>
    <w:p w14:paraId="2520BB4A" w14:textId="77777777" w:rsidR="000F55EB"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Los jóvenes entre 25 y 34 años son los que tienen mayor intención de compra</w:t>
      </w:r>
    </w:p>
    <w:p w14:paraId="73BDBC47" w14:textId="77777777" w:rsidR="000F55EB" w:rsidRDefault="000F55EB">
      <w:pPr>
        <w:pBdr>
          <w:top w:val="nil"/>
          <w:left w:val="nil"/>
          <w:bottom w:val="nil"/>
          <w:right w:val="nil"/>
          <w:between w:val="nil"/>
        </w:pBdr>
        <w:spacing w:line="276" w:lineRule="auto"/>
        <w:jc w:val="both"/>
        <w:rPr>
          <w:rFonts w:ascii="Open Sans" w:eastAsia="Open Sans" w:hAnsi="Open Sans" w:cs="Open Sans"/>
          <w:sz w:val="22"/>
          <w:szCs w:val="22"/>
        </w:rPr>
      </w:pPr>
    </w:p>
    <w:p w14:paraId="50ECEB0D" w14:textId="77777777" w:rsidR="000F55EB" w:rsidRDefault="00000000">
      <w:p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sz w:val="22"/>
          <w:szCs w:val="22"/>
        </w:rPr>
        <w:t xml:space="preserve">Como es lógico, </w:t>
      </w:r>
      <w:r>
        <w:rPr>
          <w:rFonts w:ascii="Open Sans" w:eastAsia="Open Sans" w:hAnsi="Open Sans" w:cs="Open Sans"/>
          <w:b/>
          <w:sz w:val="22"/>
          <w:szCs w:val="22"/>
        </w:rPr>
        <w:t>estas aspiraciones de compra no son iguales en función de la edad de los inquilinos</w:t>
      </w:r>
      <w:r>
        <w:rPr>
          <w:rFonts w:ascii="Open Sans" w:eastAsia="Open Sans" w:hAnsi="Open Sans" w:cs="Open Sans"/>
          <w:sz w:val="22"/>
          <w:szCs w:val="22"/>
        </w:rPr>
        <w:t>. De hecho, los segmentos más activos en el mercado son los que muestran una mayor intencionalidad. Así, un 65% (57% en 2024) de los que tienen entre 25 y 34 años prevé adquirir una vivienda en los próximos cinco años. En el caso del estrato inmediatamente superior, que abarca desde los 35 hasta los 44 años, son el 61% los que esperan comprar de aquí a 2030.</w:t>
      </w:r>
    </w:p>
    <w:p w14:paraId="2C0223EC" w14:textId="77777777" w:rsidR="000F55EB" w:rsidRDefault="000F55EB">
      <w:pPr>
        <w:pBdr>
          <w:top w:val="nil"/>
          <w:left w:val="nil"/>
          <w:bottom w:val="nil"/>
          <w:right w:val="nil"/>
          <w:between w:val="nil"/>
        </w:pBdr>
        <w:spacing w:line="276" w:lineRule="auto"/>
        <w:jc w:val="both"/>
        <w:rPr>
          <w:rFonts w:ascii="Open Sans" w:eastAsia="Open Sans" w:hAnsi="Open Sans" w:cs="Open Sans"/>
          <w:sz w:val="22"/>
          <w:szCs w:val="22"/>
        </w:rPr>
      </w:pPr>
    </w:p>
    <w:p w14:paraId="6928D22C" w14:textId="77777777" w:rsidR="000F55EB" w:rsidRDefault="00000000">
      <w:p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sz w:val="22"/>
          <w:szCs w:val="22"/>
        </w:rPr>
        <w:t xml:space="preserve">Dentro de estos segmentos resulta interesante el hecho de que, </w:t>
      </w:r>
      <w:r>
        <w:rPr>
          <w:rFonts w:ascii="Open Sans" w:eastAsia="Open Sans" w:hAnsi="Open Sans" w:cs="Open Sans"/>
          <w:b/>
          <w:sz w:val="22"/>
          <w:szCs w:val="22"/>
        </w:rPr>
        <w:t>los que oscilan entre los 25 y 34 años se plantean un horizonte temporal más amplio:</w:t>
      </w:r>
      <w:r>
        <w:rPr>
          <w:rFonts w:ascii="Open Sans" w:eastAsia="Open Sans" w:hAnsi="Open Sans" w:cs="Open Sans"/>
          <w:sz w:val="22"/>
          <w:szCs w:val="22"/>
        </w:rPr>
        <w:t xml:space="preserve"> en su caso, el 45% afirma que su plazo para comprar vivienda es de dos a cinco años, frente al 20% que se sitúa por debajo de los dos años. Por el contrario, los inquilinos que comprenden los 35 </w:t>
      </w:r>
      <w:r>
        <w:rPr>
          <w:rFonts w:ascii="Open Sans" w:eastAsia="Open Sans" w:hAnsi="Open Sans" w:cs="Open Sans"/>
          <w:sz w:val="22"/>
          <w:szCs w:val="22"/>
        </w:rPr>
        <w:lastRenderedPageBreak/>
        <w:t>y los 44 años ven la compra de vivienda como algo más inmediato: el 25% espera comprar de aquí a dos años y el 37% cree que tardará entre dos y cinco años.</w:t>
      </w:r>
    </w:p>
    <w:p w14:paraId="5E13E016" w14:textId="77777777" w:rsidR="000F55EB" w:rsidRDefault="000F55EB">
      <w:pPr>
        <w:pBdr>
          <w:top w:val="nil"/>
          <w:left w:val="nil"/>
          <w:bottom w:val="nil"/>
          <w:right w:val="nil"/>
          <w:between w:val="nil"/>
        </w:pBdr>
        <w:spacing w:line="276" w:lineRule="auto"/>
        <w:jc w:val="both"/>
        <w:rPr>
          <w:rFonts w:ascii="Open Sans" w:eastAsia="Open Sans" w:hAnsi="Open Sans" w:cs="Open Sans"/>
          <w:sz w:val="22"/>
          <w:szCs w:val="22"/>
        </w:rPr>
      </w:pPr>
    </w:p>
    <w:p w14:paraId="3B88A0BB" w14:textId="77777777" w:rsidR="000F55EB" w:rsidRDefault="00000000">
      <w:p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sz w:val="22"/>
          <w:szCs w:val="22"/>
        </w:rPr>
        <w:t xml:space="preserve">Tras estos dos grupos, el que más despunta en las expectativas de compra es el más joven </w:t>
      </w:r>
      <w:r>
        <w:rPr>
          <w:rFonts w:ascii="Open Sans" w:eastAsia="Open Sans" w:hAnsi="Open Sans" w:cs="Open Sans"/>
          <w:b/>
          <w:sz w:val="22"/>
          <w:szCs w:val="22"/>
        </w:rPr>
        <w:t>(18-24 años), donde un 52% de los demandantes de vivienda de alquiler espera comprar su propia vivienda en un plazo de cinco años</w:t>
      </w:r>
      <w:r>
        <w:rPr>
          <w:rFonts w:ascii="Open Sans" w:eastAsia="Open Sans" w:hAnsi="Open Sans" w:cs="Open Sans"/>
          <w:sz w:val="22"/>
          <w:szCs w:val="22"/>
        </w:rPr>
        <w:t xml:space="preserve">. Por último, los de mayor edad son los que muestran menos interés por la compra tanto a medio como a largo plazo: solo un 29% de los que tienen entre 55 y 75 años tiene intención de comprar vivienda dentro de, como máximo, cinco años. Esta cifra es del 43% en el caso de los que tienen entre 45 y 54 años. </w:t>
      </w:r>
    </w:p>
    <w:p w14:paraId="038AFFA0" w14:textId="77777777" w:rsidR="000F55EB" w:rsidRDefault="000F55EB">
      <w:pPr>
        <w:pBdr>
          <w:top w:val="nil"/>
          <w:left w:val="nil"/>
          <w:bottom w:val="nil"/>
          <w:right w:val="nil"/>
          <w:between w:val="nil"/>
        </w:pBdr>
        <w:spacing w:line="276" w:lineRule="auto"/>
        <w:jc w:val="both"/>
        <w:rPr>
          <w:rFonts w:ascii="Open Sans" w:eastAsia="Open Sans" w:hAnsi="Open Sans" w:cs="Open Sans"/>
          <w:sz w:val="22"/>
          <w:szCs w:val="22"/>
        </w:rPr>
      </w:pPr>
    </w:p>
    <w:p w14:paraId="067D60DD" w14:textId="77777777" w:rsidR="000F55EB"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Los inquilinos creen que la vivienda de compra va a seguir encareciéndose</w:t>
      </w:r>
    </w:p>
    <w:p w14:paraId="12F9B98E" w14:textId="77777777" w:rsidR="000F55EB" w:rsidRDefault="000F55EB">
      <w:pPr>
        <w:pBdr>
          <w:top w:val="nil"/>
          <w:left w:val="nil"/>
          <w:bottom w:val="nil"/>
          <w:right w:val="nil"/>
          <w:between w:val="nil"/>
        </w:pBdr>
        <w:spacing w:line="276" w:lineRule="auto"/>
        <w:jc w:val="both"/>
        <w:rPr>
          <w:rFonts w:ascii="Open Sans" w:eastAsia="Open Sans" w:hAnsi="Open Sans" w:cs="Open Sans"/>
          <w:sz w:val="22"/>
          <w:szCs w:val="22"/>
        </w:rPr>
      </w:pPr>
    </w:p>
    <w:p w14:paraId="11504A11" w14:textId="77777777" w:rsidR="000F55EB" w:rsidRDefault="00000000">
      <w:p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b/>
          <w:sz w:val="22"/>
          <w:szCs w:val="22"/>
        </w:rPr>
        <w:t>El coste de la vivienda es una de las principales barreras tanto para alquilar una como para comprarla</w:t>
      </w:r>
      <w:r>
        <w:rPr>
          <w:rFonts w:ascii="Open Sans" w:eastAsia="Open Sans" w:hAnsi="Open Sans" w:cs="Open Sans"/>
          <w:sz w:val="22"/>
          <w:szCs w:val="22"/>
        </w:rPr>
        <w:t xml:space="preserve">. Cuando se pregunta a los particulares que han participado en el mercado de alquiler sobre su </w:t>
      </w:r>
      <w:r>
        <w:rPr>
          <w:rFonts w:ascii="Open Sans" w:eastAsia="Open Sans" w:hAnsi="Open Sans" w:cs="Open Sans"/>
          <w:b/>
          <w:sz w:val="22"/>
          <w:szCs w:val="22"/>
        </w:rPr>
        <w:t>percepción del precio de la vivienda de compra,</w:t>
      </w:r>
      <w:r>
        <w:rPr>
          <w:rFonts w:ascii="Open Sans" w:eastAsia="Open Sans" w:hAnsi="Open Sans" w:cs="Open Sans"/>
          <w:sz w:val="22"/>
          <w:szCs w:val="22"/>
        </w:rPr>
        <w:t xml:space="preserve"> </w:t>
      </w:r>
      <w:r>
        <w:rPr>
          <w:rFonts w:ascii="Open Sans" w:eastAsia="Open Sans" w:hAnsi="Open Sans" w:cs="Open Sans"/>
          <w:b/>
          <w:sz w:val="22"/>
          <w:szCs w:val="22"/>
        </w:rPr>
        <w:t>un 72% los califica como muy caros</w:t>
      </w:r>
      <w:r>
        <w:rPr>
          <w:rFonts w:ascii="Open Sans" w:eastAsia="Open Sans" w:hAnsi="Open Sans" w:cs="Open Sans"/>
          <w:sz w:val="22"/>
          <w:szCs w:val="22"/>
        </w:rPr>
        <w:t>. Una cifra idéntica a la de 2024 pero que ha crecido de manera estadísticamente significativa con respecto a 2023: hace dos años eran el 67% los que tenían esta opinión sobre los precios de vivienda de compra, cinco puntos porcentuales menos que la actual.</w:t>
      </w:r>
    </w:p>
    <w:p w14:paraId="08CF31C3" w14:textId="77777777" w:rsidR="00D02089" w:rsidRDefault="00D02089">
      <w:pPr>
        <w:pBdr>
          <w:top w:val="nil"/>
          <w:left w:val="nil"/>
          <w:bottom w:val="nil"/>
          <w:right w:val="nil"/>
          <w:between w:val="nil"/>
        </w:pBdr>
        <w:spacing w:line="276" w:lineRule="auto"/>
        <w:jc w:val="both"/>
        <w:rPr>
          <w:rFonts w:ascii="Open Sans" w:eastAsia="Open Sans" w:hAnsi="Open Sans" w:cs="Open Sans"/>
          <w:sz w:val="22"/>
          <w:szCs w:val="22"/>
        </w:rPr>
      </w:pPr>
    </w:p>
    <w:p w14:paraId="50005B20" w14:textId="38B4C074" w:rsidR="00D02089" w:rsidRDefault="00D02089">
      <w:pPr>
        <w:pBdr>
          <w:top w:val="nil"/>
          <w:left w:val="nil"/>
          <w:bottom w:val="nil"/>
          <w:right w:val="nil"/>
          <w:between w:val="nil"/>
        </w:pBdr>
        <w:spacing w:line="276" w:lineRule="auto"/>
        <w:jc w:val="both"/>
        <w:rPr>
          <w:rFonts w:ascii="Open Sans" w:eastAsia="Open Sans" w:hAnsi="Open Sans" w:cs="Open Sans"/>
          <w:sz w:val="22"/>
          <w:szCs w:val="22"/>
        </w:rPr>
      </w:pPr>
      <w:r>
        <w:rPr>
          <w:noProof/>
        </w:rPr>
        <w:drawing>
          <wp:inline distT="0" distB="0" distL="0" distR="0" wp14:anchorId="0947F637" wp14:editId="66A88876">
            <wp:extent cx="5760720" cy="2559549"/>
            <wp:effectExtent l="0" t="0" r="0" b="0"/>
            <wp:docPr id="2066816632" name="image2.png" descr="Gráfic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png" descr="Gráfico&#10;&#10;El contenido generado por IA puede ser incorrecto."/>
                    <pic:cNvPicPr preferRelativeResize="0"/>
                  </pic:nvPicPr>
                  <pic:blipFill>
                    <a:blip r:embed="rId13"/>
                    <a:srcRect/>
                    <a:stretch>
                      <a:fillRect/>
                    </a:stretch>
                  </pic:blipFill>
                  <pic:spPr>
                    <a:xfrm>
                      <a:off x="0" y="0"/>
                      <a:ext cx="5760720" cy="2559549"/>
                    </a:xfrm>
                    <a:prstGeom prst="rect">
                      <a:avLst/>
                    </a:prstGeom>
                    <a:ln/>
                  </pic:spPr>
                </pic:pic>
              </a:graphicData>
            </a:graphic>
          </wp:inline>
        </w:drawing>
      </w:r>
    </w:p>
    <w:p w14:paraId="50361A9C" w14:textId="77777777" w:rsidR="000F55EB" w:rsidRDefault="000F55EB">
      <w:pPr>
        <w:pBdr>
          <w:top w:val="nil"/>
          <w:left w:val="nil"/>
          <w:bottom w:val="nil"/>
          <w:right w:val="nil"/>
          <w:between w:val="nil"/>
        </w:pBdr>
        <w:spacing w:line="276" w:lineRule="auto"/>
        <w:jc w:val="both"/>
        <w:rPr>
          <w:rFonts w:ascii="Open Sans" w:eastAsia="Open Sans" w:hAnsi="Open Sans" w:cs="Open Sans"/>
          <w:sz w:val="22"/>
          <w:szCs w:val="22"/>
        </w:rPr>
      </w:pPr>
    </w:p>
    <w:p w14:paraId="46A7A17F" w14:textId="77777777" w:rsidR="000F55EB" w:rsidRDefault="00000000">
      <w:p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sz w:val="22"/>
          <w:szCs w:val="22"/>
        </w:rPr>
        <w:t xml:space="preserve">Aparte de estos, </w:t>
      </w:r>
      <w:r>
        <w:rPr>
          <w:rFonts w:ascii="Open Sans" w:eastAsia="Open Sans" w:hAnsi="Open Sans" w:cs="Open Sans"/>
          <w:b/>
          <w:sz w:val="22"/>
          <w:szCs w:val="22"/>
        </w:rPr>
        <w:t>hay un 20% que percibe la vivienda de compra como algo cara</w:t>
      </w:r>
      <w:r>
        <w:rPr>
          <w:rFonts w:ascii="Open Sans" w:eastAsia="Open Sans" w:hAnsi="Open Sans" w:cs="Open Sans"/>
          <w:sz w:val="22"/>
          <w:szCs w:val="22"/>
        </w:rPr>
        <w:t>. De este modo, nueve de cada diez particulares perciben que el coste de los inmuebles es caro o muy caro, frente a un escaso 6% que no cree que sean ni caros ni baratos y un 2% que los califica como algo baratos o muy baratos.</w:t>
      </w:r>
    </w:p>
    <w:p w14:paraId="5A987309" w14:textId="77777777" w:rsidR="000F55EB" w:rsidRDefault="00000000">
      <w:pPr>
        <w:pBdr>
          <w:top w:val="nil"/>
          <w:left w:val="nil"/>
          <w:bottom w:val="nil"/>
          <w:right w:val="nil"/>
          <w:between w:val="nil"/>
        </w:pBdr>
        <w:spacing w:line="276" w:lineRule="auto"/>
        <w:jc w:val="both"/>
        <w:rPr>
          <w:rFonts w:ascii="Open Sans" w:eastAsia="Open Sans" w:hAnsi="Open Sans" w:cs="Open Sans"/>
          <w:sz w:val="22"/>
          <w:szCs w:val="22"/>
        </w:rPr>
      </w:pPr>
      <w:r>
        <w:rPr>
          <w:noProof/>
        </w:rPr>
        <w:lastRenderedPageBreak/>
        <w:drawing>
          <wp:inline distT="0" distB="0" distL="0" distR="0" wp14:anchorId="6A85871A" wp14:editId="1F9CE9FB">
            <wp:extent cx="5760720" cy="3865245"/>
            <wp:effectExtent l="0" t="0" r="0" b="0"/>
            <wp:docPr id="2066816634" name="image5.png" descr="Gráfico, Gráfico de barras&#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5.png" descr="Gráfico, Gráfico de barras&#10;&#10;El contenido generado por IA puede ser incorrecto."/>
                    <pic:cNvPicPr preferRelativeResize="0"/>
                  </pic:nvPicPr>
                  <pic:blipFill>
                    <a:blip r:embed="rId14"/>
                    <a:srcRect/>
                    <a:stretch>
                      <a:fillRect/>
                    </a:stretch>
                  </pic:blipFill>
                  <pic:spPr>
                    <a:xfrm>
                      <a:off x="0" y="0"/>
                      <a:ext cx="5760720" cy="3865245"/>
                    </a:xfrm>
                    <a:prstGeom prst="rect">
                      <a:avLst/>
                    </a:prstGeom>
                    <a:ln/>
                  </pic:spPr>
                </pic:pic>
              </a:graphicData>
            </a:graphic>
          </wp:inline>
        </w:drawing>
      </w:r>
    </w:p>
    <w:p w14:paraId="2581FA56" w14:textId="77777777" w:rsidR="000F55EB" w:rsidRDefault="000F55EB">
      <w:pPr>
        <w:pBdr>
          <w:top w:val="nil"/>
          <w:left w:val="nil"/>
          <w:bottom w:val="nil"/>
          <w:right w:val="nil"/>
          <w:between w:val="nil"/>
        </w:pBdr>
        <w:spacing w:line="276" w:lineRule="auto"/>
        <w:jc w:val="both"/>
        <w:rPr>
          <w:rFonts w:ascii="Open Sans" w:eastAsia="Open Sans" w:hAnsi="Open Sans" w:cs="Open Sans"/>
          <w:sz w:val="22"/>
          <w:szCs w:val="22"/>
        </w:rPr>
      </w:pPr>
    </w:p>
    <w:p w14:paraId="066D7576" w14:textId="77777777" w:rsidR="000F55EB" w:rsidRDefault="000F55EB">
      <w:pPr>
        <w:pBdr>
          <w:top w:val="nil"/>
          <w:left w:val="nil"/>
          <w:bottom w:val="nil"/>
          <w:right w:val="nil"/>
          <w:between w:val="nil"/>
        </w:pBdr>
        <w:spacing w:line="276" w:lineRule="auto"/>
        <w:jc w:val="both"/>
        <w:rPr>
          <w:rFonts w:ascii="Open Sans" w:eastAsia="Open Sans" w:hAnsi="Open Sans" w:cs="Open Sans"/>
          <w:sz w:val="22"/>
          <w:szCs w:val="22"/>
        </w:rPr>
      </w:pPr>
    </w:p>
    <w:p w14:paraId="303FD688" w14:textId="77777777" w:rsidR="000F55EB" w:rsidRDefault="000F55EB">
      <w:pPr>
        <w:pBdr>
          <w:top w:val="nil"/>
          <w:left w:val="nil"/>
          <w:bottom w:val="nil"/>
          <w:right w:val="nil"/>
          <w:between w:val="nil"/>
        </w:pBdr>
        <w:spacing w:line="276" w:lineRule="auto"/>
        <w:jc w:val="both"/>
        <w:rPr>
          <w:rFonts w:ascii="Open Sans" w:eastAsia="Open Sans" w:hAnsi="Open Sans" w:cs="Open Sans"/>
          <w:sz w:val="22"/>
          <w:szCs w:val="22"/>
        </w:rPr>
      </w:pPr>
    </w:p>
    <w:p w14:paraId="1C15EEC2" w14:textId="77777777" w:rsidR="000F55EB"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107549AB" w14:textId="77777777" w:rsidR="000F55EB"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5">
        <w:r w:rsidR="000F55EB">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7E97D9A4" w14:textId="77777777" w:rsidR="000F55EB"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6">
        <w:r w:rsidR="000F55EB">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22857572" w14:textId="77777777" w:rsidR="000F55EB" w:rsidRDefault="00000000">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fldChar w:fldCharType="end"/>
      </w:r>
      <w:r>
        <w:rPr>
          <w:rFonts w:ascii="Open Sans" w:eastAsia="Open Sans" w:hAnsi="Open Sans" w:cs="Open Sans"/>
          <w:sz w:val="22"/>
          <w:szCs w:val="22"/>
        </w:rPr>
        <w:t xml:space="preserve">. </w:t>
      </w:r>
    </w:p>
    <w:p w14:paraId="74F75C78" w14:textId="77777777" w:rsidR="000F55EB"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p>
    <w:p w14:paraId="50A3616D" w14:textId="77777777" w:rsidR="000F55EB" w:rsidRDefault="00000000">
      <w:pPr>
        <w:spacing w:before="143" w:after="200"/>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es un grupo de empresas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únicos al mes en sus plataformas de los sectores inmobiliario (</w:t>
      </w:r>
      <w:hyperlink r:id="rId17">
        <w:r w:rsidR="000F55EB">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8">
        <w:proofErr w:type="spellStart"/>
        <w:r w:rsidR="000F55EB">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19">
        <w:r w:rsidR="000F55EB">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0">
        <w:r w:rsidR="000F55EB">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1">
        <w:r w:rsidR="000F55EB">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rsidR="000F55EB">
        <w:fldChar w:fldCharType="begin"/>
      </w:r>
      <w:r w:rsidR="000F55EB">
        <w:instrText>HYPERLINK "https://www.milanuncios.com/" \h</w:instrText>
      </w:r>
      <w:r w:rsidR="000F55EB">
        <w:fldChar w:fldCharType="separate"/>
      </w:r>
      <w:r w:rsidR="000F55EB">
        <w:rPr>
          <w:rFonts w:ascii="Open Sans" w:eastAsia="Open Sans" w:hAnsi="Open Sans" w:cs="Open Sans"/>
          <w:color w:val="1155CC"/>
          <w:sz w:val="22"/>
          <w:szCs w:val="22"/>
          <w:u w:val="single"/>
        </w:rPr>
        <w:t>Milanuncios</w:t>
      </w:r>
      <w:proofErr w:type="spellEnd"/>
      <w:r w:rsidR="000F55EB">
        <w:fldChar w:fldCharType="end"/>
      </w:r>
      <w:r>
        <w:rPr>
          <w:rFonts w:ascii="Open Sans" w:eastAsia="Open Sans" w:hAnsi="Open Sans" w:cs="Open Sans"/>
          <w:sz w:val="22"/>
          <w:szCs w:val="22"/>
        </w:rPr>
        <w:t>).</w:t>
      </w:r>
    </w:p>
    <w:p w14:paraId="26DD79ED" w14:textId="77777777" w:rsidR="000F55EB"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Con sede en </w:t>
      </w:r>
      <w:r>
        <w:rPr>
          <w:rFonts w:ascii="Open Sans" w:eastAsia="Open Sans" w:hAnsi="Open Sans" w:cs="Open Sans"/>
          <w:sz w:val="22"/>
          <w:szCs w:val="22"/>
        </w:rPr>
        <w:lastRenderedPageBreak/>
        <w:t>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199B3F15" w14:textId="77777777" w:rsidR="000F55EB" w:rsidRDefault="00000000">
      <w:pPr>
        <w:spacing w:before="143" w:after="200"/>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2.500 millones de visitas cada mes. </w:t>
      </w:r>
    </w:p>
    <w:p w14:paraId="73CFD521" w14:textId="77777777" w:rsidR="000F55EB" w:rsidRDefault="00000000">
      <w:pPr>
        <w:spacing w:before="143" w:after="200"/>
        <w:jc w:val="both"/>
      </w:pPr>
      <w:r>
        <w:rPr>
          <w:rFonts w:ascii="Open Sans" w:eastAsia="Open Sans" w:hAnsi="Open Sans" w:cs="Open Sans"/>
          <w:sz w:val="22"/>
          <w:szCs w:val="22"/>
        </w:rPr>
        <w:t xml:space="preserve">Más información en </w:t>
      </w:r>
      <w:hyperlink r:id="rId22">
        <w:r w:rsidR="000F55EB">
          <w:rPr>
            <w:rFonts w:ascii="Open Sans" w:eastAsia="Open Sans" w:hAnsi="Open Sans" w:cs="Open Sans"/>
            <w:color w:val="1155CC"/>
            <w:sz w:val="22"/>
            <w:szCs w:val="22"/>
            <w:u w:val="single"/>
          </w:rPr>
          <w:t>adevinta.es</w:t>
        </w:r>
      </w:hyperlink>
    </w:p>
    <w:p w14:paraId="07303E4A" w14:textId="77777777" w:rsidR="000F55EB" w:rsidRDefault="000F55EB">
      <w:pPr>
        <w:spacing w:before="143" w:after="200"/>
        <w:jc w:val="both"/>
        <w:rPr>
          <w:rFonts w:ascii="Open Sans" w:eastAsia="Open Sans" w:hAnsi="Open Sans" w:cs="Open Sans"/>
        </w:rPr>
      </w:pPr>
    </w:p>
    <w:p w14:paraId="60D2548E" w14:textId="77777777" w:rsidR="000F55EB"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0002A3DB" w14:textId="77777777" w:rsidR="000F55EB"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0054BAFD" w14:textId="77777777" w:rsidR="000F55EB" w:rsidRDefault="000F55EB">
      <w:pPr>
        <w:shd w:val="clear" w:color="auto" w:fill="FFFFFF"/>
        <w:spacing w:line="276" w:lineRule="auto"/>
        <w:rPr>
          <w:rFonts w:ascii="Open Sans" w:eastAsia="Open Sans" w:hAnsi="Open Sans" w:cs="Open Sans"/>
          <w:color w:val="0000FF"/>
          <w:sz w:val="22"/>
          <w:szCs w:val="22"/>
          <w:u w:val="single"/>
        </w:rPr>
      </w:pPr>
      <w:hyperlink r:id="rId23">
        <w:r>
          <w:rPr>
            <w:rFonts w:ascii="Open Sans" w:eastAsia="Open Sans" w:hAnsi="Open Sans" w:cs="Open Sans"/>
            <w:color w:val="0000FF"/>
            <w:sz w:val="22"/>
            <w:szCs w:val="22"/>
            <w:u w:val="single"/>
          </w:rPr>
          <w:t>comunicacion@fotocasa.es</w:t>
        </w:r>
      </w:hyperlink>
    </w:p>
    <w:p w14:paraId="4D9638C1" w14:textId="77777777" w:rsidR="000F55EB"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sectPr w:rsidR="000F55EB">
      <w:footerReference w:type="default" r:id="rId24"/>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8BB39D" w14:textId="77777777" w:rsidR="0029485E" w:rsidRDefault="0029485E">
      <w:r>
        <w:separator/>
      </w:r>
    </w:p>
  </w:endnote>
  <w:endnote w:type="continuationSeparator" w:id="0">
    <w:p w14:paraId="403FC7C8" w14:textId="77777777" w:rsidR="0029485E" w:rsidRDefault="002948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21E7BF9-25ED-4C04-863F-8F3FA9C119F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6CCEC20-6ECB-4D89-9F2A-86B96B4863F7}"/>
    <w:embedBold r:id="rId3" w:fontKey="{CBF6E97A-4484-40CA-B66C-F0EDC8C34A04}"/>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ECDFB5D1-9439-4727-9A5A-971352E82223}"/>
  </w:font>
  <w:font w:name="Georgia">
    <w:panose1 w:val="02040502050405020303"/>
    <w:charset w:val="00"/>
    <w:family w:val="roman"/>
    <w:pitch w:val="variable"/>
    <w:sig w:usb0="00000287" w:usb1="00000000" w:usb2="00000000" w:usb3="00000000" w:csb0="0000009F" w:csb1="00000000"/>
    <w:embedRegular r:id="rId5" w:fontKey="{F2AC1AFF-773E-4ED9-A104-8C718D9DC99E}"/>
    <w:embedItalic r:id="rId6" w:fontKey="{F2370513-D1F8-4B76-9AAD-D848CB95258D}"/>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D5E60335-1F15-4CB1-8992-AF852486C796}"/>
    <w:embedBold r:id="rId8" w:fontKey="{068AAA03-EF82-4B7D-B13B-E83634B5F8F0}"/>
    <w:embedBoldItalic r:id="rId9" w:fontKey="{31A8B53D-96B1-4561-8F0C-63764B480AA3}"/>
  </w:font>
  <w:font w:name="Open Sans Light">
    <w:charset w:val="00"/>
    <w:family w:val="swiss"/>
    <w:pitch w:val="variable"/>
    <w:sig w:usb0="E00002EF" w:usb1="4000205B" w:usb2="00000028" w:usb3="00000000" w:csb0="0000019F" w:csb1="00000000"/>
    <w:embedRegular r:id="rId10" w:fontKey="{DEC5890E-49AA-48A1-8626-F3E0863383EE}"/>
    <w:embedBold r:id="rId11" w:fontKey="{BFCF262B-7045-421F-99EF-FC513B1307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6AFBC" w14:textId="77777777" w:rsidR="000F55EB"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01464EF2" wp14:editId="014F4ED1">
          <wp:simplePos x="0" y="0"/>
          <wp:positionH relativeFrom="column">
            <wp:posOffset>-1068036</wp:posOffset>
          </wp:positionH>
          <wp:positionV relativeFrom="paragraph">
            <wp:posOffset>174608</wp:posOffset>
          </wp:positionV>
          <wp:extent cx="7670550" cy="451315"/>
          <wp:effectExtent l="0" t="0" r="0" b="0"/>
          <wp:wrapNone/>
          <wp:docPr id="20668166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3F4391" w14:textId="77777777" w:rsidR="0029485E" w:rsidRDefault="0029485E">
      <w:r>
        <w:separator/>
      </w:r>
    </w:p>
  </w:footnote>
  <w:footnote w:type="continuationSeparator" w:id="0">
    <w:p w14:paraId="485D3B02" w14:textId="77777777" w:rsidR="0029485E" w:rsidRDefault="002948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DDF28AA"/>
    <w:multiLevelType w:val="multilevel"/>
    <w:tmpl w:val="37E6EB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211043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55EB"/>
    <w:rsid w:val="000F55EB"/>
    <w:rsid w:val="0029485E"/>
    <w:rsid w:val="003F5F2B"/>
    <w:rsid w:val="0076684B"/>
    <w:rsid w:val="008F27D0"/>
    <w:rsid w:val="00CB1C97"/>
    <w:rsid w:val="00D0208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110BD0"/>
  <w15:docId w15:val="{69CAC0B9-5BEF-482C-A844-7EFC35F4B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TableNormal23">
    <w:name w:val="Table Normal23"/>
    <w:tblPr>
      <w:tblCellMar>
        <w:top w:w="0" w:type="dxa"/>
        <w:left w:w="0" w:type="dxa"/>
        <w:bottom w:w="0" w:type="dxa"/>
        <w:right w:w="0" w:type="dxa"/>
      </w:tblCellMar>
    </w:tblPr>
  </w:style>
  <w:style w:type="table" w:customStyle="1" w:styleId="TableNormal22">
    <w:name w:val="Table Normal22"/>
    <w:tblPr>
      <w:tblCellMar>
        <w:top w:w="0" w:type="dxa"/>
        <w:left w:w="0" w:type="dxa"/>
        <w:bottom w:w="0" w:type="dxa"/>
        <w:right w:w="0" w:type="dxa"/>
      </w:tblCellMar>
    </w:tblPr>
  </w:style>
  <w:style w:type="table" w:customStyle="1" w:styleId="TableNormal21">
    <w:name w:val="Table Normal21"/>
    <w:tblPr>
      <w:tblCellMar>
        <w:top w:w="0" w:type="dxa"/>
        <w:left w:w="0" w:type="dxa"/>
        <w:bottom w:w="0" w:type="dxa"/>
        <w:right w:w="0" w:type="dxa"/>
      </w:tblCellMar>
    </w:tblPr>
  </w:style>
  <w:style w:type="table" w:customStyle="1" w:styleId="TableNormal20">
    <w:name w:val="Table Normal20"/>
    <w:tblPr>
      <w:tblCellMar>
        <w:top w:w="0" w:type="dxa"/>
        <w:left w:w="0" w:type="dxa"/>
        <w:bottom w:w="0" w:type="dxa"/>
        <w:right w:w="0" w:type="dxa"/>
      </w:tblCellMar>
    </w:tblPr>
  </w:style>
  <w:style w:type="table" w:customStyle="1" w:styleId="TableNormal19">
    <w:name w:val="Table Normal19"/>
    <w:tblPr>
      <w:tblCellMar>
        <w:top w:w="0" w:type="dxa"/>
        <w:left w:w="0" w:type="dxa"/>
        <w:bottom w:w="0" w:type="dxa"/>
        <w:right w:w="0" w:type="dxa"/>
      </w:tblCellMar>
    </w:tblPr>
  </w:style>
  <w:style w:type="table" w:customStyle="1" w:styleId="TableNormal18">
    <w:name w:val="Table Normal18"/>
    <w:tblPr>
      <w:tblCellMar>
        <w:top w:w="0" w:type="dxa"/>
        <w:left w:w="0" w:type="dxa"/>
        <w:bottom w:w="0" w:type="dxa"/>
        <w:right w:w="0" w:type="dxa"/>
      </w:tblCellMar>
    </w:tblPr>
  </w:style>
  <w:style w:type="table" w:customStyle="1" w:styleId="TableNormal17">
    <w:name w:val="Table Normal17"/>
    <w:tblPr>
      <w:tblCellMar>
        <w:top w:w="0" w:type="dxa"/>
        <w:left w:w="0" w:type="dxa"/>
        <w:bottom w:w="0" w:type="dxa"/>
        <w:right w:w="0" w:type="dxa"/>
      </w:tblCellMar>
    </w:tblPr>
  </w:style>
  <w:style w:type="table" w:customStyle="1" w:styleId="TableNormal16">
    <w:name w:val="Table Normal16"/>
    <w:tblPr>
      <w:tblCellMar>
        <w:top w:w="0" w:type="dxa"/>
        <w:left w:w="0" w:type="dxa"/>
        <w:bottom w:w="0" w:type="dxa"/>
        <w:right w:w="0" w:type="dxa"/>
      </w:tblCellMar>
    </w:tblPr>
  </w:style>
  <w:style w:type="table" w:customStyle="1" w:styleId="TableNormal15">
    <w:name w:val="Table Normal15"/>
    <w:tblPr>
      <w:tblCellMar>
        <w:top w:w="0" w:type="dxa"/>
        <w:left w:w="0" w:type="dxa"/>
        <w:bottom w:w="0" w:type="dxa"/>
        <w:right w:w="0" w:type="dxa"/>
      </w:tblCellMar>
    </w:tblPr>
  </w:style>
  <w:style w:type="table" w:customStyle="1" w:styleId="TableNormal14">
    <w:name w:val="Table Normal14"/>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00">
    <w:name w:val="Table Normal10"/>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4">
    <w:name w:val="Table Normal2"/>
    <w:tblPr>
      <w:tblCellMar>
        <w:top w:w="0" w:type="dxa"/>
        <w:left w:w="0" w:type="dxa"/>
        <w:bottom w:w="0" w:type="dxa"/>
        <w:right w:w="0" w:type="dxa"/>
      </w:tblCellMar>
    </w:tblPr>
  </w:style>
  <w:style w:type="table" w:customStyle="1" w:styleId="TableNormal1a">
    <w:name w:val="Table Normal1"/>
    <w:tblPr>
      <w:tblCellMar>
        <w:top w:w="0" w:type="dxa"/>
        <w:left w:w="0" w:type="dxa"/>
        <w:bottom w:w="0" w:type="dxa"/>
        <w:right w:w="0" w:type="dxa"/>
      </w:tblCellMar>
    </w:tblPr>
  </w:style>
  <w:style w:type="table" w:customStyle="1" w:styleId="5">
    <w:name w:val="5"/>
    <w:basedOn w:val="TableNormal1a"/>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4">
    <w:name w:val="4"/>
    <w:basedOn w:val="TableNormal1a"/>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3"/>
    <w:basedOn w:val="TableNormal40"/>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2">
    <w:name w:val="2"/>
    <w:basedOn w:val="TableNormal40"/>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1">
    <w:name w:val="1"/>
    <w:basedOn w:val="TableNormal15"/>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table" w:styleId="Tablaconcuadrcula5oscura-nfasis1">
    <w:name w:val="Grid Table 5 Dark Accent 1"/>
    <w:basedOn w:val="Tablanormal"/>
    <w:uiPriority w:val="50"/>
    <w:rsid w:val="00B776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5oscura-nfasis5">
    <w:name w:val="Grid Table 5 Dark Accent 5"/>
    <w:basedOn w:val="Tablanormal"/>
    <w:uiPriority w:val="50"/>
    <w:rsid w:val="002827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www.habitaclia.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motos.coches.net/"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fotocasa.es/e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prensa.fotocasa.es" TargetMode="External"/><Relationship Id="rId20" Type="http://schemas.openxmlformats.org/officeDocument/2006/relationships/hyperlink" Target="https://www.coches.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es/"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otocasa.es/indice/" TargetMode="External"/><Relationship Id="rId23" Type="http://schemas.openxmlformats.org/officeDocument/2006/relationships/hyperlink" Target="mailto:comunicacion@fotocasa.es" TargetMode="External"/><Relationship Id="rId10" Type="http://schemas.openxmlformats.org/officeDocument/2006/relationships/hyperlink" Target="https://research.fotocasa.es/" TargetMode="External"/><Relationship Id="rId19" Type="http://schemas.openxmlformats.org/officeDocument/2006/relationships/hyperlink" Target="https://www.infojobs.net/" TargetMode="External"/><Relationship Id="rId4" Type="http://schemas.openxmlformats.org/officeDocument/2006/relationships/settings" Target="settings.xml"/><Relationship Id="rId9" Type="http://schemas.openxmlformats.org/officeDocument/2006/relationships/hyperlink" Target="https://s36360.pcdn.co/wp-content/uploads/2025/07/Informe-Experiencia-alquiler-en-2025.pdf" TargetMode="External"/><Relationship Id="rId14" Type="http://schemas.openxmlformats.org/officeDocument/2006/relationships/image" Target="media/image4.png"/><Relationship Id="rId22" Type="http://schemas.openxmlformats.org/officeDocument/2006/relationships/hyperlink" Target="http://adevinta.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1ODBgbQhTaCFVDKtisJazt3eug==">CgMxLjAyCWguMnM4ZXlvMTgAciExNVRfUUVMSmpGVkpBTVl3U1lSSGh3aGRlWFpWZWpLZi0=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1172</Words>
  <Characters>6450</Characters>
  <Application>Microsoft Office Word</Application>
  <DocSecurity>0</DocSecurity>
  <Lines>53</Lines>
  <Paragraphs>15</Paragraphs>
  <ScaleCrop>false</ScaleCrop>
  <Company/>
  <LinksUpToDate>false</LinksUpToDate>
  <CharactersWithSpaces>7607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Ramon Torne</dc:creator>
  <cp:lastModifiedBy>Anaïs López García</cp:lastModifiedBy>
  <cp:revision>4</cp:revision>
  <cp:lastPrinted>2025-09-18T13:59:00Z</cp:lastPrinted>
  <dcterms:created xsi:type="dcterms:W3CDTF">2024-02-06T13:46:00Z</dcterms:created>
  <dcterms:modified xsi:type="dcterms:W3CDTF">2025-09-27T20:54:00Z</dcterms:modified>
</cp:coreProperties>
</file>