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EB2AE" w14:textId="77777777" w:rsidR="009C75C5" w:rsidRDefault="00000000">
      <w:r>
        <w:t xml:space="preserve"> </w:t>
      </w:r>
      <w:r>
        <w:rPr>
          <w:noProof/>
        </w:rPr>
        <w:drawing>
          <wp:anchor distT="0" distB="0" distL="114300" distR="114300" simplePos="0" relativeHeight="251658240" behindDoc="0" locked="0" layoutInCell="1" hidden="0" allowOverlap="1" wp14:anchorId="2FBE8CDB" wp14:editId="3C2E6981">
            <wp:simplePos x="0" y="0"/>
            <wp:positionH relativeFrom="column">
              <wp:posOffset>-1080120</wp:posOffset>
            </wp:positionH>
            <wp:positionV relativeFrom="paragraph">
              <wp:posOffset>-654670</wp:posOffset>
            </wp:positionV>
            <wp:extent cx="7581265" cy="1019175"/>
            <wp:effectExtent l="0" t="0" r="0" b="0"/>
            <wp:wrapNone/>
            <wp:docPr id="20668166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33983CC" w14:textId="77777777" w:rsidR="009C75C5" w:rsidRDefault="009C75C5"/>
    <w:p w14:paraId="5069D2BE" w14:textId="77777777" w:rsidR="009C75C5" w:rsidRDefault="009C75C5">
      <w:pPr>
        <w:jc w:val="center"/>
        <w:rPr>
          <w:rFonts w:ascii="National" w:eastAsia="National" w:hAnsi="National" w:cs="National"/>
          <w:b/>
          <w:color w:val="1DBDC5"/>
          <w:sz w:val="30"/>
          <w:szCs w:val="30"/>
        </w:rPr>
      </w:pPr>
    </w:p>
    <w:p w14:paraId="06C6A57C" w14:textId="77777777" w:rsidR="009C75C5" w:rsidRDefault="00000000">
      <w:pPr>
        <w:jc w:val="center"/>
        <w:rPr>
          <w:rFonts w:ascii="National" w:eastAsia="National" w:hAnsi="National" w:cs="National"/>
          <w:b/>
          <w:color w:val="1DBDC5"/>
          <w:sz w:val="30"/>
          <w:szCs w:val="30"/>
        </w:rPr>
      </w:pPr>
      <w:r>
        <w:rPr>
          <w:rFonts w:ascii="National" w:eastAsia="National" w:hAnsi="National" w:cs="National"/>
          <w:b/>
          <w:color w:val="1DBDC5"/>
          <w:sz w:val="30"/>
          <w:szCs w:val="30"/>
        </w:rPr>
        <w:t>EXPERIENCIA EN COMPRAVENTA EN 2025</w:t>
      </w:r>
    </w:p>
    <w:p w14:paraId="0DC72D17" w14:textId="13933C4D" w:rsidR="009C75C5" w:rsidRPr="00145888" w:rsidRDefault="00145888">
      <w:pPr>
        <w:jc w:val="center"/>
        <w:rPr>
          <w:rFonts w:ascii="National" w:eastAsia="National" w:hAnsi="National" w:cs="National"/>
          <w:b/>
          <w:color w:val="303AB2"/>
          <w:sz w:val="42"/>
          <w:szCs w:val="42"/>
        </w:rPr>
      </w:pPr>
      <w:r w:rsidRPr="00145888">
        <w:rPr>
          <w:rFonts w:ascii="National" w:eastAsia="National" w:hAnsi="National" w:cs="National"/>
          <w:b/>
          <w:color w:val="303AB2"/>
          <w:sz w:val="42"/>
          <w:szCs w:val="42"/>
        </w:rPr>
        <w:t>Nuevos propietarios: crece hasta el 45% el porcentaje de demandantes de vivienda de compra que no son propietarios de ningún inmueble</w:t>
      </w:r>
    </w:p>
    <w:p w14:paraId="2D1970D2" w14:textId="77777777" w:rsidR="009C75C5" w:rsidRDefault="009C75C5">
      <w:pPr>
        <w:jc w:val="center"/>
        <w:rPr>
          <w:rFonts w:ascii="Open Sans" w:eastAsia="Open Sans" w:hAnsi="Open Sans" w:cs="Open Sans"/>
          <w:color w:val="303AB2"/>
        </w:rPr>
      </w:pPr>
    </w:p>
    <w:p w14:paraId="4409FB3C" w14:textId="77777777" w:rsidR="009C75C5"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tasa de potenciales compradores no propietarios ha aumentado en catorce puntos en dos años</w:t>
      </w:r>
    </w:p>
    <w:p w14:paraId="4DF8098F" w14:textId="77777777" w:rsidR="009C75C5"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Caen ocho puntos los inversores que quieren destinar una vivienda al alquiler de larga duración</w:t>
      </w:r>
    </w:p>
    <w:p w14:paraId="3F9387D8" w14:textId="77777777" w:rsidR="009C75C5"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Únicamente un tercio de los vendedores en 2025 se ha desprendido de su vivienda habitual</w:t>
      </w:r>
    </w:p>
    <w:p w14:paraId="19CF3B98" w14:textId="77777777" w:rsidR="009C75C5" w:rsidRDefault="009C75C5">
      <w:pPr>
        <w:spacing w:line="276" w:lineRule="auto"/>
        <w:ind w:left="720"/>
        <w:jc w:val="both"/>
        <w:rPr>
          <w:rFonts w:ascii="Open Sans Light" w:eastAsia="Open Sans Light" w:hAnsi="Open Sans Light" w:cs="Open Sans Light"/>
          <w:b/>
          <w:color w:val="303AB2"/>
        </w:rPr>
      </w:pPr>
    </w:p>
    <w:p w14:paraId="3E2DECB1" w14:textId="77777777" w:rsidR="009C75C5"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16 de octubre de 2025</w:t>
      </w:r>
    </w:p>
    <w:p w14:paraId="02DE1E2B" w14:textId="77777777" w:rsidR="009C75C5" w:rsidRDefault="009C75C5">
      <w:pPr>
        <w:pBdr>
          <w:top w:val="nil"/>
          <w:left w:val="nil"/>
          <w:bottom w:val="nil"/>
          <w:right w:val="nil"/>
          <w:between w:val="nil"/>
        </w:pBdr>
        <w:spacing w:line="276" w:lineRule="auto"/>
        <w:jc w:val="both"/>
        <w:rPr>
          <w:rFonts w:ascii="Open Sans" w:eastAsia="Open Sans" w:hAnsi="Open Sans" w:cs="Open Sans"/>
        </w:rPr>
      </w:pPr>
    </w:p>
    <w:p w14:paraId="553F3382" w14:textId="77777777" w:rsidR="00145888" w:rsidRDefault="00000000" w:rsidP="00145888">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mercado de la vivienda en España refleja un cambio de perfil entre los compradores: cada vez hay más demandantes que no poseen ninguna propiedad previa. Actualmente, </w:t>
      </w:r>
      <w:r>
        <w:rPr>
          <w:rFonts w:ascii="Open Sans" w:eastAsia="Open Sans" w:hAnsi="Open Sans" w:cs="Open Sans"/>
          <w:b/>
        </w:rPr>
        <w:t>el 45% de quienes han comprado o intentado comprar una vivienda en el último año no tenía ningún inmueble en propiedad</w:t>
      </w:r>
      <w:r>
        <w:rPr>
          <w:rFonts w:ascii="Open Sans" w:eastAsia="Open Sans" w:hAnsi="Open Sans" w:cs="Open Sans"/>
        </w:rPr>
        <w:t xml:space="preserve">, lo que supone un crecimiento de seis puntos respecto al 39% registrado en 2024 y de catorce puntos frente al 31% de 2023. Por consiguiente, un 55% de los compradores de vivienda en el primer semestre de 2025 ya eran propietarios de una vivienda. En el extremo opuesto, los vendedores mantienen una situación mucho más ligada a la posesión de inmuebles. El 89% de quienes han vendido o intentado vender en el último año disponían al menos de una vivienda, un porcentaje muy superior al de los compradores, aunque dos puntos por debajo del 91% registrado en 2024, según las cifras del </w:t>
      </w:r>
      <w:r w:rsidR="00145888">
        <w:rPr>
          <w:rFonts w:ascii="Open Sans" w:eastAsia="Open Sans" w:hAnsi="Open Sans" w:cs="Open Sans"/>
          <w:b/>
        </w:rPr>
        <w:t>informe “</w:t>
      </w:r>
      <w:hyperlink r:id="rId9">
        <w:r w:rsidR="00145888">
          <w:rPr>
            <w:rFonts w:ascii="Open Sans" w:eastAsia="Open Sans" w:hAnsi="Open Sans" w:cs="Open Sans"/>
            <w:b/>
            <w:color w:val="0000FF"/>
            <w:u w:val="single"/>
          </w:rPr>
          <w:t>Experiencia en compraventa en 2025</w:t>
        </w:r>
      </w:hyperlink>
      <w:r w:rsidR="00145888">
        <w:rPr>
          <w:rFonts w:ascii="Open Sans" w:eastAsia="Open Sans" w:hAnsi="Open Sans" w:cs="Open Sans"/>
          <w:b/>
        </w:rPr>
        <w:t xml:space="preserve">”, elaborado por </w:t>
      </w:r>
      <w:hyperlink r:id="rId10">
        <w:r w:rsidR="00145888">
          <w:rPr>
            <w:rFonts w:ascii="Open Sans" w:eastAsia="Open Sans" w:hAnsi="Open Sans" w:cs="Open Sans"/>
            <w:b/>
            <w:color w:val="0000FF"/>
            <w:u w:val="single"/>
          </w:rPr>
          <w:t xml:space="preserve">Fotocasa </w:t>
        </w:r>
        <w:proofErr w:type="spellStart"/>
        <w:r w:rsidR="00145888">
          <w:rPr>
            <w:rFonts w:ascii="Open Sans" w:eastAsia="Open Sans" w:hAnsi="Open Sans" w:cs="Open Sans"/>
            <w:b/>
            <w:color w:val="0000FF"/>
            <w:u w:val="single"/>
          </w:rPr>
          <w:t>Research</w:t>
        </w:r>
        <w:proofErr w:type="spellEnd"/>
      </w:hyperlink>
      <w:r w:rsidR="00145888">
        <w:rPr>
          <w:rFonts w:ascii="Open Sans" w:eastAsia="Open Sans" w:hAnsi="Open Sans" w:cs="Open Sans"/>
        </w:rPr>
        <w:t>.</w:t>
      </w:r>
    </w:p>
    <w:p w14:paraId="65486430" w14:textId="74A7D6BE" w:rsidR="009C75C5" w:rsidRDefault="009C75C5">
      <w:pPr>
        <w:pBdr>
          <w:top w:val="nil"/>
          <w:left w:val="nil"/>
          <w:bottom w:val="nil"/>
          <w:right w:val="nil"/>
          <w:between w:val="nil"/>
        </w:pBdr>
        <w:spacing w:line="276" w:lineRule="auto"/>
        <w:jc w:val="both"/>
        <w:rPr>
          <w:rFonts w:ascii="Open Sans" w:eastAsia="Open Sans" w:hAnsi="Open Sans" w:cs="Open Sans"/>
        </w:rPr>
      </w:pPr>
    </w:p>
    <w:p w14:paraId="253874C8" w14:textId="77777777" w:rsidR="009C75C5" w:rsidRDefault="00000000">
      <w:pPr>
        <w:pBdr>
          <w:top w:val="nil"/>
          <w:left w:val="nil"/>
          <w:bottom w:val="nil"/>
          <w:right w:val="nil"/>
          <w:between w:val="nil"/>
        </w:pBdr>
        <w:spacing w:line="276" w:lineRule="auto"/>
        <w:jc w:val="both"/>
        <w:rPr>
          <w:rFonts w:ascii="Open Sans" w:eastAsia="Open Sans" w:hAnsi="Open Sans" w:cs="Open Sans"/>
          <w:b/>
        </w:rPr>
      </w:pPr>
      <w:r>
        <w:rPr>
          <w:rFonts w:ascii="Open Sans" w:eastAsia="Open Sans" w:hAnsi="Open Sans" w:cs="Open Sans"/>
        </w:rPr>
        <w:t xml:space="preserve">“El aumento de compradores de primera vivienda muestra que las nuevas condiciones hipotecarias más favorables y las ayudas públicas están empezando a dar resultados. La mejora del acceso al crédito y los programas de apoyo a jóvenes y primerizos están reactivando la demanda, especialmente entre quienes antes quedaban fuera del mercado. Por otro lado, la reducción de compradores </w:t>
      </w:r>
      <w:r>
        <w:rPr>
          <w:rFonts w:ascii="Open Sans" w:eastAsia="Open Sans" w:hAnsi="Open Sans" w:cs="Open Sans"/>
        </w:rPr>
        <w:lastRenderedPageBreak/>
        <w:t xml:space="preserve">con un perfil inversor y el aumento de aquellos que adquieren para uso habitual muestran que el mercado se orienta hacia la necesidad residencial, más que hacia la rentabilidad. La vivienda continúa siendo un bien esencial y un símbolo de estabilidad, pero la capacidad de compra se concentra en quienes aún logran acceder al crédito o cuentan con ahorro acumulado”, </w:t>
      </w:r>
      <w:r>
        <w:rPr>
          <w:rFonts w:ascii="Open Sans" w:eastAsia="Open Sans" w:hAnsi="Open Sans" w:cs="Open Sans"/>
          <w:b/>
        </w:rPr>
        <w:t xml:space="preserve">explica María Matos, directora de Estudios y portavoz de </w:t>
      </w:r>
      <w:hyperlink r:id="rId11">
        <w:r w:rsidR="009C75C5">
          <w:rPr>
            <w:rFonts w:ascii="Open Sans" w:eastAsia="Open Sans" w:hAnsi="Open Sans" w:cs="Open Sans"/>
            <w:b/>
            <w:color w:val="0000FF"/>
            <w:u w:val="single"/>
          </w:rPr>
          <w:t>Fotocasa</w:t>
        </w:r>
      </w:hyperlink>
      <w:r>
        <w:rPr>
          <w:rFonts w:ascii="Open Sans" w:eastAsia="Open Sans" w:hAnsi="Open Sans" w:cs="Open Sans"/>
          <w:b/>
        </w:rPr>
        <w:t>.</w:t>
      </w:r>
    </w:p>
    <w:p w14:paraId="01E4F35A" w14:textId="77777777" w:rsidR="009C75C5" w:rsidRDefault="009C75C5">
      <w:pPr>
        <w:pBdr>
          <w:top w:val="nil"/>
          <w:left w:val="nil"/>
          <w:bottom w:val="nil"/>
          <w:right w:val="nil"/>
          <w:between w:val="nil"/>
        </w:pBdr>
        <w:spacing w:line="276" w:lineRule="auto"/>
        <w:jc w:val="both"/>
        <w:rPr>
          <w:rFonts w:ascii="Open Sans" w:eastAsia="Open Sans" w:hAnsi="Open Sans" w:cs="Open Sans"/>
          <w:b/>
        </w:rPr>
      </w:pPr>
    </w:p>
    <w:p w14:paraId="47587D3D" w14:textId="77777777" w:rsidR="009C75C5" w:rsidRDefault="00000000">
      <w:pPr>
        <w:pBdr>
          <w:top w:val="nil"/>
          <w:left w:val="nil"/>
          <w:bottom w:val="nil"/>
          <w:right w:val="nil"/>
          <w:between w:val="nil"/>
        </w:pBdr>
        <w:spacing w:line="276" w:lineRule="auto"/>
        <w:jc w:val="both"/>
        <w:rPr>
          <w:rFonts w:ascii="Open Sans" w:eastAsia="Open Sans" w:hAnsi="Open Sans" w:cs="Open Sans"/>
          <w:b/>
        </w:rPr>
      </w:pPr>
      <w:r>
        <w:rPr>
          <w:noProof/>
        </w:rPr>
        <w:drawing>
          <wp:inline distT="0" distB="0" distL="0" distR="0" wp14:anchorId="5B925054" wp14:editId="61FA7049">
            <wp:extent cx="5753100" cy="2506980"/>
            <wp:effectExtent l="0" t="0" r="0" b="7620"/>
            <wp:docPr id="2066816614" name="image2.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Gráfico, Gráfico de barras&#10;&#10;El contenido generado por IA puede ser incorrecto."/>
                    <pic:cNvPicPr preferRelativeResize="0"/>
                  </pic:nvPicPr>
                  <pic:blipFill>
                    <a:blip r:embed="rId12"/>
                    <a:srcRect/>
                    <a:stretch>
                      <a:fillRect/>
                    </a:stretch>
                  </pic:blipFill>
                  <pic:spPr>
                    <a:xfrm>
                      <a:off x="0" y="0"/>
                      <a:ext cx="5753100" cy="2506980"/>
                    </a:xfrm>
                    <a:prstGeom prst="rect">
                      <a:avLst/>
                    </a:prstGeom>
                    <a:ln/>
                  </pic:spPr>
                </pic:pic>
              </a:graphicData>
            </a:graphic>
          </wp:inline>
        </w:drawing>
      </w:r>
    </w:p>
    <w:p w14:paraId="28C97A2F" w14:textId="77777777" w:rsidR="009C75C5" w:rsidRDefault="009C75C5">
      <w:pPr>
        <w:pBdr>
          <w:top w:val="nil"/>
          <w:left w:val="nil"/>
          <w:bottom w:val="nil"/>
          <w:right w:val="nil"/>
          <w:between w:val="nil"/>
        </w:pBdr>
        <w:spacing w:line="276" w:lineRule="auto"/>
        <w:jc w:val="both"/>
        <w:rPr>
          <w:rFonts w:ascii="Open Sans" w:eastAsia="Open Sans" w:hAnsi="Open Sans" w:cs="Open Sans"/>
        </w:rPr>
      </w:pPr>
    </w:p>
    <w:p w14:paraId="54613291" w14:textId="77777777" w:rsidR="009C75C5" w:rsidRDefault="00000000">
      <w:pPr>
        <w:pBdr>
          <w:top w:val="nil"/>
          <w:left w:val="nil"/>
          <w:bottom w:val="nil"/>
          <w:right w:val="nil"/>
          <w:between w:val="nil"/>
        </w:pBd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Retrocede la tasa de propietarios en los tramos de edad más senior</w:t>
      </w:r>
    </w:p>
    <w:p w14:paraId="2FDDC82F" w14:textId="77777777" w:rsidR="009C75C5" w:rsidRDefault="009C75C5">
      <w:pPr>
        <w:pBdr>
          <w:top w:val="nil"/>
          <w:left w:val="nil"/>
          <w:bottom w:val="nil"/>
          <w:right w:val="nil"/>
          <w:between w:val="nil"/>
        </w:pBdr>
        <w:spacing w:line="276" w:lineRule="auto"/>
        <w:jc w:val="both"/>
        <w:rPr>
          <w:rFonts w:ascii="Open Sans" w:eastAsia="Open Sans" w:hAnsi="Open Sans" w:cs="Open Sans"/>
        </w:rPr>
      </w:pPr>
    </w:p>
    <w:p w14:paraId="6A556EF1" w14:textId="77777777" w:rsidR="009C75C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variación en la tasa de propietarios presenta matices importantes según los tramos de edad. </w:t>
      </w:r>
      <w:r>
        <w:rPr>
          <w:rFonts w:ascii="Open Sans" w:eastAsia="Open Sans" w:hAnsi="Open Sans" w:cs="Open Sans"/>
          <w:b/>
        </w:rPr>
        <w:t>Entre los demandantes de 35 a 44 años, la proporción de propietarios cae diez puntos en un año</w:t>
      </w:r>
      <w:r>
        <w:rPr>
          <w:rFonts w:ascii="Open Sans" w:eastAsia="Open Sans" w:hAnsi="Open Sans" w:cs="Open Sans"/>
        </w:rPr>
        <w:t xml:space="preserve">, pasando del 59% en 2024 al 49% en 2025. Por su parte, los mayores de 55 años siguen siendo el grupo con mayor porcentaje de propietarios, aunque también sufren un retroceso: la tasa de demandantes que poseen al menos una vivienda pasa del 87% en 2024 al 82% en 2025. Dentro de este grupo, destaca la caída en quienes declaran ser propietarios de dos viviendas, que bajan del 20% al 15%. </w:t>
      </w:r>
    </w:p>
    <w:p w14:paraId="6A8DF268" w14:textId="77777777" w:rsidR="009C75C5" w:rsidRDefault="009C75C5">
      <w:pPr>
        <w:pBdr>
          <w:top w:val="nil"/>
          <w:left w:val="nil"/>
          <w:bottom w:val="nil"/>
          <w:right w:val="nil"/>
          <w:between w:val="nil"/>
        </w:pBdr>
        <w:spacing w:line="276" w:lineRule="auto"/>
        <w:jc w:val="both"/>
        <w:rPr>
          <w:rFonts w:ascii="Open Sans" w:eastAsia="Open Sans" w:hAnsi="Open Sans" w:cs="Open Sans"/>
        </w:rPr>
      </w:pPr>
    </w:p>
    <w:p w14:paraId="62997E55" w14:textId="77777777" w:rsidR="009C75C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Entre los más jóvenes (18 a 24 años), en cambio, se produce una ligera mejora</w:t>
      </w:r>
      <w:r>
        <w:rPr>
          <w:rFonts w:ascii="Open Sans" w:eastAsia="Open Sans" w:hAnsi="Open Sans" w:cs="Open Sans"/>
        </w:rPr>
        <w:t>: el 28% de quienes buscan vivienda ya poseen un inmueble, frente al 24% del año anterior. Igualmente, en el grupo de 25 a 34 años, el porcentaje de demandantes propietarios de vivienda ha pasado del 35% en 2024 al 41% en la actualidad, aunque esta cifra se encuentra por debajo de la registrada en 2023, cuando alcanzó una tasa del 49%.</w:t>
      </w:r>
    </w:p>
    <w:p w14:paraId="35907B11" w14:textId="77777777" w:rsidR="009C75C5" w:rsidRDefault="009C75C5">
      <w:pPr>
        <w:pBdr>
          <w:top w:val="nil"/>
          <w:left w:val="nil"/>
          <w:bottom w:val="nil"/>
          <w:right w:val="nil"/>
          <w:between w:val="nil"/>
        </w:pBdr>
        <w:spacing w:line="276" w:lineRule="auto"/>
        <w:jc w:val="both"/>
        <w:rPr>
          <w:rFonts w:ascii="Open Sans" w:eastAsia="Open Sans" w:hAnsi="Open Sans" w:cs="Open Sans"/>
        </w:rPr>
      </w:pPr>
    </w:p>
    <w:p w14:paraId="02CDFC25" w14:textId="77777777" w:rsidR="009C75C5" w:rsidRDefault="00000000">
      <w:pPr>
        <w:pBdr>
          <w:top w:val="nil"/>
          <w:left w:val="nil"/>
          <w:bottom w:val="nil"/>
          <w:right w:val="nil"/>
          <w:between w:val="nil"/>
        </w:pBd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lastRenderedPageBreak/>
        <w:t>La gran mayoría de compradores quiere convertir la vivienda en su residencia habitual</w:t>
      </w:r>
    </w:p>
    <w:p w14:paraId="334EB710" w14:textId="77777777" w:rsidR="009C75C5" w:rsidRDefault="009C75C5">
      <w:pPr>
        <w:pBdr>
          <w:top w:val="nil"/>
          <w:left w:val="nil"/>
          <w:bottom w:val="nil"/>
          <w:right w:val="nil"/>
          <w:between w:val="nil"/>
        </w:pBdr>
        <w:spacing w:line="276" w:lineRule="auto"/>
        <w:jc w:val="both"/>
        <w:rPr>
          <w:rFonts w:ascii="Open Sans" w:eastAsia="Open Sans" w:hAnsi="Open Sans" w:cs="Open Sans"/>
        </w:rPr>
      </w:pPr>
    </w:p>
    <w:p w14:paraId="6DD1AD50" w14:textId="77777777" w:rsidR="009C75C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Con relación al uso de la vivienda, los compradores efectivos en España siguen deseando convertir el inmueble en su residencia habitual</w:t>
      </w:r>
      <w:r>
        <w:rPr>
          <w:rFonts w:ascii="Open Sans" w:eastAsia="Open Sans" w:hAnsi="Open Sans" w:cs="Open Sans"/>
        </w:rPr>
        <w:t>. En 2025, el 81% de los compradores se marca este objetivo, un porcentaje que supera al 79% registrado en 2024 y que es aún mayor del 72% de hace dos años. En cambio, la compra con fines de inversión pierde terreno. El 8% de los demandantes declara esta intención, frente al 10% del año anterior. Por su parte, la adquisición de segundas residencias se mantiene estable en el 10%. El retroceso del perfil inversor es generalizado en casi todas las franjas de edad, aunque resulta especialmente evidente en los segmentos donde antes era más fuerte. Entre los compradores de 45 a 54 años, la intención de invertir cae del 11% al 8%, y entre los mayores de 55 años desciende del 14% al 12%.</w:t>
      </w:r>
    </w:p>
    <w:p w14:paraId="1FF2D85D" w14:textId="77777777" w:rsidR="009C75C5" w:rsidRDefault="009C75C5">
      <w:pPr>
        <w:pBdr>
          <w:top w:val="nil"/>
          <w:left w:val="nil"/>
          <w:bottom w:val="nil"/>
          <w:right w:val="nil"/>
          <w:between w:val="nil"/>
        </w:pBdr>
        <w:spacing w:line="276" w:lineRule="auto"/>
        <w:jc w:val="both"/>
        <w:rPr>
          <w:rFonts w:ascii="Open Sans" w:eastAsia="Open Sans" w:hAnsi="Open Sans" w:cs="Open Sans"/>
        </w:rPr>
      </w:pPr>
    </w:p>
    <w:p w14:paraId="42633CD4" w14:textId="77777777" w:rsidR="009C75C5"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586F8C1F" wp14:editId="5CCDF224">
            <wp:extent cx="5791200" cy="3870960"/>
            <wp:effectExtent l="0" t="0" r="0" b="0"/>
            <wp:docPr id="2066816613" name="image5.png" descr="Escala de tiem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Escala de tiempo&#10;&#10;El contenido generado por IA puede ser incorrecto."/>
                    <pic:cNvPicPr preferRelativeResize="0"/>
                  </pic:nvPicPr>
                  <pic:blipFill>
                    <a:blip r:embed="rId13"/>
                    <a:srcRect/>
                    <a:stretch>
                      <a:fillRect/>
                    </a:stretch>
                  </pic:blipFill>
                  <pic:spPr>
                    <a:xfrm>
                      <a:off x="0" y="0"/>
                      <a:ext cx="5791200" cy="3870960"/>
                    </a:xfrm>
                    <a:prstGeom prst="rect">
                      <a:avLst/>
                    </a:prstGeom>
                    <a:ln/>
                  </pic:spPr>
                </pic:pic>
              </a:graphicData>
            </a:graphic>
          </wp:inline>
        </w:drawing>
      </w:r>
    </w:p>
    <w:p w14:paraId="74217112" w14:textId="77777777" w:rsidR="009C75C5" w:rsidRDefault="009C75C5">
      <w:pPr>
        <w:pBdr>
          <w:top w:val="nil"/>
          <w:left w:val="nil"/>
          <w:bottom w:val="nil"/>
          <w:right w:val="nil"/>
          <w:between w:val="nil"/>
        </w:pBdr>
        <w:spacing w:line="276" w:lineRule="auto"/>
        <w:jc w:val="both"/>
        <w:rPr>
          <w:rFonts w:ascii="National" w:eastAsia="National" w:hAnsi="National" w:cs="National"/>
          <w:b/>
          <w:color w:val="303AB2"/>
          <w:sz w:val="32"/>
          <w:szCs w:val="32"/>
        </w:rPr>
      </w:pPr>
    </w:p>
    <w:p w14:paraId="1FCE751C" w14:textId="77777777" w:rsidR="00DA306E" w:rsidRDefault="00DA306E">
      <w:pPr>
        <w:pBdr>
          <w:top w:val="nil"/>
          <w:left w:val="nil"/>
          <w:bottom w:val="nil"/>
          <w:right w:val="nil"/>
          <w:between w:val="nil"/>
        </w:pBdr>
        <w:spacing w:line="276" w:lineRule="auto"/>
        <w:jc w:val="both"/>
        <w:rPr>
          <w:rFonts w:ascii="National" w:eastAsia="National" w:hAnsi="National" w:cs="National"/>
          <w:b/>
          <w:color w:val="303AB2"/>
          <w:sz w:val="32"/>
          <w:szCs w:val="32"/>
        </w:rPr>
      </w:pPr>
    </w:p>
    <w:p w14:paraId="27454BFD" w14:textId="77777777" w:rsidR="00DA306E" w:rsidRDefault="00DA306E">
      <w:pPr>
        <w:pBdr>
          <w:top w:val="nil"/>
          <w:left w:val="nil"/>
          <w:bottom w:val="nil"/>
          <w:right w:val="nil"/>
          <w:between w:val="nil"/>
        </w:pBdr>
        <w:spacing w:line="276" w:lineRule="auto"/>
        <w:jc w:val="both"/>
        <w:rPr>
          <w:rFonts w:ascii="National" w:eastAsia="National" w:hAnsi="National" w:cs="National"/>
          <w:b/>
          <w:color w:val="303AB2"/>
          <w:sz w:val="32"/>
          <w:szCs w:val="32"/>
        </w:rPr>
      </w:pPr>
    </w:p>
    <w:p w14:paraId="7733DE5A" w14:textId="77777777" w:rsidR="00DA306E" w:rsidRDefault="00DA306E">
      <w:pPr>
        <w:pBdr>
          <w:top w:val="nil"/>
          <w:left w:val="nil"/>
          <w:bottom w:val="nil"/>
          <w:right w:val="nil"/>
          <w:between w:val="nil"/>
        </w:pBdr>
        <w:spacing w:line="276" w:lineRule="auto"/>
        <w:jc w:val="both"/>
        <w:rPr>
          <w:rFonts w:ascii="National" w:eastAsia="National" w:hAnsi="National" w:cs="National"/>
          <w:b/>
          <w:color w:val="303AB2"/>
          <w:sz w:val="32"/>
          <w:szCs w:val="32"/>
        </w:rPr>
      </w:pPr>
    </w:p>
    <w:p w14:paraId="41FBBA7F" w14:textId="2880FB42" w:rsidR="009C75C5" w:rsidRDefault="00000000">
      <w:pPr>
        <w:pBdr>
          <w:top w:val="nil"/>
          <w:left w:val="nil"/>
          <w:bottom w:val="nil"/>
          <w:right w:val="nil"/>
          <w:between w:val="nil"/>
        </w:pBd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lastRenderedPageBreak/>
        <w:t>Se reduce la apuesta por el alquiler entre los compradores inversores</w:t>
      </w:r>
    </w:p>
    <w:p w14:paraId="712E76D2" w14:textId="77777777" w:rsidR="009C75C5" w:rsidRDefault="009C75C5">
      <w:pPr>
        <w:pBdr>
          <w:top w:val="nil"/>
          <w:left w:val="nil"/>
          <w:bottom w:val="nil"/>
          <w:right w:val="nil"/>
          <w:between w:val="nil"/>
        </w:pBdr>
        <w:spacing w:line="276" w:lineRule="auto"/>
        <w:jc w:val="both"/>
        <w:rPr>
          <w:rFonts w:ascii="Open Sans" w:eastAsia="Open Sans" w:hAnsi="Open Sans" w:cs="Open Sans"/>
        </w:rPr>
      </w:pPr>
    </w:p>
    <w:p w14:paraId="1E914A95" w14:textId="77777777" w:rsidR="009C75C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informe también analiza al detalle este segmento de los compradores que adquieren una vivienda como inversión o segunda residencia. Entre este grupo, </w:t>
      </w:r>
      <w:r>
        <w:rPr>
          <w:rFonts w:ascii="Open Sans" w:eastAsia="Open Sans" w:hAnsi="Open Sans" w:cs="Open Sans"/>
          <w:b/>
        </w:rPr>
        <w:t>se observa una caída importante en la intención de destinar los inmuebles al alquiler</w:t>
      </w:r>
      <w:r>
        <w:rPr>
          <w:rFonts w:ascii="Open Sans" w:eastAsia="Open Sans" w:hAnsi="Open Sans" w:cs="Open Sans"/>
        </w:rPr>
        <w:t>. En conjunto, menos de la mitad de los compradores que adquieren como inversión o segunda residencia (49%) optan por el alquiler como vía de rentabilidad, frente al 57% del año pasado. El alquiler vacacional o de corta duración se mantiene en el 17%, sin variaciones respecto al ejercicio anterior, lo que indica que la caída se concentra en el arrendamiento tradicional de larga estancia. Concretamente, en 2025, el 33% de los encuestados manifiesta este objetivo, frente al 41% de 2024, lo que supone una disminución de ocho puntos porcentuales.</w:t>
      </w:r>
    </w:p>
    <w:p w14:paraId="46E6E602" w14:textId="77777777" w:rsidR="009C75C5" w:rsidRDefault="009C75C5">
      <w:pPr>
        <w:pBdr>
          <w:top w:val="nil"/>
          <w:left w:val="nil"/>
          <w:bottom w:val="nil"/>
          <w:right w:val="nil"/>
          <w:between w:val="nil"/>
        </w:pBdr>
        <w:spacing w:line="276" w:lineRule="auto"/>
        <w:jc w:val="both"/>
        <w:rPr>
          <w:rFonts w:ascii="Open Sans" w:eastAsia="Open Sans" w:hAnsi="Open Sans" w:cs="Open Sans"/>
        </w:rPr>
      </w:pPr>
    </w:p>
    <w:p w14:paraId="2312B731" w14:textId="77777777" w:rsidR="009C75C5"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48B2350C" wp14:editId="1B0B612A">
            <wp:extent cx="5798820" cy="4450080"/>
            <wp:effectExtent l="0" t="0" r="0" b="7620"/>
            <wp:docPr id="2066816615" name="image4.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Diagrama&#10;&#10;El contenido generado por IA puede ser incorrecto."/>
                    <pic:cNvPicPr preferRelativeResize="0"/>
                  </pic:nvPicPr>
                  <pic:blipFill>
                    <a:blip r:embed="rId14"/>
                    <a:srcRect/>
                    <a:stretch>
                      <a:fillRect/>
                    </a:stretch>
                  </pic:blipFill>
                  <pic:spPr>
                    <a:xfrm>
                      <a:off x="0" y="0"/>
                      <a:ext cx="5798820" cy="4450080"/>
                    </a:xfrm>
                    <a:prstGeom prst="rect">
                      <a:avLst/>
                    </a:prstGeom>
                    <a:ln/>
                  </pic:spPr>
                </pic:pic>
              </a:graphicData>
            </a:graphic>
          </wp:inline>
        </w:drawing>
      </w:r>
    </w:p>
    <w:p w14:paraId="200A8BD3" w14:textId="77777777" w:rsidR="009C75C5" w:rsidRDefault="009C75C5">
      <w:pPr>
        <w:pBdr>
          <w:top w:val="nil"/>
          <w:left w:val="nil"/>
          <w:bottom w:val="nil"/>
          <w:right w:val="nil"/>
          <w:between w:val="nil"/>
        </w:pBdr>
        <w:spacing w:line="276" w:lineRule="auto"/>
        <w:jc w:val="both"/>
        <w:rPr>
          <w:rFonts w:ascii="Open Sans" w:eastAsia="Open Sans" w:hAnsi="Open Sans" w:cs="Open Sans"/>
        </w:rPr>
      </w:pPr>
    </w:p>
    <w:p w14:paraId="6548F525" w14:textId="77777777" w:rsidR="00DA306E" w:rsidRDefault="00DA306E">
      <w:pPr>
        <w:pBdr>
          <w:top w:val="nil"/>
          <w:left w:val="nil"/>
          <w:bottom w:val="nil"/>
          <w:right w:val="nil"/>
          <w:between w:val="nil"/>
        </w:pBdr>
        <w:spacing w:line="276" w:lineRule="auto"/>
        <w:jc w:val="both"/>
        <w:rPr>
          <w:rFonts w:ascii="Open Sans" w:eastAsia="Open Sans" w:hAnsi="Open Sans" w:cs="Open Sans"/>
        </w:rPr>
      </w:pPr>
    </w:p>
    <w:p w14:paraId="5FA4C800" w14:textId="77777777" w:rsidR="00DA306E" w:rsidRDefault="00DA306E">
      <w:pPr>
        <w:pBdr>
          <w:top w:val="nil"/>
          <w:left w:val="nil"/>
          <w:bottom w:val="nil"/>
          <w:right w:val="nil"/>
          <w:between w:val="nil"/>
        </w:pBdr>
        <w:spacing w:line="276" w:lineRule="auto"/>
        <w:jc w:val="both"/>
        <w:rPr>
          <w:rFonts w:ascii="Open Sans" w:eastAsia="Open Sans" w:hAnsi="Open Sans" w:cs="Open Sans"/>
        </w:rPr>
      </w:pPr>
    </w:p>
    <w:p w14:paraId="4FA2D9E5" w14:textId="3AF18C6B" w:rsidR="009C75C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Las motivaciones que impulsan a los compradores inversores se mantienen estables. </w:t>
      </w:r>
      <w:r>
        <w:rPr>
          <w:rFonts w:ascii="Open Sans" w:eastAsia="Open Sans" w:hAnsi="Open Sans" w:cs="Open Sans"/>
          <w:b/>
        </w:rPr>
        <w:t>La principal es la rentabilidad, citada por el 68% de los encuestados, el mismo porcentaje que en 2024</w:t>
      </w:r>
      <w:r>
        <w:rPr>
          <w:rFonts w:ascii="Open Sans" w:eastAsia="Open Sans" w:hAnsi="Open Sans" w:cs="Open Sans"/>
        </w:rPr>
        <w:t>. En segundo lugar, se encuentra la posibilidad de pagar la hipoteca con los ingresos del alquiler, que gana peso y pasa del 29% en 2024 al 33% en 2025. Un 10% declara que su intención es esperar a que la vivienda aumente de valor para venderla más adelante, lo que representa un ligero incremento frente al 9% del año anterior.</w:t>
      </w:r>
    </w:p>
    <w:p w14:paraId="358E0188" w14:textId="77777777" w:rsidR="009C75C5" w:rsidRDefault="009C75C5">
      <w:pPr>
        <w:pBdr>
          <w:top w:val="nil"/>
          <w:left w:val="nil"/>
          <w:bottom w:val="nil"/>
          <w:right w:val="nil"/>
          <w:between w:val="nil"/>
        </w:pBdr>
        <w:spacing w:line="276" w:lineRule="auto"/>
        <w:jc w:val="both"/>
        <w:rPr>
          <w:rFonts w:ascii="Open Sans" w:eastAsia="Open Sans" w:hAnsi="Open Sans" w:cs="Open Sans"/>
        </w:rPr>
      </w:pPr>
    </w:p>
    <w:p w14:paraId="23DD81FE" w14:textId="77777777" w:rsidR="009C75C5" w:rsidRDefault="00000000">
      <w:pPr>
        <w:pBdr>
          <w:top w:val="nil"/>
          <w:left w:val="nil"/>
          <w:bottom w:val="nil"/>
          <w:right w:val="nil"/>
          <w:between w:val="nil"/>
        </w:pBd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Cae la venta de vivienda por reposición</w:t>
      </w:r>
    </w:p>
    <w:p w14:paraId="03D0C0F9" w14:textId="77777777" w:rsidR="009C75C5" w:rsidRDefault="009C75C5">
      <w:pPr>
        <w:pBdr>
          <w:top w:val="nil"/>
          <w:left w:val="nil"/>
          <w:bottom w:val="nil"/>
          <w:right w:val="nil"/>
          <w:between w:val="nil"/>
        </w:pBdr>
        <w:spacing w:line="276" w:lineRule="auto"/>
        <w:jc w:val="both"/>
        <w:rPr>
          <w:rFonts w:ascii="Open Sans" w:eastAsia="Open Sans" w:hAnsi="Open Sans" w:cs="Open Sans"/>
        </w:rPr>
      </w:pPr>
    </w:p>
    <w:p w14:paraId="7A87BFCF" w14:textId="77777777" w:rsidR="009C75C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el ámbito de la oferta, también se detectan cambios significativos. </w:t>
      </w:r>
      <w:r>
        <w:rPr>
          <w:rFonts w:ascii="Open Sans" w:eastAsia="Open Sans" w:hAnsi="Open Sans" w:cs="Open Sans"/>
          <w:b/>
        </w:rPr>
        <w:t>Únicamente el 35% de los vendedores en 2025 se ha desprendido de su vivienda habitual</w:t>
      </w:r>
      <w:r>
        <w:rPr>
          <w:rFonts w:ascii="Open Sans" w:eastAsia="Open Sans" w:hAnsi="Open Sans" w:cs="Open Sans"/>
        </w:rPr>
        <w:t>, lo que supone un descenso de siete puntos respecto al 42% del año anterior. Este retroceso devuelve la proporción a niveles de 2023 (34%) y rompe con el repunte experimentado en 2024. Por detrás de este grupo, destacan los propietarios que venden inmuebles recibidos en herencia y sin uso, que aumentan del 21% en 2024 al 23% en 2025. También gana protagonismo la venta de viviendas que estaban destinadas al alquiler, que representa ya el 19% del total, tres puntos más que un año antes.</w:t>
      </w:r>
    </w:p>
    <w:p w14:paraId="44D6609C" w14:textId="77777777" w:rsidR="009C75C5" w:rsidRDefault="009C75C5">
      <w:pPr>
        <w:spacing w:line="276" w:lineRule="auto"/>
        <w:jc w:val="right"/>
        <w:rPr>
          <w:rFonts w:ascii="Open Sans Light" w:eastAsia="Open Sans Light" w:hAnsi="Open Sans Light" w:cs="Open Sans Light"/>
          <w:b/>
          <w:color w:val="303AB2"/>
        </w:rPr>
      </w:pPr>
    </w:p>
    <w:p w14:paraId="6F45169D" w14:textId="77777777" w:rsidR="009C75C5" w:rsidRDefault="009C75C5">
      <w:pPr>
        <w:spacing w:line="276" w:lineRule="auto"/>
        <w:jc w:val="right"/>
        <w:rPr>
          <w:rFonts w:ascii="Open Sans Light" w:eastAsia="Open Sans Light" w:hAnsi="Open Sans Light" w:cs="Open Sans Light"/>
          <w:b/>
          <w:color w:val="303AB2"/>
        </w:rPr>
      </w:pPr>
    </w:p>
    <w:p w14:paraId="69244D52" w14:textId="77777777" w:rsidR="00DA306E" w:rsidRDefault="00DA306E" w:rsidP="00DA306E">
      <w:pPr>
        <w:spacing w:line="276" w:lineRule="auto"/>
        <w:jc w:val="right"/>
        <w:rPr>
          <w:rFonts w:ascii="Open Sans Light" w:eastAsia="Open Sans Light" w:hAnsi="Open Sans Light" w:cs="Open Sans Light"/>
          <w:b/>
          <w:color w:val="303AB2"/>
        </w:rPr>
      </w:pPr>
    </w:p>
    <w:p w14:paraId="49A1D93F" w14:textId="1B6ABEBE" w:rsidR="00DA306E" w:rsidRDefault="00DA306E" w:rsidP="00DA306E">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61183035" w14:textId="77777777" w:rsidR="00DA306E" w:rsidRDefault="00DA306E" w:rsidP="00DA306E">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77FE57CA" w14:textId="77777777" w:rsidR="00DA306E" w:rsidRDefault="00DA306E" w:rsidP="00DA306E">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6">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p w14:paraId="737AC7DB" w14:textId="77777777" w:rsidR="00DA306E" w:rsidRDefault="00DA306E" w:rsidP="00DA306E">
      <w:pPr>
        <w:shd w:val="clear" w:color="auto" w:fill="FFFFFF"/>
        <w:spacing w:before="280" w:after="280" w:line="276" w:lineRule="auto"/>
        <w:jc w:val="both"/>
        <w:rPr>
          <w:rFonts w:ascii="Open Sans" w:eastAsia="Open Sans" w:hAnsi="Open Sans" w:cs="Open Sans"/>
          <w:sz w:val="22"/>
          <w:szCs w:val="22"/>
        </w:rPr>
      </w:pPr>
      <w:hyperlink r:id="rId17">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485216EB" w14:textId="77777777" w:rsidR="00DA306E" w:rsidRDefault="00DA306E" w:rsidP="00DA306E">
      <w:pPr>
        <w:spacing w:line="276" w:lineRule="auto"/>
        <w:rPr>
          <w:rFonts w:ascii="Open Sans Light" w:eastAsia="Open Sans Light" w:hAnsi="Open Sans Light" w:cs="Open Sans Light"/>
          <w:b/>
          <w:color w:val="303AB2"/>
        </w:rPr>
      </w:pPr>
    </w:p>
    <w:p w14:paraId="0080C83C" w14:textId="77777777" w:rsidR="00DA306E" w:rsidRDefault="00DA306E" w:rsidP="00DA306E">
      <w:pPr>
        <w:spacing w:line="276" w:lineRule="auto"/>
        <w:jc w:val="right"/>
        <w:rPr>
          <w:rFonts w:ascii="Open Sans Light" w:eastAsia="Open Sans Light" w:hAnsi="Open Sans Light" w:cs="Open Sans Light"/>
          <w:b/>
          <w:color w:val="303AB2"/>
        </w:rPr>
      </w:pPr>
    </w:p>
    <w:p w14:paraId="5C20374C" w14:textId="77777777" w:rsidR="00DA306E" w:rsidRDefault="00DA306E" w:rsidP="00DA306E">
      <w:pPr>
        <w:spacing w:line="276" w:lineRule="auto"/>
        <w:jc w:val="right"/>
        <w:rPr>
          <w:rFonts w:ascii="Open Sans Light" w:eastAsia="Open Sans Light" w:hAnsi="Open Sans Light" w:cs="Open Sans Light"/>
          <w:b/>
          <w:color w:val="303AB2"/>
        </w:rPr>
      </w:pPr>
    </w:p>
    <w:p w14:paraId="36A07A41" w14:textId="77777777" w:rsidR="00DA306E" w:rsidRDefault="00DA306E" w:rsidP="00DA306E">
      <w:pPr>
        <w:spacing w:line="276" w:lineRule="auto"/>
        <w:jc w:val="right"/>
        <w:rPr>
          <w:rFonts w:ascii="Open Sans Light" w:eastAsia="Open Sans Light" w:hAnsi="Open Sans Light" w:cs="Open Sans Light"/>
          <w:b/>
          <w:color w:val="303AB2"/>
        </w:rPr>
      </w:pPr>
    </w:p>
    <w:p w14:paraId="104600AD" w14:textId="5AF65179" w:rsidR="00DA306E" w:rsidRDefault="00DA306E" w:rsidP="00DA306E">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Sobre </w:t>
      </w:r>
      <w:proofErr w:type="spellStart"/>
      <w:r>
        <w:rPr>
          <w:rFonts w:ascii="Open Sans Light" w:eastAsia="Open Sans Light" w:hAnsi="Open Sans Light" w:cs="Open Sans Light"/>
          <w:b/>
          <w:color w:val="303AB2"/>
        </w:rPr>
        <w:t>Adevinta</w:t>
      </w:r>
      <w:proofErr w:type="spellEnd"/>
    </w:p>
    <w:p w14:paraId="6894B560" w14:textId="77777777" w:rsidR="00DA306E" w:rsidRDefault="00DA306E" w:rsidP="00DA306E">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8">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0">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2BFF1D7C" w14:textId="77777777" w:rsidR="00DA306E" w:rsidRDefault="00DA306E" w:rsidP="00DA306E">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751AF051" w14:textId="77777777" w:rsidR="00DA306E" w:rsidRDefault="00DA306E" w:rsidP="00DA306E">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25823E33" w14:textId="77777777" w:rsidR="00DA306E" w:rsidRDefault="00DA306E" w:rsidP="00DA306E">
      <w:pPr>
        <w:spacing w:before="143" w:after="200"/>
        <w:jc w:val="both"/>
      </w:pPr>
      <w:r>
        <w:rPr>
          <w:rFonts w:ascii="Open Sans" w:eastAsia="Open Sans" w:hAnsi="Open Sans" w:cs="Open Sans"/>
          <w:sz w:val="22"/>
          <w:szCs w:val="22"/>
        </w:rPr>
        <w:t xml:space="preserve">Más información en </w:t>
      </w:r>
      <w:hyperlink r:id="rId23">
        <w:r>
          <w:rPr>
            <w:rFonts w:ascii="Open Sans" w:eastAsia="Open Sans" w:hAnsi="Open Sans" w:cs="Open Sans"/>
            <w:color w:val="1155CC"/>
            <w:sz w:val="22"/>
            <w:szCs w:val="22"/>
            <w:u w:val="single"/>
          </w:rPr>
          <w:t>adevinta.es</w:t>
        </w:r>
      </w:hyperlink>
    </w:p>
    <w:p w14:paraId="1098FE3A" w14:textId="77777777" w:rsidR="00DA306E" w:rsidRDefault="00DA306E" w:rsidP="00DA306E">
      <w:pPr>
        <w:spacing w:before="143" w:after="200"/>
        <w:jc w:val="both"/>
        <w:rPr>
          <w:rFonts w:ascii="Open Sans" w:eastAsia="Open Sans" w:hAnsi="Open Sans" w:cs="Open Sans"/>
        </w:rPr>
      </w:pPr>
    </w:p>
    <w:p w14:paraId="585DA66D" w14:textId="77777777" w:rsidR="00DA306E" w:rsidRDefault="00DA306E" w:rsidP="00DA306E">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1BC675A6" w14:textId="77777777" w:rsidR="00DA306E" w:rsidRDefault="00DA306E" w:rsidP="00DA306E">
      <w:pPr>
        <w:shd w:val="clear" w:color="auto" w:fill="FFFFFF"/>
        <w:spacing w:line="276" w:lineRule="auto"/>
        <w:rPr>
          <w:rFonts w:ascii="Open Sans" w:eastAsia="Open Sans" w:hAnsi="Open Sans" w:cs="Open Sans"/>
          <w:b/>
          <w:sz w:val="22"/>
          <w:szCs w:val="22"/>
        </w:rPr>
      </w:pPr>
      <w:r>
        <w:rPr>
          <w:rFonts w:ascii="Open Sans" w:eastAsia="Open Sans" w:hAnsi="Open Sans" w:cs="Open Sans"/>
          <w:b/>
          <w:sz w:val="22"/>
          <w:szCs w:val="22"/>
        </w:rPr>
        <w:t>Anaïs López</w:t>
      </w:r>
    </w:p>
    <w:p w14:paraId="279C10D0" w14:textId="77777777" w:rsidR="00DA306E" w:rsidRDefault="00DA306E" w:rsidP="00DA306E">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293DB52F" w14:textId="77777777" w:rsidR="00DA306E" w:rsidRDefault="00DA306E" w:rsidP="00DA306E">
      <w:pPr>
        <w:shd w:val="clear" w:color="auto" w:fill="FFFFFF"/>
        <w:spacing w:line="276" w:lineRule="auto"/>
        <w:rPr>
          <w:rFonts w:ascii="Open Sans Light" w:eastAsia="Open Sans Light" w:hAnsi="Open Sans Light" w:cs="Open Sans Light"/>
          <w:b/>
          <w:color w:val="303AB2"/>
        </w:rPr>
      </w:pPr>
      <w:r>
        <w:rPr>
          <w:rFonts w:ascii="Open Sans" w:eastAsia="Open Sans" w:hAnsi="Open Sans" w:cs="Open Sans"/>
          <w:sz w:val="22"/>
          <w:szCs w:val="22"/>
        </w:rPr>
        <w:t>620 66 29 26</w:t>
      </w:r>
    </w:p>
    <w:p w14:paraId="029BD81D" w14:textId="52EAE519" w:rsidR="009C75C5" w:rsidRDefault="009C75C5" w:rsidP="00DA306E">
      <w:pPr>
        <w:spacing w:line="276" w:lineRule="auto"/>
        <w:jc w:val="right"/>
        <w:rPr>
          <w:rFonts w:ascii="Open Sans" w:eastAsia="Open Sans" w:hAnsi="Open Sans" w:cs="Open Sans"/>
          <w:color w:val="000000"/>
          <w:sz w:val="22"/>
          <w:szCs w:val="22"/>
        </w:rPr>
      </w:pPr>
    </w:p>
    <w:sectPr w:rsidR="009C75C5">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86122" w14:textId="77777777" w:rsidR="00C74964" w:rsidRDefault="00C74964">
      <w:r>
        <w:separator/>
      </w:r>
    </w:p>
  </w:endnote>
  <w:endnote w:type="continuationSeparator" w:id="0">
    <w:p w14:paraId="2917B5F0" w14:textId="77777777" w:rsidR="00C74964" w:rsidRDefault="00C74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55A61B9-546E-49BD-992F-7AC65A9AED6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5CC6F92-DE7A-44D8-BF1C-791E5699B853}"/>
    <w:embedBold r:id="rId3" w:fontKey="{AB10D499-CBAA-49BF-B2BC-FF7C416E803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6A859B70-CF19-4570-A69C-B672F6EB01B3}"/>
  </w:font>
  <w:font w:name="Georgia">
    <w:panose1 w:val="02040502050405020303"/>
    <w:charset w:val="00"/>
    <w:family w:val="roman"/>
    <w:pitch w:val="variable"/>
    <w:sig w:usb0="00000287" w:usb1="00000000" w:usb2="00000000" w:usb3="00000000" w:csb0="0000009F" w:csb1="00000000"/>
    <w:embedRegular r:id="rId5" w:fontKey="{E6198873-1D51-4B3B-BF8B-50D4040D2E22}"/>
    <w:embedItalic r:id="rId6" w:fontKey="{F7FB636F-45CB-4C7E-8FFB-8EFCB241CAE5}"/>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4353634B-2CBC-47EE-8F70-8F80F9DD12C7}"/>
    <w:embedBold r:id="rId8" w:fontKey="{05EFFC38-4C76-405B-99E3-DC89D09C44BE}"/>
  </w:font>
  <w:font w:name="Open Sans Light">
    <w:charset w:val="00"/>
    <w:family w:val="swiss"/>
    <w:pitch w:val="variable"/>
    <w:sig w:usb0="E00002EF" w:usb1="4000205B" w:usb2="00000028" w:usb3="00000000" w:csb0="0000019F" w:csb1="00000000"/>
    <w:embedRegular r:id="rId9" w:fontKey="{23DD8DF2-27CA-4660-AC82-D334FA51EB87}"/>
    <w:embedBold r:id="rId10" w:fontKey="{C5255157-F4A0-493D-A147-BEC35C93C1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9FEF9" w14:textId="77777777" w:rsidR="009C75C5"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4BA2E0C" wp14:editId="45854F9C">
          <wp:simplePos x="0" y="0"/>
          <wp:positionH relativeFrom="column">
            <wp:posOffset>-1068045</wp:posOffset>
          </wp:positionH>
          <wp:positionV relativeFrom="paragraph">
            <wp:posOffset>174608</wp:posOffset>
          </wp:positionV>
          <wp:extent cx="7670550" cy="451315"/>
          <wp:effectExtent l="0" t="0" r="0" b="0"/>
          <wp:wrapNone/>
          <wp:docPr id="20668166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BE2AA" w14:textId="77777777" w:rsidR="00C74964" w:rsidRDefault="00C74964">
      <w:r>
        <w:separator/>
      </w:r>
    </w:p>
  </w:footnote>
  <w:footnote w:type="continuationSeparator" w:id="0">
    <w:p w14:paraId="2EBA87F6" w14:textId="77777777" w:rsidR="00C74964" w:rsidRDefault="00C749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34014"/>
    <w:multiLevelType w:val="multilevel"/>
    <w:tmpl w:val="C4B860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61863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5C5"/>
    <w:rsid w:val="00145888"/>
    <w:rsid w:val="008B29E0"/>
    <w:rsid w:val="009C75C5"/>
    <w:rsid w:val="00B54665"/>
    <w:rsid w:val="00C1347E"/>
    <w:rsid w:val="00C74964"/>
    <w:rsid w:val="00DA30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31A49"/>
  <w15:docId w15:val="{FA1F22CE-01B7-44D3-8CE5-EC5D40143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a">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fotocasa.es/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fotocasa.es/es/quienes-somo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infojob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adevinta.es" TargetMode="External"/><Relationship Id="rId10" Type="http://schemas.openxmlformats.org/officeDocument/2006/relationships/hyperlink" Target="https://research.fotocasa.es/" TargetMode="External"/><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hyperlink" Target="https://s36360.pcdn.co/wp-content/uploads/2025/09/Informe-Experiencia-en-compra-en-2025.pdf" TargetMode="External"/><Relationship Id="rId14" Type="http://schemas.openxmlformats.org/officeDocument/2006/relationships/image" Target="media/image4.png"/><Relationship Id="rId22" Type="http://schemas.openxmlformats.org/officeDocument/2006/relationships/hyperlink" Target="https://motos.coches.net/"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SxCKDG5LBFq3qnKwVCRjOCaaLw==">CgMxLjAyCWguMnM4ZXlvMTgAciExUTlSdjJnczVjT2FWeGxOVjFZeWNJcFJpMlhucms2VU4=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1323</Words>
  <Characters>7280</Characters>
  <Application>Microsoft Office Word</Application>
  <DocSecurity>0</DocSecurity>
  <Lines>60</Lines>
  <Paragraphs>17</Paragraphs>
  <ScaleCrop>false</ScaleCrop>
  <Company/>
  <LinksUpToDate>false</LinksUpToDate>
  <CharactersWithSpaces>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2024-02-06T13:46:00Z</dcterms:created>
  <dcterms:modified xsi:type="dcterms:W3CDTF">2025-10-13T11:37:00Z</dcterms:modified>
</cp:coreProperties>
</file>