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8BEFE" w14:textId="77777777" w:rsidR="0051643C"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 xml:space="preserve">ÍNDICE PREDICTIVO DE PRECIOS </w:t>
      </w:r>
    </w:p>
    <w:p w14:paraId="1484003A" w14:textId="77777777" w:rsidR="0051643C" w:rsidRDefault="00000000">
      <w:pPr>
        <w:spacing w:line="276" w:lineRule="auto"/>
        <w:ind w:right="-560"/>
        <w:jc w:val="center"/>
        <w:rPr>
          <w:rFonts w:ascii="National" w:eastAsia="National" w:hAnsi="National" w:cs="National"/>
          <w:b/>
          <w:color w:val="002060"/>
          <w:sz w:val="44"/>
          <w:szCs w:val="44"/>
        </w:rPr>
      </w:pPr>
      <w:r>
        <w:rPr>
          <w:rFonts w:ascii="National" w:eastAsia="National" w:hAnsi="National" w:cs="National"/>
          <w:b/>
          <w:color w:val="002060"/>
          <w:sz w:val="44"/>
          <w:szCs w:val="44"/>
        </w:rPr>
        <w:t xml:space="preserve">El norte de España se calienta y la IA anticipa que liderará las subidas en el precio del alquiler: Santander, Pontevedra y San Sebastián cerrarán 2025 con las mayores subidas </w:t>
      </w:r>
    </w:p>
    <w:p w14:paraId="27095E67" w14:textId="77777777" w:rsidR="0051643C" w:rsidRDefault="0051643C">
      <w:pPr>
        <w:spacing w:line="276" w:lineRule="auto"/>
        <w:ind w:left="720" w:right="-560"/>
        <w:jc w:val="both"/>
        <w:rPr>
          <w:rFonts w:ascii="Open Sans" w:eastAsia="Open Sans" w:hAnsi="Open Sans" w:cs="Open Sans"/>
          <w:color w:val="002060"/>
        </w:rPr>
      </w:pPr>
    </w:p>
    <w:p w14:paraId="2D776B23" w14:textId="77777777" w:rsidR="0051643C"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color w:val="002060"/>
        </w:rPr>
        <w:t>Índice predictivo de alquiler DataVenues</w:t>
      </w:r>
      <w:r>
        <w:rPr>
          <w:rFonts w:ascii="Open Sans" w:eastAsia="Open Sans" w:hAnsi="Open Sans" w:cs="Open Sans"/>
          <w:color w:val="002060"/>
        </w:rPr>
        <w:t xml:space="preserve"> de Fotocasa prevé subidas de precios en 15 ciudades y bajadas en 17 capitales a cierre del cuarto trimestre</w:t>
      </w:r>
    </w:p>
    <w:p w14:paraId="5955EFC3" w14:textId="77777777" w:rsidR="0051643C" w:rsidRDefault="00000000">
      <w:pPr>
        <w:numPr>
          <w:ilvl w:val="0"/>
          <w:numId w:val="1"/>
        </w:numPr>
        <w:spacing w:line="276" w:lineRule="auto"/>
        <w:ind w:right="-560"/>
        <w:jc w:val="both"/>
        <w:rPr>
          <w:rFonts w:ascii="Open Sans" w:eastAsia="Open Sans" w:hAnsi="Open Sans" w:cs="Open Sans"/>
          <w:color w:val="002060"/>
        </w:rPr>
      </w:pPr>
      <w:bookmarkStart w:id="0" w:name="_heading=h.8w2z68yg3vc8" w:colFirst="0" w:colLast="0"/>
      <w:bookmarkEnd w:id="0"/>
      <w:r>
        <w:rPr>
          <w:rFonts w:ascii="Open Sans" w:eastAsia="Open Sans" w:hAnsi="Open Sans" w:cs="Open Sans"/>
          <w:color w:val="002060"/>
        </w:rPr>
        <w:t>Santander (+6,9%), Pontevedra (+6,3%) y San Sebastián (+4,7%) registrarán las mayores subidas de rentas</w:t>
      </w:r>
    </w:p>
    <w:p w14:paraId="50DBE1B5" w14:textId="77777777" w:rsidR="0051643C"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En el otro extremo, otras capitales de provincia como Huesca (-15,0%), Soria (-10,8%) y Cádiz (-6,1%) experimentarán los mayores descensos trimestrales de precios</w:t>
      </w:r>
    </w:p>
    <w:p w14:paraId="1E6EBCBD" w14:textId="77777777" w:rsidR="0051643C" w:rsidRDefault="0051643C">
      <w:pPr>
        <w:spacing w:line="276" w:lineRule="auto"/>
        <w:ind w:left="360" w:right="-560"/>
        <w:jc w:val="both"/>
        <w:rPr>
          <w:rFonts w:ascii="Open Sans" w:eastAsia="Open Sans" w:hAnsi="Open Sans" w:cs="Open Sans"/>
          <w:color w:val="002060"/>
        </w:rPr>
      </w:pPr>
    </w:p>
    <w:p w14:paraId="194B6C4A" w14:textId="77777777" w:rsidR="0051643C"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20 de octubre de 2025</w:t>
      </w:r>
    </w:p>
    <w:p w14:paraId="7D860D40" w14:textId="77777777" w:rsidR="0051643C" w:rsidRDefault="0051643C">
      <w:pPr>
        <w:spacing w:line="276" w:lineRule="auto"/>
        <w:ind w:right="-560"/>
        <w:jc w:val="both"/>
        <w:rPr>
          <w:rFonts w:ascii="Open Sans" w:eastAsia="Open Sans" w:hAnsi="Open Sans" w:cs="Open Sans"/>
          <w:sz w:val="22"/>
          <w:szCs w:val="22"/>
        </w:rPr>
      </w:pPr>
    </w:p>
    <w:p w14:paraId="1AB73D33" w14:textId="77777777" w:rsidR="0051643C"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La Inteligencia Artificial prevé que las ciudades de Santander (+6,9%), Pontevedra (+6,3%) y San Sebastián (+4,7%) registren las mayores subidas de precios de alquiler de viviendas de toda España a nivel trimestral (es decir, comparando la evolución estimada entre 1 de octubre y el 31 de diciembre de 2025). </w:t>
      </w:r>
      <w:r>
        <w:rPr>
          <w:rFonts w:ascii="Open Sans" w:eastAsia="Open Sans" w:hAnsi="Open Sans" w:cs="Open Sans"/>
          <w:b/>
          <w:color w:val="262626"/>
          <w:sz w:val="22"/>
          <w:szCs w:val="22"/>
        </w:rPr>
        <w:t xml:space="preserve">Estas son las principales estimaciones del </w:t>
      </w:r>
      <w:r>
        <w:rPr>
          <w:rFonts w:ascii="Open Sans" w:eastAsia="Open Sans" w:hAnsi="Open Sans" w:cs="Open Sans"/>
          <w:b/>
          <w:i/>
          <w:color w:val="262626"/>
          <w:sz w:val="22"/>
          <w:szCs w:val="22"/>
        </w:rPr>
        <w:t xml:space="preserve">Índice predictivo de alquiler </w:t>
      </w:r>
      <w:hyperlink r:id="rId8">
        <w:r w:rsidR="0051643C">
          <w:rPr>
            <w:rFonts w:ascii="Open Sans" w:eastAsia="Open Sans" w:hAnsi="Open Sans" w:cs="Open Sans"/>
            <w:b/>
            <w:i/>
            <w:color w:val="0000FF"/>
            <w:sz w:val="22"/>
            <w:szCs w:val="22"/>
            <w:u w:val="single"/>
          </w:rPr>
          <w:t>DataVenues</w:t>
        </w:r>
      </w:hyperlink>
      <w:r>
        <w:rPr>
          <w:rFonts w:ascii="Open Sans" w:eastAsia="Open Sans" w:hAnsi="Open Sans" w:cs="Open Sans"/>
          <w:b/>
          <w:color w:val="262626"/>
          <w:sz w:val="22"/>
          <w:szCs w:val="22"/>
        </w:rPr>
        <w:t> de </w:t>
      </w:r>
      <w:hyperlink r:id="rId9">
        <w:r w:rsidR="0051643C">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xml:space="preserve">, que permite adelantarse al comportamiento del mercado y prever la evolución de los precios de la vivienda de alquiler a nivel trimestral. </w:t>
      </w:r>
      <w:r>
        <w:rPr>
          <w:rFonts w:ascii="Open Sans" w:eastAsia="Open Sans" w:hAnsi="Open Sans" w:cs="Open Sans"/>
          <w:color w:val="262626"/>
          <w:sz w:val="22"/>
          <w:szCs w:val="22"/>
        </w:rPr>
        <w:t xml:space="preserve">Desde enero de 2025, </w:t>
      </w:r>
      <w:hyperlink r:id="rId10">
        <w:r w:rsidR="0051643C">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02B38534" w14:textId="77777777" w:rsidR="0051643C" w:rsidRDefault="0051643C">
      <w:pPr>
        <w:spacing w:line="276" w:lineRule="auto"/>
        <w:ind w:right="-560"/>
        <w:jc w:val="both"/>
        <w:rPr>
          <w:rFonts w:ascii="Open Sans" w:eastAsia="Open Sans" w:hAnsi="Open Sans" w:cs="Open Sans"/>
          <w:color w:val="262626"/>
          <w:sz w:val="22"/>
          <w:szCs w:val="22"/>
        </w:rPr>
      </w:pPr>
    </w:p>
    <w:p w14:paraId="3C09CDCB" w14:textId="77777777" w:rsidR="0051643C" w:rsidRDefault="00000000">
      <w:pPr>
        <w:spacing w:line="276" w:lineRule="auto"/>
        <w:ind w:right="-560"/>
        <w:jc w:val="both"/>
        <w:rPr>
          <w:rFonts w:ascii="Open Sans" w:eastAsia="Open Sans" w:hAnsi="Open Sans" w:cs="Open Sans"/>
          <w:b/>
          <w:color w:val="262626"/>
          <w:sz w:val="22"/>
          <w:szCs w:val="22"/>
        </w:rPr>
      </w:pPr>
      <w:r>
        <w:rPr>
          <w:rFonts w:ascii="Open Sans" w:eastAsia="Open Sans" w:hAnsi="Open Sans" w:cs="Open Sans"/>
          <w:color w:val="262626"/>
          <w:sz w:val="22"/>
          <w:szCs w:val="22"/>
        </w:rPr>
        <w:t xml:space="preserve">“Las ciudades del norte lideran las previsiones de crecimiento de precios, debido a que la demanda se está desplazando hacia estas zonas. Son mercados tradicionalmente más estables y con una calidad de vida elevada, y aunque la oferta de vivienda también es limitada, los precios todavía son más asequibles. Es la nueva tendencia detectada en el mercado del arrendamiento, la demanda huye de las zonas más tensionadas como la </w:t>
      </w:r>
      <w:r>
        <w:rPr>
          <w:rFonts w:ascii="Open Sans" w:eastAsia="Open Sans" w:hAnsi="Open Sans" w:cs="Open Sans"/>
          <w:color w:val="262626"/>
          <w:sz w:val="22"/>
          <w:szCs w:val="22"/>
        </w:rPr>
        <w:lastRenderedPageBreak/>
        <w:t xml:space="preserve">costa mediterránea o las grandes capitales, en busca de precios más accesibles. Sin embargo, también son relevantes los descensos previstos, porque podrían interpretarse como una corrección natural del mercado tras el sobrecalentamiento sufrido”, </w:t>
      </w:r>
      <w:r>
        <w:rPr>
          <w:rFonts w:ascii="Open Sans" w:eastAsia="Open Sans" w:hAnsi="Open Sans" w:cs="Open Sans"/>
          <w:b/>
          <w:color w:val="262626"/>
          <w:sz w:val="22"/>
          <w:szCs w:val="22"/>
        </w:rPr>
        <w:t xml:space="preserve">comenta María Matos, directora de Estudios y portavoz de </w:t>
      </w:r>
      <w:hyperlink r:id="rId11">
        <w:r w:rsidR="0051643C">
          <w:rPr>
            <w:rFonts w:ascii="Open Sans" w:eastAsia="Open Sans" w:hAnsi="Open Sans" w:cs="Open Sans"/>
            <w:b/>
            <w:color w:val="1155CC"/>
            <w:sz w:val="22"/>
            <w:szCs w:val="22"/>
            <w:u w:val="single"/>
          </w:rPr>
          <w:t>Fotocasa</w:t>
        </w:r>
      </w:hyperlink>
      <w:r>
        <w:rPr>
          <w:rFonts w:ascii="Open Sans" w:eastAsia="Open Sans" w:hAnsi="Open Sans" w:cs="Open Sans"/>
          <w:b/>
          <w:color w:val="262626"/>
          <w:sz w:val="22"/>
          <w:szCs w:val="22"/>
        </w:rPr>
        <w:t>.</w:t>
      </w:r>
    </w:p>
    <w:p w14:paraId="5F28BD89" w14:textId="77777777" w:rsidR="0051643C" w:rsidRDefault="0051643C">
      <w:pPr>
        <w:spacing w:line="276" w:lineRule="auto"/>
        <w:ind w:right="-560"/>
        <w:jc w:val="both"/>
        <w:rPr>
          <w:rFonts w:ascii="Open Sans" w:eastAsia="Open Sans" w:hAnsi="Open Sans" w:cs="Open Sans"/>
          <w:b/>
          <w:color w:val="262626"/>
          <w:sz w:val="22"/>
          <w:szCs w:val="22"/>
        </w:rPr>
      </w:pPr>
    </w:p>
    <w:p w14:paraId="38FC2AFA" w14:textId="77777777" w:rsidR="0051643C" w:rsidRPr="001A5A12" w:rsidRDefault="00000000">
      <w:pPr>
        <w:spacing w:line="276" w:lineRule="auto"/>
        <w:ind w:right="-560"/>
        <w:jc w:val="both"/>
        <w:rPr>
          <w:rFonts w:ascii="Open Sans" w:eastAsia="Open Sans" w:hAnsi="Open Sans" w:cs="Open Sans"/>
          <w:b/>
          <w:color w:val="002060"/>
        </w:rPr>
      </w:pPr>
      <w:r w:rsidRPr="001A5A12">
        <w:rPr>
          <w:rFonts w:ascii="Open Sans" w:eastAsia="Open Sans" w:hAnsi="Open Sans" w:cs="Open Sans"/>
          <w:b/>
          <w:color w:val="002060"/>
        </w:rPr>
        <w:t>El norte de España concentra las mayores alzas de precios del alquiler</w:t>
      </w:r>
    </w:p>
    <w:p w14:paraId="3D099C7A" w14:textId="77777777" w:rsidR="0051643C" w:rsidRDefault="0051643C">
      <w:pPr>
        <w:spacing w:line="276" w:lineRule="auto"/>
        <w:ind w:right="-560"/>
        <w:jc w:val="both"/>
        <w:rPr>
          <w:rFonts w:ascii="Open Sans" w:eastAsia="Open Sans" w:hAnsi="Open Sans" w:cs="Open Sans"/>
          <w:color w:val="262626"/>
          <w:sz w:val="22"/>
          <w:szCs w:val="22"/>
        </w:rPr>
      </w:pPr>
    </w:p>
    <w:p w14:paraId="31B16C92" w14:textId="7E9EF048" w:rsidR="001A5A12" w:rsidRDefault="00000000">
      <w:pPr>
        <w:spacing w:line="276" w:lineRule="auto"/>
        <w:ind w:right="-560"/>
        <w:jc w:val="both"/>
        <w:rPr>
          <w:rFonts w:ascii="Open Sans" w:eastAsia="Open Sans" w:hAnsi="Open Sans" w:cs="Open Sans"/>
          <w:color w:val="262626"/>
          <w:sz w:val="22"/>
          <w:szCs w:val="22"/>
        </w:rPr>
      </w:pPr>
      <w:bookmarkStart w:id="2" w:name="_heading=h.rnpak8276ej" w:colFirst="0" w:colLast="0"/>
      <w:bookmarkEnd w:id="2"/>
      <w:r>
        <w:rPr>
          <w:rFonts w:ascii="Open Sans" w:eastAsia="Open Sans" w:hAnsi="Open Sans" w:cs="Open Sans"/>
          <w:color w:val="262626"/>
          <w:sz w:val="22"/>
          <w:szCs w:val="22"/>
        </w:rPr>
        <w:t xml:space="preserve">Según el algoritmo, </w:t>
      </w:r>
      <w:r>
        <w:rPr>
          <w:rFonts w:ascii="Open Sans" w:eastAsia="Open Sans" w:hAnsi="Open Sans" w:cs="Open Sans"/>
          <w:b/>
          <w:color w:val="262626"/>
          <w:sz w:val="22"/>
          <w:szCs w:val="22"/>
        </w:rPr>
        <w:t>el número de capitales con precios al alza descenderá de 26 a 15, mientras que 19 ciudades mantendrán valores estables y otras 17 experimentarán caídas, dos menos que en el trimestre anterior</w:t>
      </w:r>
      <w:r>
        <w:rPr>
          <w:rFonts w:ascii="Open Sans" w:eastAsia="Open Sans" w:hAnsi="Open Sans" w:cs="Open Sans"/>
          <w:color w:val="262626"/>
          <w:sz w:val="22"/>
          <w:szCs w:val="22"/>
        </w:rPr>
        <w:t xml:space="preserve">. El resultado es un mapa dividido entre un norte en crecimiento, un centro peninsular estabilizado y ajustes en el sur y en la zona mediterránea. </w:t>
      </w:r>
    </w:p>
    <w:p w14:paraId="6BB9084A" w14:textId="77777777" w:rsidR="001A5A12" w:rsidRDefault="001A5A12">
      <w:pPr>
        <w:spacing w:line="276" w:lineRule="auto"/>
        <w:ind w:right="-560"/>
        <w:jc w:val="both"/>
        <w:rPr>
          <w:rFonts w:ascii="Open Sans" w:eastAsia="Open Sans" w:hAnsi="Open Sans" w:cs="Open Sans"/>
          <w:color w:val="262626"/>
          <w:sz w:val="22"/>
          <w:szCs w:val="22"/>
        </w:rPr>
      </w:pPr>
    </w:p>
    <w:p w14:paraId="01F772EE" w14:textId="77777777" w:rsidR="001A5A12" w:rsidRDefault="001A5A12" w:rsidP="001A5A12">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Como se ha mencionado, </w:t>
      </w:r>
      <w:r>
        <w:rPr>
          <w:rFonts w:ascii="Open Sans" w:eastAsia="Open Sans" w:hAnsi="Open Sans" w:cs="Open Sans"/>
          <w:b/>
          <w:color w:val="262626"/>
          <w:sz w:val="22"/>
          <w:szCs w:val="22"/>
        </w:rPr>
        <w:t>Santander (+6,9%), Pontevedra (+6,3%) y San Sebastián (+4,7%) lideran el ranking nacional</w:t>
      </w:r>
      <w:r>
        <w:rPr>
          <w:rFonts w:ascii="Open Sans" w:eastAsia="Open Sans" w:hAnsi="Open Sans" w:cs="Open Sans"/>
          <w:color w:val="262626"/>
          <w:sz w:val="22"/>
          <w:szCs w:val="22"/>
        </w:rPr>
        <w:t>. En Castilla y León, Valladolid (+1,4%) también crece, mientras otras capitales como León (0,0%), Salamanca (0,0%), Burgos (0,0%), Palencia (0,0%), Zamora (0,0%) y Ávila (0,0%) permanecen sin variaciones. En Galicia, la situación es heterogénea: mientras la citada Pontevedra destaca con una de las mayores subidas, Lugo (0,0%) se mantendrá estable y Ourense (-2,9%), A Coruña (-1,7%) y Vigo (-0,7%) mostrarán retrocesos. En el País Vasco, San Sebastián (+4,7%) se distancia de la estabilidad en Bilbao (0,0%) y Vitoria (0,0%). También en el norte, Oviedo (+0,1%) incrementará ligeramente los precios.</w:t>
      </w:r>
    </w:p>
    <w:p w14:paraId="4B931A4E" w14:textId="77777777" w:rsidR="001A5A12" w:rsidRDefault="001A5A12" w:rsidP="001A5A12">
      <w:pPr>
        <w:spacing w:line="276" w:lineRule="auto"/>
        <w:ind w:right="-560"/>
        <w:jc w:val="both"/>
        <w:rPr>
          <w:rFonts w:ascii="Open Sans" w:eastAsia="Open Sans" w:hAnsi="Open Sans" w:cs="Open Sans"/>
          <w:color w:val="262626"/>
          <w:sz w:val="22"/>
          <w:szCs w:val="22"/>
        </w:rPr>
      </w:pPr>
    </w:p>
    <w:p w14:paraId="6EA0C4D7" w14:textId="77777777" w:rsidR="001A5A12" w:rsidRDefault="001A5A12" w:rsidP="001A5A12">
      <w:pPr>
        <w:spacing w:line="276" w:lineRule="auto"/>
        <w:ind w:right="-560"/>
        <w:jc w:val="center"/>
        <w:rPr>
          <w:rFonts w:ascii="Open Sans" w:eastAsia="Open Sans" w:hAnsi="Open Sans" w:cs="Open Sans"/>
          <w:color w:val="262626"/>
          <w:sz w:val="20"/>
          <w:szCs w:val="20"/>
        </w:rPr>
      </w:pPr>
      <w:r>
        <w:rPr>
          <w:rFonts w:ascii="Open Sans" w:eastAsia="Open Sans" w:hAnsi="Open Sans" w:cs="Open Sans"/>
          <w:b/>
          <w:color w:val="002060"/>
          <w:sz w:val="22"/>
          <w:szCs w:val="22"/>
        </w:rPr>
        <w:t>Ciudades que registrarán las mayores subidas de precios</w:t>
      </w:r>
    </w:p>
    <w:p w14:paraId="28AC5C80" w14:textId="77777777" w:rsidR="001A5A12" w:rsidRDefault="001A5A12" w:rsidP="001A5A12">
      <w:pPr>
        <w:spacing w:line="276" w:lineRule="auto"/>
        <w:ind w:right="-560"/>
        <w:jc w:val="both"/>
        <w:rPr>
          <w:rFonts w:ascii="Open Sans" w:eastAsia="Open Sans" w:hAnsi="Open Sans" w:cs="Open Sans"/>
          <w:color w:val="262626"/>
          <w:sz w:val="22"/>
          <w:szCs w:val="22"/>
        </w:rPr>
      </w:pPr>
    </w:p>
    <w:p w14:paraId="77655FA8" w14:textId="77777777" w:rsidR="001A5A12" w:rsidRDefault="001A5A12" w:rsidP="001A5A12">
      <w:pPr>
        <w:spacing w:line="276" w:lineRule="auto"/>
        <w:ind w:right="-560"/>
        <w:jc w:val="center"/>
        <w:rPr>
          <w:rFonts w:ascii="Open Sans" w:eastAsia="Open Sans" w:hAnsi="Open Sans" w:cs="Open Sans"/>
          <w:color w:val="262626"/>
          <w:sz w:val="22"/>
          <w:szCs w:val="22"/>
        </w:rPr>
      </w:pPr>
      <w:r>
        <w:rPr>
          <w:noProof/>
        </w:rPr>
        <w:drawing>
          <wp:inline distT="0" distB="0" distL="0" distR="0" wp14:anchorId="0713A2FA" wp14:editId="01BFA63E">
            <wp:extent cx="5396230" cy="2705100"/>
            <wp:effectExtent l="0" t="0" r="0" b="0"/>
            <wp:docPr id="1459324375" name="Gráfico 1459324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3CBCC8" w14:textId="77777777" w:rsidR="001A5A12" w:rsidRDefault="001A5A12" w:rsidP="001A5A12">
      <w:pPr>
        <w:spacing w:line="276" w:lineRule="auto"/>
        <w:ind w:right="-560"/>
        <w:jc w:val="both"/>
        <w:rPr>
          <w:rFonts w:ascii="Open Sans" w:eastAsia="Open Sans" w:hAnsi="Open Sans" w:cs="Open Sans"/>
          <w:color w:val="262626"/>
          <w:sz w:val="22"/>
          <w:szCs w:val="22"/>
        </w:rPr>
      </w:pPr>
      <w:r>
        <w:rPr>
          <w:rFonts w:ascii="Open Sans" w:eastAsia="Open Sans" w:hAnsi="Open Sans" w:cs="Open Sans"/>
          <w:b/>
          <w:color w:val="262626"/>
          <w:sz w:val="22"/>
          <w:szCs w:val="22"/>
        </w:rPr>
        <w:lastRenderedPageBreak/>
        <w:t>El interior y sur peninsular presentan una dinámica dual</w:t>
      </w:r>
      <w:r>
        <w:rPr>
          <w:rFonts w:ascii="Open Sans" w:eastAsia="Open Sans" w:hAnsi="Open Sans" w:cs="Open Sans"/>
          <w:color w:val="262626"/>
          <w:sz w:val="22"/>
          <w:szCs w:val="22"/>
        </w:rPr>
        <w:t>. Badajoz (+4,3%) será la capital con el avance más destacado del interior, mientras Granada (+1,1%), Huelva (+0,8%) y Córdoba (+0,7%), registrarán subidas de precio más moderadas. Por otro lado, la meseta castellana y manchega mantendrá precios prácticamente congelados. Toledo (0,0%), Ciudad Real (0,0%), Guadalajara (0,0%), y Albacete (0,0%) reflejan un mercado más equilibrado. En contraste, el interior central y noreste sufrirán las mayores caídas del país: Huesca (-15,0%) y Soria (-10,8%) lideran las bajadas, seguidas por Teruel (-2,9%), Cuenca (-3,1%) y Segovia (-2,1%).</w:t>
      </w:r>
    </w:p>
    <w:p w14:paraId="3AA11DF4" w14:textId="77777777" w:rsidR="001A5A12" w:rsidRDefault="001A5A12" w:rsidP="001A5A12">
      <w:pPr>
        <w:spacing w:line="276" w:lineRule="auto"/>
        <w:ind w:right="-560"/>
        <w:jc w:val="both"/>
        <w:rPr>
          <w:rFonts w:ascii="Open Sans" w:eastAsia="Open Sans" w:hAnsi="Open Sans" w:cs="Open Sans"/>
          <w:color w:val="262626"/>
          <w:sz w:val="22"/>
          <w:szCs w:val="22"/>
        </w:rPr>
      </w:pPr>
    </w:p>
    <w:p w14:paraId="6C85C572" w14:textId="45E23B86" w:rsidR="008B386F" w:rsidRPr="008B386F" w:rsidRDefault="008B386F" w:rsidP="008B386F">
      <w:pPr>
        <w:spacing w:line="276" w:lineRule="auto"/>
        <w:ind w:right="-560"/>
        <w:jc w:val="both"/>
        <w:rPr>
          <w:rFonts w:ascii="Open Sans" w:eastAsia="Open Sans" w:hAnsi="Open Sans" w:cs="Open Sans"/>
          <w:color w:val="262626"/>
          <w:sz w:val="22"/>
          <w:szCs w:val="22"/>
          <w:lang w:val="es-ES"/>
        </w:rPr>
      </w:pPr>
      <w:r w:rsidRPr="008B386F">
        <w:rPr>
          <w:rFonts w:ascii="Open Sans" w:eastAsia="Open Sans" w:hAnsi="Open Sans" w:cs="Open Sans"/>
          <w:color w:val="262626"/>
          <w:sz w:val="22"/>
          <w:szCs w:val="22"/>
          <w:lang w:val="es-ES"/>
        </w:rPr>
        <w:drawing>
          <wp:inline distT="0" distB="0" distL="0" distR="0" wp14:anchorId="032639D8" wp14:editId="0D4B8D1B">
            <wp:extent cx="5798820" cy="4353550"/>
            <wp:effectExtent l="0" t="0" r="0" b="9525"/>
            <wp:docPr id="1265716662"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16662" name="Imagen 2" descr="Map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4446" cy="4357774"/>
                    </a:xfrm>
                    <a:prstGeom prst="rect">
                      <a:avLst/>
                    </a:prstGeom>
                    <a:noFill/>
                    <a:ln>
                      <a:noFill/>
                    </a:ln>
                  </pic:spPr>
                </pic:pic>
              </a:graphicData>
            </a:graphic>
          </wp:inline>
        </w:drawing>
      </w:r>
    </w:p>
    <w:p w14:paraId="1FC0F53A" w14:textId="6CB2A480" w:rsidR="001A5A12" w:rsidRPr="001A5A12" w:rsidRDefault="001A5A12" w:rsidP="001A5A12">
      <w:pPr>
        <w:spacing w:line="276" w:lineRule="auto"/>
        <w:ind w:right="-560"/>
        <w:jc w:val="both"/>
        <w:rPr>
          <w:rFonts w:ascii="Open Sans" w:eastAsia="Open Sans" w:hAnsi="Open Sans" w:cs="Open Sans"/>
          <w:color w:val="262626"/>
          <w:sz w:val="22"/>
          <w:szCs w:val="22"/>
          <w:lang w:val="es-ES"/>
        </w:rPr>
      </w:pPr>
    </w:p>
    <w:p w14:paraId="05ADF7A4" w14:textId="77777777" w:rsidR="001A5A12" w:rsidRDefault="001A5A12" w:rsidP="001A5A12">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Litoral mediterráneo: entre la presión y la corrección</w:t>
      </w:r>
    </w:p>
    <w:p w14:paraId="7E020C3E" w14:textId="77777777" w:rsidR="001A5A12" w:rsidRDefault="001A5A12" w:rsidP="001A5A12">
      <w:pPr>
        <w:spacing w:line="276" w:lineRule="auto"/>
        <w:ind w:right="-560"/>
        <w:jc w:val="both"/>
        <w:rPr>
          <w:rFonts w:ascii="Open Sans" w:eastAsia="Open Sans" w:hAnsi="Open Sans" w:cs="Open Sans"/>
          <w:color w:val="262626"/>
          <w:sz w:val="22"/>
          <w:szCs w:val="22"/>
        </w:rPr>
      </w:pPr>
    </w:p>
    <w:p w14:paraId="2F9C932C" w14:textId="77777777" w:rsidR="001A5A12" w:rsidRDefault="001A5A12" w:rsidP="001A5A12">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el arco mediterráneo, el comportamiento será desigual. </w:t>
      </w:r>
      <w:r>
        <w:rPr>
          <w:rFonts w:ascii="Open Sans" w:eastAsia="Open Sans" w:hAnsi="Open Sans" w:cs="Open Sans"/>
          <w:b/>
          <w:color w:val="262626"/>
          <w:sz w:val="22"/>
          <w:szCs w:val="22"/>
        </w:rPr>
        <w:t>Las subidas más notables se registrarán en Tarragona (+3,4%) y Valencia (+2,9%)</w:t>
      </w:r>
      <w:r>
        <w:rPr>
          <w:rFonts w:ascii="Open Sans" w:eastAsia="Open Sans" w:hAnsi="Open Sans" w:cs="Open Sans"/>
          <w:color w:val="262626"/>
          <w:sz w:val="22"/>
          <w:szCs w:val="22"/>
        </w:rPr>
        <w:t xml:space="preserve">, y también habrá ligeros repuntes en Almería (+0,4%) y Málaga (+0,3%), mientras Castellón de la Plana (0,0%) se mantendrá estable, y Murcia (-3,2%) y Alicante (-2,6%) reducirán precios. Por su lado, en las principales urbes, la previsión apunta a plena estabilidad: Madrid (+0,1%) y Barcelona </w:t>
      </w:r>
      <w:r>
        <w:rPr>
          <w:rFonts w:ascii="Open Sans" w:eastAsia="Open Sans" w:hAnsi="Open Sans" w:cs="Open Sans"/>
          <w:color w:val="262626"/>
          <w:sz w:val="22"/>
          <w:szCs w:val="22"/>
        </w:rPr>
        <w:lastRenderedPageBreak/>
        <w:t>(0,0%) prácticamente no variarán los precios de los alquileres. Lo mismo ocurre en otras capitales provinciales como Sevilla (0,0%), Zaragoza (+0,2%), o Girona (0,0%).</w:t>
      </w:r>
    </w:p>
    <w:p w14:paraId="24C6C126" w14:textId="77777777" w:rsidR="001A5A12" w:rsidRDefault="001A5A12" w:rsidP="001A5A12">
      <w:pPr>
        <w:spacing w:line="276" w:lineRule="auto"/>
        <w:ind w:right="-560"/>
        <w:jc w:val="both"/>
        <w:rPr>
          <w:rFonts w:ascii="Open Sans" w:eastAsia="Open Sans" w:hAnsi="Open Sans" w:cs="Open Sans"/>
          <w:color w:val="262626"/>
          <w:sz w:val="22"/>
          <w:szCs w:val="22"/>
        </w:rPr>
      </w:pPr>
    </w:p>
    <w:p w14:paraId="77EC9130" w14:textId="77777777" w:rsidR="001A5A12" w:rsidRDefault="001A5A12" w:rsidP="001A5A12">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Asimismo, </w:t>
      </w:r>
      <w:r>
        <w:rPr>
          <w:rFonts w:ascii="Open Sans" w:eastAsia="Open Sans" w:hAnsi="Open Sans" w:cs="Open Sans"/>
          <w:b/>
          <w:color w:val="262626"/>
          <w:sz w:val="22"/>
          <w:szCs w:val="22"/>
        </w:rPr>
        <w:t>en las islas, las predicciones también apuntan a contención o bajadas de las rentas</w:t>
      </w:r>
      <w:r>
        <w:rPr>
          <w:rFonts w:ascii="Open Sans" w:eastAsia="Open Sans" w:hAnsi="Open Sans" w:cs="Open Sans"/>
          <w:color w:val="262626"/>
          <w:sz w:val="22"/>
          <w:szCs w:val="22"/>
        </w:rPr>
        <w:t xml:space="preserve">: Las Palmas de Gran Canaria (0,0%) y Santa Cruz de Tenerife (0,0%) mantendrán precios estables, mientras que, en Baleares, Palma de Mallorca (-3,6%) destacará por su corrección a la baja. Por último, </w:t>
      </w:r>
      <w:r>
        <w:rPr>
          <w:rFonts w:ascii="Open Sans" w:eastAsia="Open Sans" w:hAnsi="Open Sans" w:cs="Open Sans"/>
          <w:b/>
          <w:color w:val="262626"/>
          <w:sz w:val="22"/>
          <w:szCs w:val="22"/>
        </w:rPr>
        <w:t xml:space="preserve">el descenso de precios afectará a otras capitales, </w:t>
      </w:r>
      <w:r>
        <w:rPr>
          <w:rFonts w:ascii="Open Sans" w:eastAsia="Open Sans" w:hAnsi="Open Sans" w:cs="Open Sans"/>
          <w:color w:val="262626"/>
          <w:sz w:val="22"/>
          <w:szCs w:val="22"/>
        </w:rPr>
        <w:t>como es el caso de Cádiz (-6,1%), Lleida (-5,9%), Pamplona (-2,1%), Logroño (-0,9%), Cáceres (-0,5%) y Jaén (-0,5%).</w:t>
      </w:r>
    </w:p>
    <w:p w14:paraId="4B9DBF32" w14:textId="77777777" w:rsidR="001A5A12" w:rsidRDefault="001A5A12">
      <w:pPr>
        <w:spacing w:line="276" w:lineRule="auto"/>
        <w:ind w:right="-560"/>
        <w:jc w:val="both"/>
        <w:rPr>
          <w:rFonts w:ascii="Open Sans" w:eastAsia="Open Sans" w:hAnsi="Open Sans" w:cs="Open Sans"/>
          <w:color w:val="262626"/>
          <w:sz w:val="22"/>
          <w:szCs w:val="22"/>
        </w:rPr>
      </w:pPr>
    </w:p>
    <w:p w14:paraId="3ECB4A2E" w14:textId="77777777" w:rsidR="0051643C" w:rsidRDefault="00000000">
      <w:pPr>
        <w:spacing w:line="276" w:lineRule="auto"/>
        <w:ind w:right="-560"/>
        <w:jc w:val="center"/>
        <w:rPr>
          <w:rFonts w:ascii="Open Sans" w:eastAsia="Open Sans" w:hAnsi="Open Sans" w:cs="Open Sans"/>
          <w:b/>
          <w:color w:val="002060"/>
          <w:sz w:val="22"/>
          <w:szCs w:val="22"/>
        </w:rPr>
      </w:pPr>
      <w:r>
        <w:rPr>
          <w:rFonts w:ascii="Open Sans" w:eastAsia="Open Sans" w:hAnsi="Open Sans" w:cs="Open Sans"/>
          <w:b/>
          <w:color w:val="002060"/>
          <w:sz w:val="22"/>
          <w:szCs w:val="22"/>
        </w:rPr>
        <w:t>Las ciudades donde la IA prevé que bajen los precios</w:t>
      </w:r>
    </w:p>
    <w:p w14:paraId="17E9A978" w14:textId="77777777" w:rsidR="0051643C" w:rsidRDefault="0051643C">
      <w:pPr>
        <w:spacing w:line="276" w:lineRule="auto"/>
        <w:ind w:right="-560"/>
        <w:jc w:val="both"/>
        <w:rPr>
          <w:rFonts w:ascii="Open Sans" w:eastAsia="Open Sans" w:hAnsi="Open Sans" w:cs="Open Sans"/>
          <w:b/>
          <w:color w:val="002060"/>
        </w:rPr>
      </w:pPr>
    </w:p>
    <w:p w14:paraId="7A172380" w14:textId="77777777" w:rsidR="0051643C"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39768728" wp14:editId="00B9FC8F">
            <wp:extent cx="5562600" cy="3261360"/>
            <wp:effectExtent l="0" t="0" r="0" b="0"/>
            <wp:docPr id="1459324376" name="Gráfico 1459324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B9ED91" w14:textId="77777777" w:rsidR="0051643C" w:rsidRDefault="0051643C">
      <w:pPr>
        <w:spacing w:line="276" w:lineRule="auto"/>
        <w:ind w:right="-560"/>
        <w:jc w:val="both"/>
        <w:rPr>
          <w:rFonts w:ascii="Open Sans" w:eastAsia="Open Sans" w:hAnsi="Open Sans" w:cs="Open Sans"/>
          <w:color w:val="262626"/>
          <w:sz w:val="22"/>
          <w:szCs w:val="22"/>
        </w:rPr>
      </w:pPr>
    </w:p>
    <w:p w14:paraId="6CD51C42" w14:textId="77777777" w:rsidR="001A5A12" w:rsidRDefault="001A5A12">
      <w:pPr>
        <w:spacing w:line="276" w:lineRule="auto"/>
        <w:ind w:right="-560"/>
        <w:jc w:val="both"/>
        <w:rPr>
          <w:rFonts w:ascii="Open Sans" w:eastAsia="Open Sans" w:hAnsi="Open Sans" w:cs="Open Sans"/>
          <w:color w:val="262626"/>
          <w:sz w:val="22"/>
          <w:szCs w:val="22"/>
        </w:rPr>
      </w:pPr>
      <w:bookmarkStart w:id="3" w:name="_heading=h.10cs9ayqydee" w:colFirst="0" w:colLast="0"/>
      <w:bookmarkStart w:id="4" w:name="_heading=h.9gdom8gw4rzo" w:colFirst="0" w:colLast="0"/>
      <w:bookmarkEnd w:id="3"/>
      <w:bookmarkEnd w:id="4"/>
    </w:p>
    <w:p w14:paraId="72807E18" w14:textId="7A1AAFBF" w:rsidR="0051643C" w:rsidRDefault="00000000">
      <w:pPr>
        <w:spacing w:line="276" w:lineRule="auto"/>
        <w:ind w:right="-560"/>
        <w:jc w:val="both"/>
        <w:rPr>
          <w:rFonts w:ascii="Open Sans" w:eastAsia="Open Sans" w:hAnsi="Open Sans" w:cs="Open Sans"/>
          <w:b/>
          <w:sz w:val="22"/>
          <w:szCs w:val="22"/>
        </w:rPr>
      </w:pPr>
      <w:r>
        <w:rPr>
          <w:rFonts w:ascii="Open Sans" w:eastAsia="Open Sans" w:hAnsi="Open Sans" w:cs="Open Sans"/>
          <w:color w:val="262626"/>
          <w:sz w:val="22"/>
          <w:szCs w:val="22"/>
        </w:rPr>
        <w:t xml:space="preserve">“Desde </w:t>
      </w:r>
      <w:hyperlink r:id="rId15">
        <w:r w:rsidR="0051643C">
          <w:rPr>
            <w:rFonts w:ascii="Open Sans" w:eastAsia="Open Sans" w:hAnsi="Open Sans" w:cs="Open Sans"/>
            <w:b/>
            <w:color w:val="1155CC"/>
            <w:sz w:val="22"/>
            <w:szCs w:val="22"/>
            <w:u w:val="single"/>
          </w:rPr>
          <w:t>Fotocasa</w:t>
        </w:r>
      </w:hyperlink>
      <w:r>
        <w:rPr>
          <w:rFonts w:ascii="Open Sans" w:eastAsia="Open Sans" w:hAnsi="Open Sans" w:cs="Open Sans"/>
          <w:color w:val="262626"/>
          <w:sz w:val="22"/>
          <w:szCs w:val="22"/>
        </w:rPr>
        <w:t xml:space="preserve"> hemos querido dar un paso más hacia la transparencia del mercado con el lanzamiento de nuestro Índice Predictivo de Precios que, gracias al uso de inteligencia artificial y al análisis masivo de datos de oferta y demanda, anticipa cómo evolucionarán los precios en las diferentes zonas. El objetivo es doble: por un lado, ayudar a los ciudadanos a tomar decisiones informadas en un momento clave; y por otro, ofrecer a los profesionales del sector una visión estratégica que les permita como expertos adelantarse a las dinámicas del mercado. En un contexto marcado por la incertidumbre y la escasez de oferta, contar con datos transparentes y previsiones objetivas se vuelve </w:t>
      </w:r>
      <w:r>
        <w:rPr>
          <w:rFonts w:ascii="Open Sans" w:eastAsia="Open Sans" w:hAnsi="Open Sans" w:cs="Open Sans"/>
          <w:color w:val="262626"/>
          <w:sz w:val="22"/>
          <w:szCs w:val="22"/>
        </w:rPr>
        <w:lastRenderedPageBreak/>
        <w:t>más necesario que nunca para mejorar el acceso a la vivienda</w:t>
      </w:r>
      <w:r>
        <w:rPr>
          <w:rFonts w:ascii="Open Sans" w:eastAsia="Open Sans" w:hAnsi="Open Sans" w:cs="Open Sans"/>
          <w:sz w:val="22"/>
          <w:szCs w:val="22"/>
        </w:rPr>
        <w:t xml:space="preserve">”, </w:t>
      </w:r>
      <w:r>
        <w:rPr>
          <w:rFonts w:ascii="Open Sans" w:eastAsia="Open Sans" w:hAnsi="Open Sans" w:cs="Open Sans"/>
          <w:b/>
          <w:sz w:val="22"/>
          <w:szCs w:val="22"/>
        </w:rPr>
        <w:t>explica María Matos, directora de Estudios de</w:t>
      </w:r>
      <w:hyperlink r:id="rId16">
        <w:r w:rsidR="0051643C">
          <w:rPr>
            <w:rFonts w:ascii="Open Sans" w:eastAsia="Open Sans" w:hAnsi="Open Sans" w:cs="Open Sans"/>
            <w:b/>
            <w:color w:val="1155CC"/>
            <w:sz w:val="22"/>
            <w:szCs w:val="22"/>
            <w:u w:val="single"/>
          </w:rPr>
          <w:t xml:space="preserve"> Fotocasa</w:t>
        </w:r>
      </w:hyperlink>
      <w:r>
        <w:rPr>
          <w:rFonts w:ascii="Open Sans" w:eastAsia="Open Sans" w:hAnsi="Open Sans" w:cs="Open Sans"/>
          <w:b/>
          <w:sz w:val="22"/>
          <w:szCs w:val="22"/>
        </w:rPr>
        <w:t>.</w:t>
      </w:r>
    </w:p>
    <w:p w14:paraId="46725B66" w14:textId="77777777" w:rsidR="0051643C" w:rsidRDefault="0051643C">
      <w:pPr>
        <w:spacing w:line="276" w:lineRule="auto"/>
        <w:ind w:right="-560"/>
        <w:jc w:val="both"/>
        <w:rPr>
          <w:rFonts w:ascii="Open Sans" w:eastAsia="Open Sans" w:hAnsi="Open Sans" w:cs="Open Sans"/>
          <w:color w:val="262626"/>
          <w:sz w:val="22"/>
          <w:szCs w:val="22"/>
        </w:rPr>
      </w:pPr>
    </w:p>
    <w:p w14:paraId="2C293B7C" w14:textId="77777777" w:rsidR="0051643C" w:rsidRDefault="0051643C">
      <w:pPr>
        <w:spacing w:line="276" w:lineRule="auto"/>
        <w:ind w:right="-560"/>
        <w:jc w:val="both"/>
        <w:rPr>
          <w:rFonts w:ascii="Open Sans" w:eastAsia="Open Sans" w:hAnsi="Open Sans" w:cs="Open Sans"/>
          <w:b/>
          <w:color w:val="262626"/>
          <w:sz w:val="22"/>
          <w:szCs w:val="22"/>
        </w:rPr>
      </w:pPr>
    </w:p>
    <w:p w14:paraId="44DBDF4F" w14:textId="77777777" w:rsidR="0051643C" w:rsidRDefault="00000000">
      <w:pPr>
        <w:spacing w:line="276" w:lineRule="auto"/>
        <w:ind w:right="-560"/>
        <w:rPr>
          <w:rFonts w:ascii="Open Sans" w:eastAsia="Open Sans" w:hAnsi="Open Sans" w:cs="Open Sans"/>
          <w:b/>
          <w:color w:val="002060"/>
        </w:rPr>
      </w:pPr>
      <w:r>
        <w:rPr>
          <w:rFonts w:ascii="Open Sans" w:eastAsia="Open Sans" w:hAnsi="Open Sans" w:cs="Open Sans"/>
          <w:b/>
          <w:color w:val="002060"/>
        </w:rPr>
        <w:t xml:space="preserve">                    Variación trimestral por capitales de provincia</w:t>
      </w:r>
    </w:p>
    <w:p w14:paraId="4212BCAE" w14:textId="77777777" w:rsidR="0051643C" w:rsidRDefault="0051643C">
      <w:pPr>
        <w:spacing w:line="276" w:lineRule="auto"/>
        <w:ind w:right="-560"/>
        <w:jc w:val="both"/>
        <w:rPr>
          <w:rFonts w:ascii="Open Sans" w:eastAsia="Open Sans" w:hAnsi="Open Sans" w:cs="Open Sans"/>
          <w:b/>
          <w:color w:val="262626"/>
          <w:sz w:val="22"/>
          <w:szCs w:val="22"/>
        </w:rPr>
      </w:pPr>
    </w:p>
    <w:tbl>
      <w:tblPr>
        <w:tblStyle w:val="a7"/>
        <w:tblW w:w="6515"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6"/>
        <w:gridCol w:w="3119"/>
      </w:tblGrid>
      <w:tr w:rsidR="0051643C" w14:paraId="41EAC608" w14:textId="77777777" w:rsidTr="005164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63DD3706" w14:textId="77777777" w:rsidR="0051643C" w:rsidRDefault="00000000">
            <w:pPr>
              <w:spacing w:line="276" w:lineRule="auto"/>
              <w:ind w:right="-560"/>
              <w:rPr>
                <w:rFonts w:ascii="Open Sans" w:eastAsia="Open Sans" w:hAnsi="Open Sans" w:cs="Open Sans"/>
                <w:color w:val="303AB2"/>
                <w:sz w:val="22"/>
                <w:szCs w:val="22"/>
              </w:rPr>
            </w:pPr>
            <w:r>
              <w:rPr>
                <w:rFonts w:ascii="Open Sans" w:eastAsia="Open Sans" w:hAnsi="Open Sans" w:cs="Open Sans"/>
                <w:sz w:val="22"/>
                <w:szCs w:val="22"/>
              </w:rPr>
              <w:t>Capital de provincia</w:t>
            </w:r>
          </w:p>
        </w:tc>
        <w:tc>
          <w:tcPr>
            <w:tcW w:w="3119" w:type="dxa"/>
          </w:tcPr>
          <w:p w14:paraId="3894DCE3" w14:textId="77777777" w:rsidR="0051643C"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sz w:val="22"/>
                <w:szCs w:val="22"/>
              </w:rPr>
            </w:pPr>
            <w:r>
              <w:rPr>
                <w:rFonts w:ascii="Open Sans" w:eastAsia="Open Sans" w:hAnsi="Open Sans" w:cs="Open Sans"/>
                <w:sz w:val="22"/>
                <w:szCs w:val="22"/>
              </w:rPr>
              <w:t>Variación tercer trimestre</w:t>
            </w:r>
          </w:p>
        </w:tc>
      </w:tr>
      <w:tr w:rsidR="0051643C" w14:paraId="381C4391"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6BC0B6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Santander</w:t>
            </w:r>
          </w:p>
        </w:tc>
        <w:tc>
          <w:tcPr>
            <w:tcW w:w="3119" w:type="dxa"/>
            <w:vAlign w:val="bottom"/>
          </w:tcPr>
          <w:p w14:paraId="570D6659"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r>
      <w:tr w:rsidR="0051643C" w14:paraId="3B07610F"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F58E659"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Pontevedra</w:t>
            </w:r>
          </w:p>
        </w:tc>
        <w:tc>
          <w:tcPr>
            <w:tcW w:w="3119" w:type="dxa"/>
            <w:vAlign w:val="bottom"/>
          </w:tcPr>
          <w:p w14:paraId="0089A18D"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r>
      <w:tr w:rsidR="0051643C" w14:paraId="1582B1E1"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523573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San Sebastián</w:t>
            </w:r>
          </w:p>
        </w:tc>
        <w:tc>
          <w:tcPr>
            <w:tcW w:w="3119" w:type="dxa"/>
            <w:vAlign w:val="bottom"/>
          </w:tcPr>
          <w:p w14:paraId="57D4B077"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r>
      <w:tr w:rsidR="0051643C" w14:paraId="7DA909D8"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EEC6C0"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Badajoz</w:t>
            </w:r>
          </w:p>
        </w:tc>
        <w:tc>
          <w:tcPr>
            <w:tcW w:w="3119" w:type="dxa"/>
            <w:vAlign w:val="bottom"/>
          </w:tcPr>
          <w:p w14:paraId="504B8E90"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r>
      <w:tr w:rsidR="0051643C" w14:paraId="108B5784"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8EB9403"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Tarragona</w:t>
            </w:r>
          </w:p>
        </w:tc>
        <w:tc>
          <w:tcPr>
            <w:tcW w:w="3119" w:type="dxa"/>
            <w:vAlign w:val="bottom"/>
          </w:tcPr>
          <w:p w14:paraId="609A0A55"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51643C" w14:paraId="1861DA89"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CA9275D"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Valencia</w:t>
            </w:r>
          </w:p>
        </w:tc>
        <w:tc>
          <w:tcPr>
            <w:tcW w:w="3119" w:type="dxa"/>
            <w:vAlign w:val="bottom"/>
          </w:tcPr>
          <w:p w14:paraId="1057EE69"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r>
      <w:tr w:rsidR="0051643C" w14:paraId="196991C6"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D09699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Valladolid</w:t>
            </w:r>
          </w:p>
        </w:tc>
        <w:tc>
          <w:tcPr>
            <w:tcW w:w="3119" w:type="dxa"/>
            <w:vAlign w:val="bottom"/>
          </w:tcPr>
          <w:p w14:paraId="6D2401E5"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r>
      <w:tr w:rsidR="0051643C" w14:paraId="61224802"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20A1BD8"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Granada</w:t>
            </w:r>
          </w:p>
        </w:tc>
        <w:tc>
          <w:tcPr>
            <w:tcW w:w="3119" w:type="dxa"/>
            <w:vAlign w:val="bottom"/>
          </w:tcPr>
          <w:p w14:paraId="58DAE8D0"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r>
      <w:tr w:rsidR="0051643C" w14:paraId="7930A471"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B315A67"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Huelva</w:t>
            </w:r>
          </w:p>
        </w:tc>
        <w:tc>
          <w:tcPr>
            <w:tcW w:w="3119" w:type="dxa"/>
            <w:vAlign w:val="bottom"/>
          </w:tcPr>
          <w:p w14:paraId="2F660DEA"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r>
      <w:tr w:rsidR="0051643C" w14:paraId="06653835"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A218C78"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Córdoba</w:t>
            </w:r>
          </w:p>
        </w:tc>
        <w:tc>
          <w:tcPr>
            <w:tcW w:w="3119" w:type="dxa"/>
            <w:vAlign w:val="bottom"/>
          </w:tcPr>
          <w:p w14:paraId="5416B687"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r>
      <w:tr w:rsidR="0051643C" w14:paraId="78580868"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429F097"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Almería</w:t>
            </w:r>
          </w:p>
        </w:tc>
        <w:tc>
          <w:tcPr>
            <w:tcW w:w="3119" w:type="dxa"/>
            <w:vAlign w:val="bottom"/>
          </w:tcPr>
          <w:p w14:paraId="07FFB88F"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r>
      <w:tr w:rsidR="0051643C" w14:paraId="2F3DAB06"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478267"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Málaga</w:t>
            </w:r>
          </w:p>
        </w:tc>
        <w:tc>
          <w:tcPr>
            <w:tcW w:w="3119" w:type="dxa"/>
            <w:vAlign w:val="bottom"/>
          </w:tcPr>
          <w:p w14:paraId="266296BD"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r>
      <w:tr w:rsidR="0051643C" w14:paraId="0E2BC186"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D6E144"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Zaragoza</w:t>
            </w:r>
          </w:p>
        </w:tc>
        <w:tc>
          <w:tcPr>
            <w:tcW w:w="3119" w:type="dxa"/>
            <w:vAlign w:val="bottom"/>
          </w:tcPr>
          <w:p w14:paraId="2D8CD09C"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r>
      <w:tr w:rsidR="0051643C" w14:paraId="5571EFD3"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FABE4C8"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Oviedo</w:t>
            </w:r>
          </w:p>
        </w:tc>
        <w:tc>
          <w:tcPr>
            <w:tcW w:w="3119" w:type="dxa"/>
            <w:vAlign w:val="bottom"/>
          </w:tcPr>
          <w:p w14:paraId="4074A1DA"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r>
      <w:tr w:rsidR="0051643C" w14:paraId="0AF92C82"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F0A645F"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Madrid</w:t>
            </w:r>
          </w:p>
        </w:tc>
        <w:tc>
          <w:tcPr>
            <w:tcW w:w="3119" w:type="dxa"/>
            <w:vAlign w:val="bottom"/>
          </w:tcPr>
          <w:p w14:paraId="1CB94783"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r>
      <w:tr w:rsidR="0051643C" w14:paraId="0B972598"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42D286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Barcelona</w:t>
            </w:r>
          </w:p>
        </w:tc>
        <w:tc>
          <w:tcPr>
            <w:tcW w:w="3119" w:type="dxa"/>
            <w:vAlign w:val="bottom"/>
          </w:tcPr>
          <w:p w14:paraId="2372F113"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2C7E938C"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089FAD5"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Ciudad Real</w:t>
            </w:r>
          </w:p>
        </w:tc>
        <w:tc>
          <w:tcPr>
            <w:tcW w:w="3119" w:type="dxa"/>
            <w:vAlign w:val="bottom"/>
          </w:tcPr>
          <w:p w14:paraId="08688337"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6BCEABE4"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EF2F0A"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Castellón de la Plana</w:t>
            </w:r>
          </w:p>
        </w:tc>
        <w:tc>
          <w:tcPr>
            <w:tcW w:w="3119" w:type="dxa"/>
            <w:vAlign w:val="bottom"/>
          </w:tcPr>
          <w:p w14:paraId="08EC498F"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1BD8627B"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2A54BD3"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Burgos</w:t>
            </w:r>
          </w:p>
        </w:tc>
        <w:tc>
          <w:tcPr>
            <w:tcW w:w="3119" w:type="dxa"/>
            <w:vAlign w:val="bottom"/>
          </w:tcPr>
          <w:p w14:paraId="4A5AE38D"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0FB2CBBE"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46BC6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Albacete</w:t>
            </w:r>
          </w:p>
        </w:tc>
        <w:tc>
          <w:tcPr>
            <w:tcW w:w="3119" w:type="dxa"/>
            <w:vAlign w:val="bottom"/>
          </w:tcPr>
          <w:p w14:paraId="4FB5E22E"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42170BAE"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3EE10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Ávila</w:t>
            </w:r>
          </w:p>
        </w:tc>
        <w:tc>
          <w:tcPr>
            <w:tcW w:w="3119" w:type="dxa"/>
            <w:vAlign w:val="bottom"/>
          </w:tcPr>
          <w:p w14:paraId="5C4AF147"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2AA1639B"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927F8B7"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Lugo</w:t>
            </w:r>
          </w:p>
        </w:tc>
        <w:tc>
          <w:tcPr>
            <w:tcW w:w="3119" w:type="dxa"/>
            <w:vAlign w:val="bottom"/>
          </w:tcPr>
          <w:p w14:paraId="5D7D4A89"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3203343B"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C76F220"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Salamanca</w:t>
            </w:r>
          </w:p>
        </w:tc>
        <w:tc>
          <w:tcPr>
            <w:tcW w:w="3119" w:type="dxa"/>
            <w:vAlign w:val="bottom"/>
          </w:tcPr>
          <w:p w14:paraId="4A336DAC"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1829E470"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FF77F9E"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Palencia</w:t>
            </w:r>
          </w:p>
        </w:tc>
        <w:tc>
          <w:tcPr>
            <w:tcW w:w="3119" w:type="dxa"/>
            <w:vAlign w:val="bottom"/>
          </w:tcPr>
          <w:p w14:paraId="14E7B57B"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675306D9"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2D4B5F"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León</w:t>
            </w:r>
          </w:p>
        </w:tc>
        <w:tc>
          <w:tcPr>
            <w:tcW w:w="3119" w:type="dxa"/>
            <w:vAlign w:val="bottom"/>
          </w:tcPr>
          <w:p w14:paraId="56B13535"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6D2949F3"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73A8F7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Las Palmas de G. C.</w:t>
            </w:r>
          </w:p>
        </w:tc>
        <w:tc>
          <w:tcPr>
            <w:tcW w:w="3119" w:type="dxa"/>
            <w:vAlign w:val="bottom"/>
          </w:tcPr>
          <w:p w14:paraId="1C9DCF60"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00E03BBA"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06D255"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Vitoria</w:t>
            </w:r>
          </w:p>
        </w:tc>
        <w:tc>
          <w:tcPr>
            <w:tcW w:w="3119" w:type="dxa"/>
            <w:vAlign w:val="bottom"/>
          </w:tcPr>
          <w:p w14:paraId="74BFE5CF"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76AAE14A"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55FF60F"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Toledo</w:t>
            </w:r>
          </w:p>
        </w:tc>
        <w:tc>
          <w:tcPr>
            <w:tcW w:w="3119" w:type="dxa"/>
            <w:vAlign w:val="bottom"/>
          </w:tcPr>
          <w:p w14:paraId="3D6F6CBA"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6A622527"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491C195"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Zamora</w:t>
            </w:r>
          </w:p>
        </w:tc>
        <w:tc>
          <w:tcPr>
            <w:tcW w:w="3119" w:type="dxa"/>
            <w:vAlign w:val="bottom"/>
          </w:tcPr>
          <w:p w14:paraId="36BC219C"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6266E77B"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2382DF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lastRenderedPageBreak/>
              <w:t>Santa Cruz de T.</w:t>
            </w:r>
          </w:p>
        </w:tc>
        <w:tc>
          <w:tcPr>
            <w:tcW w:w="3119" w:type="dxa"/>
            <w:vAlign w:val="bottom"/>
          </w:tcPr>
          <w:p w14:paraId="50478284"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4CB7FE32"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0CB383F"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Sevilla</w:t>
            </w:r>
          </w:p>
        </w:tc>
        <w:tc>
          <w:tcPr>
            <w:tcW w:w="3119" w:type="dxa"/>
            <w:vAlign w:val="bottom"/>
          </w:tcPr>
          <w:p w14:paraId="2F398535"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4F8F872A"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99FA9FE"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Guadalajara</w:t>
            </w:r>
          </w:p>
        </w:tc>
        <w:tc>
          <w:tcPr>
            <w:tcW w:w="3119" w:type="dxa"/>
            <w:vAlign w:val="bottom"/>
          </w:tcPr>
          <w:p w14:paraId="0D494959"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51643C" w14:paraId="23C1C8F7"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0413A10"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Girona</w:t>
            </w:r>
          </w:p>
        </w:tc>
        <w:tc>
          <w:tcPr>
            <w:tcW w:w="3119" w:type="dxa"/>
            <w:vAlign w:val="bottom"/>
          </w:tcPr>
          <w:p w14:paraId="715D4F8D"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000000"/>
                <w:sz w:val="22"/>
                <w:szCs w:val="22"/>
              </w:rPr>
              <w:t>0,0%</w:t>
            </w:r>
          </w:p>
        </w:tc>
      </w:tr>
      <w:tr w:rsidR="0051643C" w14:paraId="0CB36E7E"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475F34"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Bilbao</w:t>
            </w:r>
          </w:p>
        </w:tc>
        <w:tc>
          <w:tcPr>
            <w:tcW w:w="3119" w:type="dxa"/>
            <w:vAlign w:val="bottom"/>
          </w:tcPr>
          <w:p w14:paraId="391C45ED"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000000"/>
                <w:sz w:val="22"/>
                <w:szCs w:val="22"/>
              </w:rPr>
              <w:t>0,0%</w:t>
            </w:r>
          </w:p>
        </w:tc>
      </w:tr>
      <w:tr w:rsidR="0051643C" w14:paraId="60600512"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AA27FA2"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Jaén</w:t>
            </w:r>
          </w:p>
        </w:tc>
        <w:tc>
          <w:tcPr>
            <w:tcW w:w="3119" w:type="dxa"/>
            <w:vAlign w:val="bottom"/>
          </w:tcPr>
          <w:p w14:paraId="27075BF8"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-0,5%</w:t>
            </w:r>
          </w:p>
        </w:tc>
      </w:tr>
      <w:tr w:rsidR="0051643C" w14:paraId="33AF5CC2"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EAF646B"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Cáceres</w:t>
            </w:r>
          </w:p>
        </w:tc>
        <w:tc>
          <w:tcPr>
            <w:tcW w:w="3119" w:type="dxa"/>
            <w:vAlign w:val="bottom"/>
          </w:tcPr>
          <w:p w14:paraId="09AC57C2"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-0,5%</w:t>
            </w:r>
          </w:p>
        </w:tc>
      </w:tr>
      <w:tr w:rsidR="0051643C" w14:paraId="7CC33502"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986498D"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Vigo</w:t>
            </w:r>
          </w:p>
        </w:tc>
        <w:tc>
          <w:tcPr>
            <w:tcW w:w="3119" w:type="dxa"/>
            <w:vAlign w:val="bottom"/>
          </w:tcPr>
          <w:p w14:paraId="5FC0A693"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-0,7%</w:t>
            </w:r>
          </w:p>
        </w:tc>
      </w:tr>
      <w:tr w:rsidR="0051643C" w14:paraId="18F6974C"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D5853C"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Logroño</w:t>
            </w:r>
          </w:p>
        </w:tc>
        <w:tc>
          <w:tcPr>
            <w:tcW w:w="3119" w:type="dxa"/>
            <w:vAlign w:val="bottom"/>
          </w:tcPr>
          <w:p w14:paraId="05654437"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-0,9%</w:t>
            </w:r>
          </w:p>
        </w:tc>
      </w:tr>
      <w:tr w:rsidR="0051643C" w14:paraId="7059A88F"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717039E"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La Coruña</w:t>
            </w:r>
          </w:p>
        </w:tc>
        <w:tc>
          <w:tcPr>
            <w:tcW w:w="3119" w:type="dxa"/>
            <w:vAlign w:val="bottom"/>
          </w:tcPr>
          <w:p w14:paraId="58F2A967"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-1,7%</w:t>
            </w:r>
          </w:p>
        </w:tc>
      </w:tr>
      <w:tr w:rsidR="0051643C" w14:paraId="55D52338"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AA4757A"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Segovia</w:t>
            </w:r>
          </w:p>
        </w:tc>
        <w:tc>
          <w:tcPr>
            <w:tcW w:w="3119" w:type="dxa"/>
            <w:vAlign w:val="bottom"/>
          </w:tcPr>
          <w:p w14:paraId="523BA927"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-2,1%</w:t>
            </w:r>
          </w:p>
        </w:tc>
      </w:tr>
      <w:tr w:rsidR="0051643C" w14:paraId="258D4FB1"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CB5045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Pamplona</w:t>
            </w:r>
          </w:p>
        </w:tc>
        <w:tc>
          <w:tcPr>
            <w:tcW w:w="3119" w:type="dxa"/>
            <w:vAlign w:val="bottom"/>
          </w:tcPr>
          <w:p w14:paraId="7773839F"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-2,1%</w:t>
            </w:r>
          </w:p>
        </w:tc>
      </w:tr>
      <w:tr w:rsidR="0051643C" w14:paraId="08DAAA83"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937068D"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Alicante</w:t>
            </w:r>
          </w:p>
        </w:tc>
        <w:tc>
          <w:tcPr>
            <w:tcW w:w="3119" w:type="dxa"/>
            <w:vAlign w:val="bottom"/>
          </w:tcPr>
          <w:p w14:paraId="0F03337B"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-2,6%</w:t>
            </w:r>
          </w:p>
        </w:tc>
      </w:tr>
      <w:tr w:rsidR="0051643C" w14:paraId="6AC3350C"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7CC193D"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Teruel</w:t>
            </w:r>
          </w:p>
        </w:tc>
        <w:tc>
          <w:tcPr>
            <w:tcW w:w="3119" w:type="dxa"/>
            <w:vAlign w:val="bottom"/>
          </w:tcPr>
          <w:p w14:paraId="7BF11518"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-2,9%</w:t>
            </w:r>
          </w:p>
        </w:tc>
      </w:tr>
      <w:tr w:rsidR="0051643C" w14:paraId="44EE33D0"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DD70CF6"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Orense</w:t>
            </w:r>
          </w:p>
        </w:tc>
        <w:tc>
          <w:tcPr>
            <w:tcW w:w="3119" w:type="dxa"/>
            <w:vAlign w:val="bottom"/>
          </w:tcPr>
          <w:p w14:paraId="1E192005"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-2,9%</w:t>
            </w:r>
          </w:p>
        </w:tc>
      </w:tr>
      <w:tr w:rsidR="0051643C" w14:paraId="30172C11"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1467DCB"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Cuenca</w:t>
            </w:r>
          </w:p>
        </w:tc>
        <w:tc>
          <w:tcPr>
            <w:tcW w:w="3119" w:type="dxa"/>
            <w:vAlign w:val="bottom"/>
          </w:tcPr>
          <w:p w14:paraId="08549650"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-3,1%</w:t>
            </w:r>
          </w:p>
        </w:tc>
      </w:tr>
      <w:tr w:rsidR="0051643C" w14:paraId="691D1BD2"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4026594"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Murcia</w:t>
            </w:r>
          </w:p>
        </w:tc>
        <w:tc>
          <w:tcPr>
            <w:tcW w:w="3119" w:type="dxa"/>
            <w:vAlign w:val="bottom"/>
          </w:tcPr>
          <w:p w14:paraId="6AFF8EFB"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-3,2%</w:t>
            </w:r>
          </w:p>
        </w:tc>
      </w:tr>
      <w:tr w:rsidR="0051643C" w14:paraId="0AA6AB9A"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CC1276D"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Palma</w:t>
            </w:r>
          </w:p>
        </w:tc>
        <w:tc>
          <w:tcPr>
            <w:tcW w:w="3119" w:type="dxa"/>
            <w:vAlign w:val="bottom"/>
          </w:tcPr>
          <w:p w14:paraId="391235CC"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-3,6%</w:t>
            </w:r>
          </w:p>
        </w:tc>
      </w:tr>
      <w:tr w:rsidR="0051643C" w14:paraId="7777D0B2"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711FA47"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Lleida</w:t>
            </w:r>
          </w:p>
        </w:tc>
        <w:tc>
          <w:tcPr>
            <w:tcW w:w="3119" w:type="dxa"/>
            <w:vAlign w:val="bottom"/>
          </w:tcPr>
          <w:p w14:paraId="47BB4CA2"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-5,9%</w:t>
            </w:r>
          </w:p>
        </w:tc>
      </w:tr>
      <w:tr w:rsidR="0051643C" w14:paraId="796BB910"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A8E217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Cádiz</w:t>
            </w:r>
          </w:p>
        </w:tc>
        <w:tc>
          <w:tcPr>
            <w:tcW w:w="3119" w:type="dxa"/>
            <w:vAlign w:val="bottom"/>
          </w:tcPr>
          <w:p w14:paraId="49A5D1BA"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-6,1%</w:t>
            </w:r>
          </w:p>
        </w:tc>
      </w:tr>
      <w:tr w:rsidR="0051643C" w14:paraId="19116603" w14:textId="77777777" w:rsidTr="0051643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4A79B9E"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Soria</w:t>
            </w:r>
          </w:p>
        </w:tc>
        <w:tc>
          <w:tcPr>
            <w:tcW w:w="3119" w:type="dxa"/>
            <w:vAlign w:val="bottom"/>
          </w:tcPr>
          <w:p w14:paraId="1D09B92B" w14:textId="77777777" w:rsidR="0051643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-10,8%</w:t>
            </w:r>
          </w:p>
        </w:tc>
      </w:tr>
      <w:tr w:rsidR="0051643C" w14:paraId="5CE85654" w14:textId="77777777" w:rsidTr="005164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B834E31" w14:textId="77777777" w:rsidR="0051643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val="0"/>
                <w:color w:val="000000"/>
                <w:sz w:val="22"/>
                <w:szCs w:val="22"/>
              </w:rPr>
              <w:t>Huesca</w:t>
            </w:r>
          </w:p>
        </w:tc>
        <w:tc>
          <w:tcPr>
            <w:tcW w:w="3119" w:type="dxa"/>
            <w:vAlign w:val="bottom"/>
          </w:tcPr>
          <w:p w14:paraId="075B841F" w14:textId="77777777" w:rsidR="0051643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rFonts w:ascii="Open Sans" w:eastAsia="Open Sans" w:hAnsi="Open Sans" w:cs="Open Sans"/>
                <w:color w:val="EE0000"/>
                <w:sz w:val="22"/>
                <w:szCs w:val="22"/>
              </w:rPr>
              <w:t>-15,0%</w:t>
            </w:r>
          </w:p>
        </w:tc>
      </w:tr>
    </w:tbl>
    <w:p w14:paraId="5844AFC7" w14:textId="77777777" w:rsidR="0051643C" w:rsidRDefault="0051643C">
      <w:pPr>
        <w:spacing w:line="276" w:lineRule="auto"/>
        <w:ind w:right="-560"/>
        <w:jc w:val="both"/>
        <w:rPr>
          <w:rFonts w:ascii="Open Sans" w:eastAsia="Open Sans" w:hAnsi="Open Sans" w:cs="Open Sans"/>
          <w:b/>
          <w:color w:val="262626"/>
          <w:sz w:val="22"/>
          <w:szCs w:val="22"/>
        </w:rPr>
      </w:pPr>
    </w:p>
    <w:p w14:paraId="5E184846" w14:textId="77777777" w:rsidR="0051643C" w:rsidRDefault="0051643C">
      <w:pPr>
        <w:spacing w:line="276" w:lineRule="auto"/>
        <w:ind w:right="-560"/>
        <w:jc w:val="both"/>
        <w:rPr>
          <w:rFonts w:ascii="Open Sans" w:eastAsia="Open Sans" w:hAnsi="Open Sans" w:cs="Open Sans"/>
          <w:b/>
          <w:color w:val="262626"/>
          <w:sz w:val="22"/>
          <w:szCs w:val="22"/>
        </w:rPr>
      </w:pPr>
    </w:p>
    <w:p w14:paraId="64997D3E" w14:textId="77777777" w:rsidR="0051643C" w:rsidRDefault="0051643C">
      <w:pPr>
        <w:spacing w:line="276" w:lineRule="auto"/>
        <w:ind w:right="-433"/>
        <w:jc w:val="right"/>
        <w:rPr>
          <w:rFonts w:ascii="Open Sans" w:eastAsia="Open Sans" w:hAnsi="Open Sans" w:cs="Open Sans"/>
          <w:b/>
          <w:color w:val="303AB2"/>
        </w:rPr>
      </w:pPr>
    </w:p>
    <w:p w14:paraId="6F66AF3A" w14:textId="77777777" w:rsidR="0051643C"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DataVenues</w:t>
      </w:r>
    </w:p>
    <w:p w14:paraId="515D4000" w14:textId="77777777" w:rsidR="0051643C" w:rsidRDefault="0051643C">
      <w:pPr>
        <w:shd w:val="clear" w:color="auto" w:fill="FFFFFF"/>
        <w:spacing w:before="280" w:after="280" w:line="276" w:lineRule="auto"/>
        <w:ind w:right="-433"/>
        <w:jc w:val="both"/>
        <w:rPr>
          <w:rFonts w:ascii="Open Sans" w:eastAsia="Open Sans" w:hAnsi="Open Sans" w:cs="Open Sans"/>
          <w:sz w:val="22"/>
          <w:szCs w:val="22"/>
        </w:rPr>
      </w:pPr>
      <w:hyperlink r:id="rId17">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8">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DataVenues incluye datos propios del portal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 </w:t>
      </w:r>
    </w:p>
    <w:p w14:paraId="016D2AA1" w14:textId="77777777" w:rsidR="0051643C" w:rsidRDefault="0051643C">
      <w:pPr>
        <w:spacing w:line="276" w:lineRule="auto"/>
        <w:jc w:val="right"/>
        <w:rPr>
          <w:rFonts w:ascii="Open Sans" w:eastAsia="Open Sans" w:hAnsi="Open Sans" w:cs="Open Sans"/>
          <w:b/>
          <w:color w:val="303AB2"/>
        </w:rPr>
      </w:pPr>
    </w:p>
    <w:p w14:paraId="540901CF" w14:textId="77777777" w:rsidR="0051643C"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78973930" w14:textId="77777777" w:rsidR="0051643C"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sidR="0051643C">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0">
        <w:r w:rsidR="0051643C">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5" w:name="_heading=h.2s8eyo1" w:colFirst="0" w:colLast="0"/>
    <w:bookmarkEnd w:id="5"/>
    <w:p w14:paraId="5C79EDAF" w14:textId="77777777" w:rsidR="0051643C"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hyperlink r:id="rId21">
        <w:r w:rsidR="0051643C">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4CA0272B" w14:textId="77777777" w:rsidR="0051643C" w:rsidRDefault="0051643C">
      <w:pPr>
        <w:shd w:val="clear" w:color="auto" w:fill="FFFFFF"/>
        <w:spacing w:before="280" w:after="280" w:line="276" w:lineRule="auto"/>
        <w:ind w:right="-433"/>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70B793C" w14:textId="77777777" w:rsidR="0051643C"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Adevinta</w:t>
      </w:r>
    </w:p>
    <w:p w14:paraId="4E36B9C1" w14:textId="77777777" w:rsidR="0051643C" w:rsidRDefault="00000000">
      <w:pPr>
        <w:spacing w:before="143" w:after="200"/>
        <w:ind w:right="-433"/>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3">
        <w:r w:rsidR="0051643C">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sidR="0051643C">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5">
        <w:r w:rsidR="0051643C">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sidR="0051643C">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sidR="0051643C">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8">
        <w:r w:rsidR="0051643C">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480FB7B" w14:textId="77777777" w:rsidR="0051643C" w:rsidRDefault="00000000">
      <w:pPr>
        <w:spacing w:before="143" w:after="200"/>
        <w:ind w:right="-433"/>
        <w:jc w:val="both"/>
        <w:rPr>
          <w:rFonts w:ascii="Open Sans" w:eastAsia="Open Sans" w:hAnsi="Open Sans" w:cs="Open Sans"/>
          <w:sz w:val="22"/>
          <w:szCs w:val="22"/>
        </w:rPr>
      </w:pPr>
      <w:bookmarkStart w:id="6" w:name="_heading=h.vry51zu15183" w:colFirst="0" w:colLast="0"/>
      <w:bookmarkEnd w:id="6"/>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033C5369" w14:textId="77777777" w:rsidR="0051643C" w:rsidRDefault="00000000">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C589FB0" w14:textId="77777777" w:rsidR="0051643C" w:rsidRDefault="00000000">
      <w:pPr>
        <w:spacing w:before="143" w:after="200"/>
        <w:ind w:right="-433"/>
        <w:jc w:val="both"/>
        <w:rPr>
          <w:rFonts w:ascii="Open Sans" w:eastAsia="Open Sans" w:hAnsi="Open Sans" w:cs="Open Sans"/>
        </w:rPr>
      </w:pPr>
      <w:r>
        <w:rPr>
          <w:rFonts w:ascii="Open Sans" w:eastAsia="Open Sans" w:hAnsi="Open Sans" w:cs="Open Sans"/>
          <w:sz w:val="22"/>
          <w:szCs w:val="22"/>
        </w:rPr>
        <w:t xml:space="preserve">Más información en </w:t>
      </w:r>
      <w:hyperlink r:id="rId29">
        <w:r w:rsidR="0051643C">
          <w:rPr>
            <w:rFonts w:ascii="Open Sans" w:eastAsia="Open Sans" w:hAnsi="Open Sans" w:cs="Open Sans"/>
            <w:color w:val="1155CC"/>
            <w:sz w:val="22"/>
            <w:szCs w:val="22"/>
            <w:u w:val="single"/>
          </w:rPr>
          <w:t>adevinta.es</w:t>
        </w:r>
      </w:hyperlink>
    </w:p>
    <w:p w14:paraId="2EF2F3CA" w14:textId="77777777" w:rsidR="0051643C" w:rsidRDefault="0051643C">
      <w:pPr>
        <w:spacing w:line="276" w:lineRule="auto"/>
        <w:ind w:right="-433"/>
        <w:jc w:val="right"/>
        <w:rPr>
          <w:rFonts w:ascii="Open Sans" w:eastAsia="Open Sans" w:hAnsi="Open Sans" w:cs="Open Sans"/>
        </w:rPr>
      </w:pPr>
    </w:p>
    <w:p w14:paraId="397F567D" w14:textId="77777777" w:rsidR="0051643C" w:rsidRDefault="00000000">
      <w:pPr>
        <w:spacing w:line="276" w:lineRule="auto"/>
        <w:ind w:right="-433"/>
        <w:rPr>
          <w:rFonts w:ascii="Open Sans" w:eastAsia="Open Sans" w:hAnsi="Open Sans" w:cs="Open Sans"/>
          <w:b/>
          <w:color w:val="303AB2"/>
          <w:sz w:val="22"/>
          <w:szCs w:val="22"/>
        </w:rPr>
      </w:pPr>
      <w:r>
        <w:rPr>
          <w:rFonts w:ascii="Open Sans" w:eastAsia="Open Sans" w:hAnsi="Open Sans" w:cs="Open Sans"/>
          <w:b/>
          <w:color w:val="303AB2"/>
          <w:sz w:val="22"/>
          <w:szCs w:val="22"/>
        </w:rPr>
        <w:t>Departamento Comunicación Fotocasa</w:t>
      </w:r>
    </w:p>
    <w:p w14:paraId="6525C589" w14:textId="77777777" w:rsidR="0051643C"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5180796" w14:textId="77777777" w:rsidR="0051643C" w:rsidRDefault="0051643C">
      <w:pPr>
        <w:shd w:val="clear" w:color="auto" w:fill="FFFFFF"/>
        <w:spacing w:line="276" w:lineRule="auto"/>
        <w:ind w:right="-433"/>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35E7F822" w14:textId="77777777" w:rsidR="0051643C" w:rsidRDefault="00000000">
      <w:pPr>
        <w:shd w:val="clear" w:color="auto" w:fill="FFFFFF"/>
        <w:spacing w:line="276" w:lineRule="auto"/>
        <w:ind w:right="-433"/>
        <w:rPr>
          <w:rFonts w:ascii="Open Sans" w:eastAsia="Open Sans" w:hAnsi="Open Sans" w:cs="Open Sans"/>
          <w:sz w:val="22"/>
          <w:szCs w:val="22"/>
        </w:rPr>
      </w:pPr>
      <w:r>
        <w:rPr>
          <w:rFonts w:ascii="Open Sans" w:eastAsia="Open Sans" w:hAnsi="Open Sans" w:cs="Open Sans"/>
          <w:color w:val="000000"/>
          <w:sz w:val="22"/>
          <w:szCs w:val="22"/>
        </w:rPr>
        <w:t>620 66 29 26</w:t>
      </w:r>
    </w:p>
    <w:sectPr w:rsidR="0051643C">
      <w:headerReference w:type="default" r:id="rId31"/>
      <w:footerReference w:type="default" r:id="rId3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D5CDC" w14:textId="77777777" w:rsidR="004332E8" w:rsidRDefault="004332E8">
      <w:r>
        <w:separator/>
      </w:r>
    </w:p>
  </w:endnote>
  <w:endnote w:type="continuationSeparator" w:id="0">
    <w:p w14:paraId="73775E3B" w14:textId="77777777" w:rsidR="004332E8" w:rsidRDefault="0043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A551CE2-3CA8-476C-A8C2-D825C2F6E9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A53808-76D6-4AF3-821F-8AEF32E12C7C}"/>
    <w:embedBold r:id="rId3" w:fontKey="{A024DD2A-D2AA-438B-8155-375675B79AC3}"/>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5DB528D8-8077-4616-962A-69A1F3CCBE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B4C4845-E8B2-4701-9645-8DCF7C53AA3E}"/>
    <w:embedItalic r:id="rId6" w:fontKey="{999615A0-1D0A-4A54-BD5E-B49FE41BC50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C0C9E50-C57C-452C-9FA9-68AC1F71C7B5}"/>
    <w:embedBold r:id="rId8" w:fontKey="{315639F6-EA93-49F0-844F-F090C41CDACE}"/>
    <w:embedItalic r:id="rId9" w:fontKey="{A7FA3006-0FB2-45C0-914D-A993F7250C1A}"/>
    <w:embedBoldItalic r:id="rId10" w:fontKey="{A0690665-5A0E-41D2-ACDE-8EA1C4EC2EB1}"/>
  </w:font>
  <w:font w:name="Calibri Light">
    <w:panose1 w:val="020F0302020204030204"/>
    <w:charset w:val="00"/>
    <w:family w:val="swiss"/>
    <w:pitch w:val="variable"/>
    <w:sig w:usb0="E4002EFF" w:usb1="C200247B" w:usb2="00000009" w:usb3="00000000" w:csb0="000001FF" w:csb1="00000000"/>
    <w:embedRegular r:id="rId11" w:fontKey="{DB83A7A2-4677-4CEF-8883-FD270320A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C576" w14:textId="77777777" w:rsidR="0051643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01FF1C33" wp14:editId="32E986DA">
          <wp:simplePos x="0" y="0"/>
          <wp:positionH relativeFrom="column">
            <wp:posOffset>-1080132</wp:posOffset>
          </wp:positionH>
          <wp:positionV relativeFrom="paragraph">
            <wp:posOffset>294640</wp:posOffset>
          </wp:positionV>
          <wp:extent cx="7670550" cy="451315"/>
          <wp:effectExtent l="0" t="0" r="0" b="0"/>
          <wp:wrapSquare wrapText="bothSides" distT="0" distB="0" distL="0" distR="0"/>
          <wp:docPr id="1459324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D26B0" w14:textId="77777777" w:rsidR="004332E8" w:rsidRDefault="004332E8">
      <w:r>
        <w:separator/>
      </w:r>
    </w:p>
  </w:footnote>
  <w:footnote w:type="continuationSeparator" w:id="0">
    <w:p w14:paraId="748A6C0F" w14:textId="77777777" w:rsidR="004332E8" w:rsidRDefault="00433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3303" w14:textId="77777777" w:rsidR="0051643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474FA1F" wp14:editId="76AC50A7">
          <wp:simplePos x="0" y="0"/>
          <wp:positionH relativeFrom="column">
            <wp:posOffset>-1234438</wp:posOffset>
          </wp:positionH>
          <wp:positionV relativeFrom="paragraph">
            <wp:posOffset>-239392</wp:posOffset>
          </wp:positionV>
          <wp:extent cx="2939415" cy="1019175"/>
          <wp:effectExtent l="0" t="0" r="0" b="0"/>
          <wp:wrapNone/>
          <wp:docPr id="1459324377" name="image3.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Patrón de fondo&#10;&#10;El contenido generado por IA puede ser incorrecto."/>
                  <pic:cNvPicPr preferRelativeResize="0"/>
                </pic:nvPicPr>
                <pic:blipFill>
                  <a:blip r:embed="rId1"/>
                  <a:srcRect l="-1337" r="62567"/>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9EFBE5" wp14:editId="2D326951">
          <wp:simplePos x="0" y="0"/>
          <wp:positionH relativeFrom="column">
            <wp:posOffset>3903345</wp:posOffset>
          </wp:positionH>
          <wp:positionV relativeFrom="paragraph">
            <wp:posOffset>-33018</wp:posOffset>
          </wp:positionV>
          <wp:extent cx="2352040" cy="895350"/>
          <wp:effectExtent l="0" t="0" r="0" b="0"/>
          <wp:wrapSquare wrapText="bothSides" distT="0" distB="0" distL="114300" distR="114300"/>
          <wp:docPr id="1459324379" name="image1.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3583D474" w14:textId="77777777" w:rsidR="0051643C" w:rsidRDefault="0051643C">
    <w:pPr>
      <w:pBdr>
        <w:top w:val="nil"/>
        <w:left w:val="nil"/>
        <w:bottom w:val="nil"/>
        <w:right w:val="nil"/>
        <w:between w:val="nil"/>
      </w:pBdr>
      <w:tabs>
        <w:tab w:val="center" w:pos="4252"/>
        <w:tab w:val="right" w:pos="8504"/>
      </w:tabs>
      <w:rPr>
        <w:color w:val="000000"/>
      </w:rPr>
    </w:pPr>
  </w:p>
  <w:p w14:paraId="1D7A423B" w14:textId="77777777" w:rsidR="0051643C" w:rsidRDefault="0051643C">
    <w:pPr>
      <w:pBdr>
        <w:top w:val="nil"/>
        <w:left w:val="nil"/>
        <w:bottom w:val="nil"/>
        <w:right w:val="nil"/>
        <w:between w:val="nil"/>
      </w:pBdr>
      <w:tabs>
        <w:tab w:val="center" w:pos="4252"/>
        <w:tab w:val="right" w:pos="8504"/>
      </w:tabs>
      <w:rPr>
        <w:color w:val="000000"/>
      </w:rPr>
    </w:pPr>
  </w:p>
  <w:p w14:paraId="764B8DF9" w14:textId="77777777" w:rsidR="0051643C" w:rsidRDefault="0051643C">
    <w:pPr>
      <w:pBdr>
        <w:top w:val="nil"/>
        <w:left w:val="nil"/>
        <w:bottom w:val="nil"/>
        <w:right w:val="nil"/>
        <w:between w:val="nil"/>
      </w:pBdr>
      <w:tabs>
        <w:tab w:val="center" w:pos="4252"/>
        <w:tab w:val="right" w:pos="8504"/>
      </w:tabs>
      <w:rPr>
        <w:color w:val="000000"/>
      </w:rPr>
    </w:pPr>
  </w:p>
  <w:p w14:paraId="4B9280AB" w14:textId="77777777" w:rsidR="0051643C" w:rsidRDefault="0051643C">
    <w:pPr>
      <w:pBdr>
        <w:top w:val="nil"/>
        <w:left w:val="nil"/>
        <w:bottom w:val="nil"/>
        <w:right w:val="nil"/>
        <w:between w:val="nil"/>
      </w:pBdr>
      <w:tabs>
        <w:tab w:val="center" w:pos="4252"/>
        <w:tab w:val="right" w:pos="8504"/>
      </w:tabs>
      <w:rPr>
        <w:color w:val="000000"/>
      </w:rPr>
    </w:pPr>
  </w:p>
  <w:p w14:paraId="4E5EF9A9" w14:textId="77777777" w:rsidR="0051643C" w:rsidRDefault="0051643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F099B"/>
    <w:multiLevelType w:val="multilevel"/>
    <w:tmpl w:val="0CD80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1164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43C"/>
    <w:rsid w:val="001203CD"/>
    <w:rsid w:val="001A5A12"/>
    <w:rsid w:val="001C7794"/>
    <w:rsid w:val="004332E8"/>
    <w:rsid w:val="0051643C"/>
    <w:rsid w:val="006602D0"/>
    <w:rsid w:val="0071452E"/>
    <w:rsid w:val="0076359D"/>
    <w:rsid w:val="008664F3"/>
    <w:rsid w:val="008B386F"/>
    <w:rsid w:val="00C423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BD83"/>
  <w15:docId w15:val="{4446AE81-8517-40D9-B1E8-86C50A57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9"/>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2"/>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6">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atavenues.com/"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s://www.adevint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atavenues.com/" TargetMode="External"/><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habitaclia.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fotocasa.es/es/" TargetMode="External"/><Relationship Id="rId28" Type="http://schemas.openxmlformats.org/officeDocument/2006/relationships/hyperlink" Target="https://www.milanuncios.com/"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chart" Target="charts/chart2.xml"/><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8" Type="http://schemas.openxmlformats.org/officeDocument/2006/relationships/hyperlink" Target="https://datavenu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02.%20Projectes/2025/251006_SmartPrice%20Q4/results_city_2025_septemb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02.%20Projectes/2025/251006_SmartPrice%20Q4/results_city_2025_septemb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forecast!$G$20507:$K$20649</c:f>
              <c:strCache>
                <c:ptCount val="15"/>
                <c:pt idx="0">
                  <c:v>Santander</c:v>
                </c:pt>
                <c:pt idx="1">
                  <c:v>Pontevedra</c:v>
                </c:pt>
                <c:pt idx="2">
                  <c:v>San Sebastián</c:v>
                </c:pt>
                <c:pt idx="3">
                  <c:v>Badajoz</c:v>
                </c:pt>
                <c:pt idx="4">
                  <c:v>Tarragona</c:v>
                </c:pt>
                <c:pt idx="5">
                  <c:v>Valencia</c:v>
                </c:pt>
                <c:pt idx="6">
                  <c:v>Valladolid</c:v>
                </c:pt>
                <c:pt idx="7">
                  <c:v>Granada</c:v>
                </c:pt>
                <c:pt idx="8">
                  <c:v>Huelva</c:v>
                </c:pt>
                <c:pt idx="9">
                  <c:v>Córdoba</c:v>
                </c:pt>
                <c:pt idx="10">
                  <c:v>Almería</c:v>
                </c:pt>
                <c:pt idx="11">
                  <c:v>Málaga</c:v>
                </c:pt>
                <c:pt idx="12">
                  <c:v>Zaragoza</c:v>
                </c:pt>
                <c:pt idx="13">
                  <c:v>Oviedo</c:v>
                </c:pt>
                <c:pt idx="14">
                  <c:v>Madrid</c:v>
                </c:pt>
              </c:strCache>
            </c:strRef>
          </c:cat>
          <c:val>
            <c:numRef>
              <c:f>forecast!$L$20507:$L$20649</c:f>
            </c:numRef>
          </c:val>
          <c:extLst>
            <c:ext xmlns:c16="http://schemas.microsoft.com/office/drawing/2014/chart" uri="{C3380CC4-5D6E-409C-BE32-E72D297353CC}">
              <c16:uniqueId val="{00000000-1ED5-43DB-982B-69A1D71EA43B}"/>
            </c:ext>
          </c:extLst>
        </c:ser>
        <c:ser>
          <c:idx val="1"/>
          <c:order val="1"/>
          <c:spPr>
            <a:solidFill>
              <a:schemeClr val="accent2"/>
            </a:solidFill>
            <a:ln>
              <a:noFill/>
            </a:ln>
            <a:effectLst/>
          </c:spPr>
          <c:invertIfNegative val="0"/>
          <c:cat>
            <c:strRef>
              <c:f>forecast!$G$20507:$K$20649</c:f>
              <c:strCache>
                <c:ptCount val="15"/>
                <c:pt idx="0">
                  <c:v>Santander</c:v>
                </c:pt>
                <c:pt idx="1">
                  <c:v>Pontevedra</c:v>
                </c:pt>
                <c:pt idx="2">
                  <c:v>San Sebastián</c:v>
                </c:pt>
                <c:pt idx="3">
                  <c:v>Badajoz</c:v>
                </c:pt>
                <c:pt idx="4">
                  <c:v>Tarragona</c:v>
                </c:pt>
                <c:pt idx="5">
                  <c:v>Valencia</c:v>
                </c:pt>
                <c:pt idx="6">
                  <c:v>Valladolid</c:v>
                </c:pt>
                <c:pt idx="7">
                  <c:v>Granada</c:v>
                </c:pt>
                <c:pt idx="8">
                  <c:v>Huelva</c:v>
                </c:pt>
                <c:pt idx="9">
                  <c:v>Córdoba</c:v>
                </c:pt>
                <c:pt idx="10">
                  <c:v>Almería</c:v>
                </c:pt>
                <c:pt idx="11">
                  <c:v>Málaga</c:v>
                </c:pt>
                <c:pt idx="12">
                  <c:v>Zaragoza</c:v>
                </c:pt>
                <c:pt idx="13">
                  <c:v>Oviedo</c:v>
                </c:pt>
                <c:pt idx="14">
                  <c:v>Madrid</c:v>
                </c:pt>
              </c:strCache>
            </c:strRef>
          </c:cat>
          <c:val>
            <c:numRef>
              <c:f>forecast!$M$20507:$M$20649</c:f>
            </c:numRef>
          </c:val>
          <c:extLst>
            <c:ext xmlns:c16="http://schemas.microsoft.com/office/drawing/2014/chart" uri="{C3380CC4-5D6E-409C-BE32-E72D297353CC}">
              <c16:uniqueId val="{00000001-1ED5-43DB-982B-69A1D71EA43B}"/>
            </c:ext>
          </c:extLst>
        </c:ser>
        <c:ser>
          <c:idx val="2"/>
          <c:order val="2"/>
          <c:spPr>
            <a:solidFill>
              <a:schemeClr val="accent3"/>
            </a:solidFill>
            <a:ln>
              <a:noFill/>
            </a:ln>
            <a:effectLst/>
          </c:spPr>
          <c:invertIfNegative val="0"/>
          <c:cat>
            <c:strRef>
              <c:f>forecast!$G$20507:$K$20649</c:f>
              <c:strCache>
                <c:ptCount val="15"/>
                <c:pt idx="0">
                  <c:v>Santander</c:v>
                </c:pt>
                <c:pt idx="1">
                  <c:v>Pontevedra</c:v>
                </c:pt>
                <c:pt idx="2">
                  <c:v>San Sebastián</c:v>
                </c:pt>
                <c:pt idx="3">
                  <c:v>Badajoz</c:v>
                </c:pt>
                <c:pt idx="4">
                  <c:v>Tarragona</c:v>
                </c:pt>
                <c:pt idx="5">
                  <c:v>Valencia</c:v>
                </c:pt>
                <c:pt idx="6">
                  <c:v>Valladolid</c:v>
                </c:pt>
                <c:pt idx="7">
                  <c:v>Granada</c:v>
                </c:pt>
                <c:pt idx="8">
                  <c:v>Huelva</c:v>
                </c:pt>
                <c:pt idx="9">
                  <c:v>Córdoba</c:v>
                </c:pt>
                <c:pt idx="10">
                  <c:v>Almería</c:v>
                </c:pt>
                <c:pt idx="11">
                  <c:v>Málaga</c:v>
                </c:pt>
                <c:pt idx="12">
                  <c:v>Zaragoza</c:v>
                </c:pt>
                <c:pt idx="13">
                  <c:v>Oviedo</c:v>
                </c:pt>
                <c:pt idx="14">
                  <c:v>Madrid</c:v>
                </c:pt>
              </c:strCache>
            </c:strRef>
          </c:cat>
          <c:val>
            <c:numRef>
              <c:f>forecast!$N$20507:$N$20649</c:f>
            </c:numRef>
          </c:val>
          <c:extLst>
            <c:ext xmlns:c16="http://schemas.microsoft.com/office/drawing/2014/chart" uri="{C3380CC4-5D6E-409C-BE32-E72D297353CC}">
              <c16:uniqueId val="{00000002-1ED5-43DB-982B-69A1D71EA43B}"/>
            </c:ext>
          </c:extLst>
        </c:ser>
        <c:ser>
          <c:idx val="3"/>
          <c:order val="3"/>
          <c:spPr>
            <a:gradFill>
              <a:gsLst>
                <a:gs pos="46000">
                  <a:srgbClr val="002060"/>
                </a:gs>
                <a:gs pos="100000">
                  <a:schemeClr val="accent1">
                    <a:lumMod val="30000"/>
                    <a:lumOff val="70000"/>
                  </a:schemeClr>
                </a:gs>
              </a:gsLst>
              <a:lin ang="5400000" scaled="1"/>
            </a:gradFill>
            <a:ln>
              <a:noFill/>
            </a:ln>
            <a:effectLst/>
          </c:spPr>
          <c:invertIfNegative val="0"/>
          <c:cat>
            <c:strRef>
              <c:f>forecast!$G$20507:$K$20649</c:f>
              <c:strCache>
                <c:ptCount val="15"/>
                <c:pt idx="0">
                  <c:v>Santander</c:v>
                </c:pt>
                <c:pt idx="1">
                  <c:v>Pontevedra</c:v>
                </c:pt>
                <c:pt idx="2">
                  <c:v>San Sebastián</c:v>
                </c:pt>
                <c:pt idx="3">
                  <c:v>Badajoz</c:v>
                </c:pt>
                <c:pt idx="4">
                  <c:v>Tarragona</c:v>
                </c:pt>
                <c:pt idx="5">
                  <c:v>Valencia</c:v>
                </c:pt>
                <c:pt idx="6">
                  <c:v>Valladolid</c:v>
                </c:pt>
                <c:pt idx="7">
                  <c:v>Granada</c:v>
                </c:pt>
                <c:pt idx="8">
                  <c:v>Huelva</c:v>
                </c:pt>
                <c:pt idx="9">
                  <c:v>Córdoba</c:v>
                </c:pt>
                <c:pt idx="10">
                  <c:v>Almería</c:v>
                </c:pt>
                <c:pt idx="11">
                  <c:v>Málaga</c:v>
                </c:pt>
                <c:pt idx="12">
                  <c:v>Zaragoza</c:v>
                </c:pt>
                <c:pt idx="13">
                  <c:v>Oviedo</c:v>
                </c:pt>
                <c:pt idx="14">
                  <c:v>Madrid</c:v>
                </c:pt>
              </c:strCache>
            </c:strRef>
          </c:cat>
          <c:val>
            <c:numRef>
              <c:f>forecast!$O$20507:$O$20649</c:f>
              <c:numCache>
                <c:formatCode>0.0</c:formatCode>
                <c:ptCount val="15"/>
                <c:pt idx="0">
                  <c:v>6.9</c:v>
                </c:pt>
                <c:pt idx="1">
                  <c:v>6.27</c:v>
                </c:pt>
                <c:pt idx="2">
                  <c:v>4.68</c:v>
                </c:pt>
                <c:pt idx="3">
                  <c:v>4.26</c:v>
                </c:pt>
                <c:pt idx="4">
                  <c:v>3.39</c:v>
                </c:pt>
                <c:pt idx="5">
                  <c:v>2.89</c:v>
                </c:pt>
                <c:pt idx="6">
                  <c:v>1.43</c:v>
                </c:pt>
                <c:pt idx="7">
                  <c:v>1.05</c:v>
                </c:pt>
                <c:pt idx="8">
                  <c:v>0.75</c:v>
                </c:pt>
                <c:pt idx="9">
                  <c:v>0.67</c:v>
                </c:pt>
                <c:pt idx="10">
                  <c:v>0.39</c:v>
                </c:pt>
                <c:pt idx="11">
                  <c:v>0.34</c:v>
                </c:pt>
                <c:pt idx="12">
                  <c:v>0.23</c:v>
                </c:pt>
                <c:pt idx="13">
                  <c:v>0.08</c:v>
                </c:pt>
                <c:pt idx="14">
                  <c:v>0.06</c:v>
                </c:pt>
              </c:numCache>
            </c:numRef>
          </c:val>
          <c:extLst>
            <c:ext xmlns:c16="http://schemas.microsoft.com/office/drawing/2014/chart" uri="{C3380CC4-5D6E-409C-BE32-E72D297353CC}">
              <c16:uniqueId val="{00000003-1ED5-43DB-982B-69A1D71EA43B}"/>
            </c:ext>
          </c:extLst>
        </c:ser>
        <c:dLbls>
          <c:showLegendKey val="0"/>
          <c:showVal val="0"/>
          <c:showCatName val="0"/>
          <c:showSerName val="0"/>
          <c:showPercent val="0"/>
          <c:showBubbleSize val="0"/>
        </c:dLbls>
        <c:gapWidth val="219"/>
        <c:overlap val="-27"/>
        <c:axId val="716936191"/>
        <c:axId val="716936671"/>
      </c:barChart>
      <c:catAx>
        <c:axId val="716936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716936671"/>
        <c:crosses val="autoZero"/>
        <c:auto val="1"/>
        <c:lblAlgn val="ctr"/>
        <c:lblOffset val="100"/>
        <c:noMultiLvlLbl val="0"/>
      </c:catAx>
      <c:valAx>
        <c:axId val="716936671"/>
        <c:scaling>
          <c:orientation val="minMax"/>
          <c:max val="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716936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forecast!$G$20740:$K$20901</c:f>
              <c:strCache>
                <c:ptCount val="17"/>
                <c:pt idx="0">
                  <c:v>Jaén</c:v>
                </c:pt>
                <c:pt idx="1">
                  <c:v>Cáceres</c:v>
                </c:pt>
                <c:pt idx="2">
                  <c:v>Vigo</c:v>
                </c:pt>
                <c:pt idx="3">
                  <c:v>Logroño</c:v>
                </c:pt>
                <c:pt idx="4">
                  <c:v>La Coruña</c:v>
                </c:pt>
                <c:pt idx="5">
                  <c:v>Segovia</c:v>
                </c:pt>
                <c:pt idx="6">
                  <c:v>Pamplona</c:v>
                </c:pt>
                <c:pt idx="7">
                  <c:v>Alicante</c:v>
                </c:pt>
                <c:pt idx="8">
                  <c:v>Teruel</c:v>
                </c:pt>
                <c:pt idx="9">
                  <c:v>Orense</c:v>
                </c:pt>
                <c:pt idx="10">
                  <c:v>Cuenca</c:v>
                </c:pt>
                <c:pt idx="11">
                  <c:v>Murcia</c:v>
                </c:pt>
                <c:pt idx="12">
                  <c:v>Palma</c:v>
                </c:pt>
                <c:pt idx="13">
                  <c:v>Lleida</c:v>
                </c:pt>
                <c:pt idx="14">
                  <c:v>Cádiz</c:v>
                </c:pt>
                <c:pt idx="15">
                  <c:v>Soria</c:v>
                </c:pt>
                <c:pt idx="16">
                  <c:v>Huesca</c:v>
                </c:pt>
              </c:strCache>
            </c:strRef>
          </c:cat>
          <c:val>
            <c:numRef>
              <c:f>forecast!$L$20740:$L$20901</c:f>
            </c:numRef>
          </c:val>
          <c:extLst>
            <c:ext xmlns:c16="http://schemas.microsoft.com/office/drawing/2014/chart" uri="{C3380CC4-5D6E-409C-BE32-E72D297353CC}">
              <c16:uniqueId val="{00000000-ED7C-4816-AB6F-9AF6650FBFB2}"/>
            </c:ext>
          </c:extLst>
        </c:ser>
        <c:ser>
          <c:idx val="1"/>
          <c:order val="1"/>
          <c:spPr>
            <a:solidFill>
              <a:schemeClr val="accent2"/>
            </a:solidFill>
            <a:ln>
              <a:noFill/>
            </a:ln>
            <a:effectLst/>
          </c:spPr>
          <c:invertIfNegative val="0"/>
          <c:cat>
            <c:strRef>
              <c:f>forecast!$G$20740:$K$20901</c:f>
              <c:strCache>
                <c:ptCount val="17"/>
                <c:pt idx="0">
                  <c:v>Jaén</c:v>
                </c:pt>
                <c:pt idx="1">
                  <c:v>Cáceres</c:v>
                </c:pt>
                <c:pt idx="2">
                  <c:v>Vigo</c:v>
                </c:pt>
                <c:pt idx="3">
                  <c:v>Logroño</c:v>
                </c:pt>
                <c:pt idx="4">
                  <c:v>La Coruña</c:v>
                </c:pt>
                <c:pt idx="5">
                  <c:v>Segovia</c:v>
                </c:pt>
                <c:pt idx="6">
                  <c:v>Pamplona</c:v>
                </c:pt>
                <c:pt idx="7">
                  <c:v>Alicante</c:v>
                </c:pt>
                <c:pt idx="8">
                  <c:v>Teruel</c:v>
                </c:pt>
                <c:pt idx="9">
                  <c:v>Orense</c:v>
                </c:pt>
                <c:pt idx="10">
                  <c:v>Cuenca</c:v>
                </c:pt>
                <c:pt idx="11">
                  <c:v>Murcia</c:v>
                </c:pt>
                <c:pt idx="12">
                  <c:v>Palma</c:v>
                </c:pt>
                <c:pt idx="13">
                  <c:v>Lleida</c:v>
                </c:pt>
                <c:pt idx="14">
                  <c:v>Cádiz</c:v>
                </c:pt>
                <c:pt idx="15">
                  <c:v>Soria</c:v>
                </c:pt>
                <c:pt idx="16">
                  <c:v>Huesca</c:v>
                </c:pt>
              </c:strCache>
            </c:strRef>
          </c:cat>
          <c:val>
            <c:numRef>
              <c:f>forecast!$M$20740:$M$20901</c:f>
            </c:numRef>
          </c:val>
          <c:extLst>
            <c:ext xmlns:c16="http://schemas.microsoft.com/office/drawing/2014/chart" uri="{C3380CC4-5D6E-409C-BE32-E72D297353CC}">
              <c16:uniqueId val="{00000001-ED7C-4816-AB6F-9AF6650FBFB2}"/>
            </c:ext>
          </c:extLst>
        </c:ser>
        <c:ser>
          <c:idx val="2"/>
          <c:order val="2"/>
          <c:spPr>
            <a:solidFill>
              <a:schemeClr val="accent3"/>
            </a:solidFill>
            <a:ln>
              <a:noFill/>
            </a:ln>
            <a:effectLst/>
          </c:spPr>
          <c:invertIfNegative val="0"/>
          <c:cat>
            <c:strRef>
              <c:f>forecast!$G$20740:$K$20901</c:f>
              <c:strCache>
                <c:ptCount val="17"/>
                <c:pt idx="0">
                  <c:v>Jaén</c:v>
                </c:pt>
                <c:pt idx="1">
                  <c:v>Cáceres</c:v>
                </c:pt>
                <c:pt idx="2">
                  <c:v>Vigo</c:v>
                </c:pt>
                <c:pt idx="3">
                  <c:v>Logroño</c:v>
                </c:pt>
                <c:pt idx="4">
                  <c:v>La Coruña</c:v>
                </c:pt>
                <c:pt idx="5">
                  <c:v>Segovia</c:v>
                </c:pt>
                <c:pt idx="6">
                  <c:v>Pamplona</c:v>
                </c:pt>
                <c:pt idx="7">
                  <c:v>Alicante</c:v>
                </c:pt>
                <c:pt idx="8">
                  <c:v>Teruel</c:v>
                </c:pt>
                <c:pt idx="9">
                  <c:v>Orense</c:v>
                </c:pt>
                <c:pt idx="10">
                  <c:v>Cuenca</c:v>
                </c:pt>
                <c:pt idx="11">
                  <c:v>Murcia</c:v>
                </c:pt>
                <c:pt idx="12">
                  <c:v>Palma</c:v>
                </c:pt>
                <c:pt idx="13">
                  <c:v>Lleida</c:v>
                </c:pt>
                <c:pt idx="14">
                  <c:v>Cádiz</c:v>
                </c:pt>
                <c:pt idx="15">
                  <c:v>Soria</c:v>
                </c:pt>
                <c:pt idx="16">
                  <c:v>Huesca</c:v>
                </c:pt>
              </c:strCache>
            </c:strRef>
          </c:cat>
          <c:val>
            <c:numRef>
              <c:f>forecast!$N$20740:$N$20901</c:f>
            </c:numRef>
          </c:val>
          <c:extLst>
            <c:ext xmlns:c16="http://schemas.microsoft.com/office/drawing/2014/chart" uri="{C3380CC4-5D6E-409C-BE32-E72D297353CC}">
              <c16:uniqueId val="{00000002-ED7C-4816-AB6F-9AF6650FBFB2}"/>
            </c:ext>
          </c:extLst>
        </c:ser>
        <c:ser>
          <c:idx val="3"/>
          <c:order val="3"/>
          <c:spPr>
            <a:gradFill>
              <a:gsLst>
                <a:gs pos="66000">
                  <a:srgbClr val="DE14D4"/>
                </a:gs>
                <a:gs pos="0">
                  <a:schemeClr val="bg1"/>
                </a:gs>
              </a:gsLst>
              <a:lin ang="5400000" scaled="1"/>
            </a:gradFill>
            <a:ln>
              <a:noFill/>
            </a:ln>
            <a:effectLst/>
          </c:spPr>
          <c:invertIfNegative val="0"/>
          <c:cat>
            <c:strRef>
              <c:f>forecast!$G$20740:$K$20901</c:f>
              <c:strCache>
                <c:ptCount val="17"/>
                <c:pt idx="0">
                  <c:v>Jaén</c:v>
                </c:pt>
                <c:pt idx="1">
                  <c:v>Cáceres</c:v>
                </c:pt>
                <c:pt idx="2">
                  <c:v>Vigo</c:v>
                </c:pt>
                <c:pt idx="3">
                  <c:v>Logroño</c:v>
                </c:pt>
                <c:pt idx="4">
                  <c:v>La Coruña</c:v>
                </c:pt>
                <c:pt idx="5">
                  <c:v>Segovia</c:v>
                </c:pt>
                <c:pt idx="6">
                  <c:v>Pamplona</c:v>
                </c:pt>
                <c:pt idx="7">
                  <c:v>Alicante</c:v>
                </c:pt>
                <c:pt idx="8">
                  <c:v>Teruel</c:v>
                </c:pt>
                <c:pt idx="9">
                  <c:v>Orense</c:v>
                </c:pt>
                <c:pt idx="10">
                  <c:v>Cuenca</c:v>
                </c:pt>
                <c:pt idx="11">
                  <c:v>Murcia</c:v>
                </c:pt>
                <c:pt idx="12">
                  <c:v>Palma</c:v>
                </c:pt>
                <c:pt idx="13">
                  <c:v>Lleida</c:v>
                </c:pt>
                <c:pt idx="14">
                  <c:v>Cádiz</c:v>
                </c:pt>
                <c:pt idx="15">
                  <c:v>Soria</c:v>
                </c:pt>
                <c:pt idx="16">
                  <c:v>Huesca</c:v>
                </c:pt>
              </c:strCache>
            </c:strRef>
          </c:cat>
          <c:val>
            <c:numRef>
              <c:f>forecast!$O$20740:$O$20901</c:f>
              <c:numCache>
                <c:formatCode>0.0</c:formatCode>
                <c:ptCount val="17"/>
                <c:pt idx="0">
                  <c:v>-0.53</c:v>
                </c:pt>
                <c:pt idx="1">
                  <c:v>-0.54</c:v>
                </c:pt>
                <c:pt idx="2">
                  <c:v>-0.67</c:v>
                </c:pt>
                <c:pt idx="3">
                  <c:v>-0.87</c:v>
                </c:pt>
                <c:pt idx="4">
                  <c:v>-1.65</c:v>
                </c:pt>
                <c:pt idx="5">
                  <c:v>-2.0699999999999998</c:v>
                </c:pt>
                <c:pt idx="6">
                  <c:v>-2.11</c:v>
                </c:pt>
                <c:pt idx="7">
                  <c:v>-2.57</c:v>
                </c:pt>
                <c:pt idx="8">
                  <c:v>-2.87</c:v>
                </c:pt>
                <c:pt idx="9">
                  <c:v>-2.94</c:v>
                </c:pt>
                <c:pt idx="10">
                  <c:v>-3.08</c:v>
                </c:pt>
                <c:pt idx="11">
                  <c:v>-3.21</c:v>
                </c:pt>
                <c:pt idx="12">
                  <c:v>-3.59</c:v>
                </c:pt>
                <c:pt idx="13">
                  <c:v>-5.86</c:v>
                </c:pt>
                <c:pt idx="14">
                  <c:v>-6.08</c:v>
                </c:pt>
                <c:pt idx="15">
                  <c:v>-10.78</c:v>
                </c:pt>
                <c:pt idx="16">
                  <c:v>-15</c:v>
                </c:pt>
              </c:numCache>
            </c:numRef>
          </c:val>
          <c:extLst>
            <c:ext xmlns:c16="http://schemas.microsoft.com/office/drawing/2014/chart" uri="{C3380CC4-5D6E-409C-BE32-E72D297353CC}">
              <c16:uniqueId val="{00000003-ED7C-4816-AB6F-9AF6650FBFB2}"/>
            </c:ext>
          </c:extLst>
        </c:ser>
        <c:dLbls>
          <c:showLegendKey val="0"/>
          <c:showVal val="0"/>
          <c:showCatName val="0"/>
          <c:showSerName val="0"/>
          <c:showPercent val="0"/>
          <c:showBubbleSize val="0"/>
        </c:dLbls>
        <c:gapWidth val="219"/>
        <c:overlap val="-27"/>
        <c:axId val="716936191"/>
        <c:axId val="716936671"/>
      </c:barChart>
      <c:catAx>
        <c:axId val="716936191"/>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716936671"/>
        <c:crosses val="autoZero"/>
        <c:auto val="1"/>
        <c:lblAlgn val="ctr"/>
        <c:lblOffset val="100"/>
        <c:tickLblSkip val="1"/>
        <c:noMultiLvlLbl val="0"/>
      </c:catAx>
      <c:valAx>
        <c:axId val="716936671"/>
        <c:scaling>
          <c:orientation val="minMax"/>
          <c:max val="0"/>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716936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VMwzau667yzXzILcdgFDKz4+g==">CgMxLjAyDmguOHcyejY4eWczdmM4MgloLjMwajB6bGwyDWgucm5wYWs4Mjc2ZWoyDmguMTBjczlheXF5ZGVlMg5oLjlnZG9tOGd3NHJ6bzIJaC4yczhleW8xMg5oLnZyeTUxenUxNTE4MzgAciExN3dXNzFMdXNHMzNVODBLaGNmRU9CWm1oV0lQT3pqNmk=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1597</Words>
  <Characters>8785</Characters>
  <Application>Microsoft Office Word</Application>
  <DocSecurity>0</DocSecurity>
  <Lines>73</Lines>
  <Paragraphs>20</Paragraphs>
  <ScaleCrop>false</ScaleCrop>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5</cp:revision>
  <dcterms:created xsi:type="dcterms:W3CDTF">2025-07-03T08:42:00Z</dcterms:created>
  <dcterms:modified xsi:type="dcterms:W3CDTF">2025-10-13T14:10:00Z</dcterms:modified>
</cp:coreProperties>
</file>