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9E8BA" w14:textId="77777777" w:rsidR="00E23B49"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 xml:space="preserve">ÍNDICE PREDICTIVO DE PRECIOS </w:t>
      </w:r>
    </w:p>
    <w:p w14:paraId="5D0218B6" w14:textId="77777777" w:rsidR="00E23B49" w:rsidRDefault="00000000">
      <w:pPr>
        <w:ind w:right="-560"/>
        <w:jc w:val="center"/>
        <w:rPr>
          <w:rFonts w:ascii="National" w:eastAsia="National" w:hAnsi="National" w:cs="National"/>
          <w:b/>
          <w:color w:val="002060"/>
          <w:sz w:val="46"/>
          <w:szCs w:val="46"/>
        </w:rPr>
      </w:pPr>
      <w:r>
        <w:rPr>
          <w:rFonts w:ascii="National" w:eastAsia="National" w:hAnsi="National" w:cs="National"/>
          <w:b/>
          <w:color w:val="002060"/>
          <w:sz w:val="46"/>
          <w:szCs w:val="46"/>
        </w:rPr>
        <w:t>La IA prevé cómo evolucionará el precio de la vivienda a cierre de 2025: Palencia, Castellón y Oviedo registrarán las mayores subidas de precios en compraventa</w:t>
      </w:r>
    </w:p>
    <w:p w14:paraId="347AE299" w14:textId="77777777" w:rsidR="00E23B49" w:rsidRDefault="00E23B49">
      <w:pPr>
        <w:spacing w:line="276" w:lineRule="auto"/>
        <w:ind w:right="-560"/>
        <w:jc w:val="both"/>
        <w:rPr>
          <w:rFonts w:ascii="Open Sans" w:eastAsia="Open Sans" w:hAnsi="Open Sans" w:cs="Open Sans"/>
          <w:color w:val="002060"/>
        </w:rPr>
      </w:pPr>
    </w:p>
    <w:p w14:paraId="6953D14F" w14:textId="77777777" w:rsidR="00E23B49"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color w:val="002060"/>
        </w:rPr>
        <w:t>índice predictivo de compra DataVenues</w:t>
      </w:r>
      <w:r>
        <w:rPr>
          <w:rFonts w:ascii="Open Sans" w:eastAsia="Open Sans" w:hAnsi="Open Sans" w:cs="Open Sans"/>
          <w:color w:val="002060"/>
        </w:rPr>
        <w:t xml:space="preserve"> de Fotocasa prevé subidas de precio en 33 ciudades al final del cuarto trimestre</w:t>
      </w:r>
    </w:p>
    <w:p w14:paraId="4F91B9B6" w14:textId="77777777" w:rsidR="00E23B49" w:rsidRDefault="00000000">
      <w:pPr>
        <w:numPr>
          <w:ilvl w:val="0"/>
          <w:numId w:val="1"/>
        </w:numPr>
        <w:spacing w:line="276" w:lineRule="auto"/>
        <w:ind w:right="-560"/>
        <w:jc w:val="both"/>
        <w:rPr>
          <w:rFonts w:ascii="Open Sans" w:eastAsia="Open Sans" w:hAnsi="Open Sans" w:cs="Open Sans"/>
          <w:color w:val="002060"/>
        </w:rPr>
      </w:pPr>
      <w:bookmarkStart w:id="0" w:name="_heading=h.a1vx1f7iwclf" w:colFirst="0" w:colLast="0"/>
      <w:bookmarkEnd w:id="0"/>
      <w:r>
        <w:rPr>
          <w:rFonts w:ascii="Open Sans" w:eastAsia="Open Sans" w:hAnsi="Open Sans" w:cs="Open Sans"/>
          <w:color w:val="002060"/>
        </w:rPr>
        <w:t>Palencia (+4,6%), Castellón de la Plana (+4,1%), y Oviedo (+4,1%) registrarán las mayores subidas de precios</w:t>
      </w:r>
    </w:p>
    <w:p w14:paraId="248E582E" w14:textId="77777777" w:rsidR="00E23B49"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En el otro extremo, capitales de provincia como León (-5,5%), Murcia (-3,5%) y Girona (-2,5%) experimentarán los mayores descensos trimestrales en las valoraciones del mercado</w:t>
      </w:r>
    </w:p>
    <w:p w14:paraId="03D9A71E" w14:textId="77777777" w:rsidR="00E23B49" w:rsidRDefault="00E23B49">
      <w:pPr>
        <w:spacing w:line="276" w:lineRule="auto"/>
        <w:ind w:left="360" w:right="-560"/>
        <w:jc w:val="both"/>
        <w:rPr>
          <w:rFonts w:ascii="Open Sans" w:eastAsia="Open Sans" w:hAnsi="Open Sans" w:cs="Open Sans"/>
          <w:color w:val="002060"/>
        </w:rPr>
      </w:pPr>
    </w:p>
    <w:p w14:paraId="4FECEB89" w14:textId="77777777" w:rsidR="00E23B49"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9 de octubre de 2025</w:t>
      </w:r>
    </w:p>
    <w:p w14:paraId="4F14C51B" w14:textId="77777777" w:rsidR="00E23B49" w:rsidRDefault="00E23B49">
      <w:pPr>
        <w:spacing w:line="276" w:lineRule="auto"/>
        <w:ind w:right="-560"/>
        <w:jc w:val="both"/>
        <w:rPr>
          <w:rFonts w:ascii="Open Sans" w:eastAsia="Open Sans" w:hAnsi="Open Sans" w:cs="Open Sans"/>
          <w:sz w:val="22"/>
          <w:szCs w:val="22"/>
        </w:rPr>
      </w:pPr>
    </w:p>
    <w:p w14:paraId="6ADA6A95" w14:textId="77777777" w:rsidR="00E23B49"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La Inteligencia Artificial prevé que las ciudades de Palencia (+4,6%), Castellón de la Plana (+4,1%), y Oviedo (+4,1%) registren las mayores subidas de precios de compraventa de viviendas de toda España a nivel trimestral (es decir, comparando la evolución estimada entre 1 de octubre y el 31 de diciembre de 2025). </w:t>
      </w:r>
      <w:r>
        <w:rPr>
          <w:rFonts w:ascii="Open Sans" w:eastAsia="Open Sans" w:hAnsi="Open Sans" w:cs="Open Sans"/>
          <w:b/>
          <w:color w:val="262626"/>
          <w:sz w:val="22"/>
          <w:szCs w:val="22"/>
        </w:rPr>
        <w:t xml:space="preserve">Estas son las principales estimaciones del </w:t>
      </w:r>
      <w:r>
        <w:rPr>
          <w:rFonts w:ascii="Open Sans" w:eastAsia="Open Sans" w:hAnsi="Open Sans" w:cs="Open Sans"/>
          <w:b/>
          <w:i/>
          <w:color w:val="262626"/>
          <w:sz w:val="22"/>
          <w:szCs w:val="22"/>
        </w:rPr>
        <w:t xml:space="preserve">Índice predictivo de compra </w:t>
      </w:r>
      <w:hyperlink r:id="rId8">
        <w:r>
          <w:rPr>
            <w:rFonts w:ascii="Open Sans" w:eastAsia="Open Sans" w:hAnsi="Open Sans" w:cs="Open Sans"/>
            <w:b/>
            <w:i/>
            <w:color w:val="0000FF"/>
            <w:sz w:val="22"/>
            <w:szCs w:val="22"/>
            <w:u w:val="single"/>
          </w:rPr>
          <w:t>DataVenues</w:t>
        </w:r>
      </w:hyperlink>
      <w:r>
        <w:rPr>
          <w:rFonts w:ascii="Open Sans" w:eastAsia="Open Sans" w:hAnsi="Open Sans" w:cs="Open Sans"/>
          <w:b/>
          <w:color w:val="262626"/>
          <w:sz w:val="22"/>
          <w:szCs w:val="22"/>
        </w:rPr>
        <w:t> de </w:t>
      </w:r>
      <w:hyperlink r:id="rId9">
        <w:r>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xml:space="preserve">, que permite adelantarse al comportamiento del mercado y prever la evolución de los precios de la vivienda de compra a nivel trimestral. </w:t>
      </w:r>
      <w:r>
        <w:rPr>
          <w:rFonts w:ascii="Open Sans" w:eastAsia="Open Sans" w:hAnsi="Open Sans" w:cs="Open Sans"/>
          <w:color w:val="262626"/>
          <w:sz w:val="22"/>
          <w:szCs w:val="22"/>
        </w:rPr>
        <w:t xml:space="preserve">Desde enero de 2025,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5837C4CC" w14:textId="77777777" w:rsidR="00E23B49" w:rsidRDefault="00E23B49">
      <w:pPr>
        <w:spacing w:line="276" w:lineRule="auto"/>
        <w:ind w:right="-560"/>
        <w:jc w:val="both"/>
        <w:rPr>
          <w:rFonts w:ascii="Open Sans" w:eastAsia="Open Sans" w:hAnsi="Open Sans" w:cs="Open Sans"/>
          <w:color w:val="262626"/>
          <w:sz w:val="22"/>
          <w:szCs w:val="22"/>
        </w:rPr>
      </w:pPr>
      <w:bookmarkStart w:id="2" w:name="_heading=h.b91t3ebwymq3" w:colFirst="0" w:colLast="0"/>
      <w:bookmarkEnd w:id="2"/>
    </w:p>
    <w:p w14:paraId="6E85AAE3" w14:textId="77777777" w:rsidR="00E23B49" w:rsidRDefault="00000000">
      <w:pPr>
        <w:spacing w:line="276" w:lineRule="auto"/>
        <w:ind w:right="-560"/>
        <w:jc w:val="both"/>
        <w:rPr>
          <w:rFonts w:ascii="Open Sans" w:eastAsia="Open Sans" w:hAnsi="Open Sans" w:cs="Open Sans"/>
          <w:b/>
          <w:color w:val="000000"/>
          <w:sz w:val="22"/>
          <w:szCs w:val="22"/>
        </w:rPr>
      </w:pPr>
      <w:bookmarkStart w:id="3" w:name="_heading=h.gmepf24w3prf" w:colFirst="0" w:colLast="0"/>
      <w:bookmarkEnd w:id="3"/>
      <w:r>
        <w:rPr>
          <w:rFonts w:ascii="Open Sans" w:eastAsia="Open Sans" w:hAnsi="Open Sans" w:cs="Open Sans"/>
          <w:color w:val="262626"/>
          <w:sz w:val="22"/>
          <w:szCs w:val="22"/>
        </w:rPr>
        <w:t xml:space="preserve">“Las previsiones apuntan a que el mayor dinamismo del mercado se concentrará en las plazas secundarias, en aquellas ciudades que aún tienen margen de crecimiento y que, en los últimos trimestres, han empezado a recibir un volumen notable de demanda desplazada desde las grandes capitales. Este fenómeno responde a la búsqueda de alternativas más asequibles ante la escalada de precios en los grandes núcleos urbanos, donde el esfuerzo económico requerido para comprar una vivienda es cada vez mayor. Aun así, las subidas que indican las previsiones estarían por debajo del crecimiento </w:t>
      </w:r>
      <w:r>
        <w:rPr>
          <w:rFonts w:ascii="Open Sans" w:eastAsia="Open Sans" w:hAnsi="Open Sans" w:cs="Open Sans"/>
          <w:color w:val="262626"/>
          <w:sz w:val="22"/>
          <w:szCs w:val="22"/>
        </w:rPr>
        <w:lastRenderedPageBreak/>
        <w:t xml:space="preserve">habitual del mercado, por lo que sería un incremento moderado y sostenido, más vinculado a un proceso de ajuste natural que a un nuevo ciclo expansivo”, </w:t>
      </w:r>
      <w:r>
        <w:rPr>
          <w:rFonts w:ascii="Open Sans" w:eastAsia="Open Sans" w:hAnsi="Open Sans" w:cs="Open Sans"/>
          <w:b/>
          <w:color w:val="262626"/>
          <w:sz w:val="22"/>
          <w:szCs w:val="22"/>
        </w:rPr>
        <w:t xml:space="preserve">explica María Matos, directora de Estudios de </w:t>
      </w:r>
      <w:hyperlink r:id="rId11">
        <w:r>
          <w:rPr>
            <w:rFonts w:ascii="Open Sans" w:eastAsia="Open Sans" w:hAnsi="Open Sans" w:cs="Open Sans"/>
            <w:b/>
            <w:color w:val="1155CC"/>
            <w:sz w:val="22"/>
            <w:szCs w:val="22"/>
            <w:u w:val="single"/>
          </w:rPr>
          <w:t>Fotocasa</w:t>
        </w:r>
      </w:hyperlink>
      <w:r>
        <w:rPr>
          <w:rFonts w:ascii="Open Sans" w:eastAsia="Open Sans" w:hAnsi="Open Sans" w:cs="Open Sans"/>
          <w:color w:val="262626"/>
          <w:sz w:val="22"/>
          <w:szCs w:val="22"/>
        </w:rPr>
        <w:t xml:space="preserve">. </w:t>
      </w:r>
    </w:p>
    <w:p w14:paraId="18F9AC12" w14:textId="77777777" w:rsidR="00E23B49" w:rsidRDefault="00E23B49">
      <w:pPr>
        <w:spacing w:line="276" w:lineRule="auto"/>
        <w:ind w:right="-560"/>
        <w:jc w:val="both"/>
        <w:rPr>
          <w:rFonts w:ascii="Open Sans" w:eastAsia="Open Sans" w:hAnsi="Open Sans" w:cs="Open Sans"/>
          <w:b/>
          <w:color w:val="000000"/>
          <w:sz w:val="22"/>
          <w:szCs w:val="22"/>
        </w:rPr>
      </w:pPr>
    </w:p>
    <w:p w14:paraId="3D4AEDB4" w14:textId="77777777" w:rsidR="00E23B49"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Subirán los precios en 33 ciudades al cierre del tercer trimestre</w:t>
      </w:r>
    </w:p>
    <w:p w14:paraId="7E8DF0F2" w14:textId="77777777" w:rsidR="00E23B49" w:rsidRDefault="00E23B49">
      <w:pPr>
        <w:spacing w:line="276" w:lineRule="auto"/>
        <w:ind w:right="-560"/>
        <w:jc w:val="both"/>
        <w:rPr>
          <w:rFonts w:ascii="Open Sans" w:eastAsia="Open Sans" w:hAnsi="Open Sans" w:cs="Open Sans"/>
          <w:color w:val="262626"/>
          <w:sz w:val="22"/>
          <w:szCs w:val="22"/>
        </w:rPr>
      </w:pPr>
    </w:p>
    <w:p w14:paraId="26617CF6" w14:textId="77777777" w:rsidR="00E23B49" w:rsidRDefault="00000000">
      <w:pPr>
        <w:spacing w:line="276" w:lineRule="auto"/>
        <w:ind w:right="-560"/>
        <w:jc w:val="both"/>
        <w:rPr>
          <w:rFonts w:ascii="Open Sans" w:eastAsia="Open Sans" w:hAnsi="Open Sans" w:cs="Open Sans"/>
          <w:color w:val="262626"/>
          <w:sz w:val="22"/>
          <w:szCs w:val="22"/>
        </w:rPr>
      </w:pPr>
      <w:bookmarkStart w:id="4" w:name="_heading=h.z83tdqvwkczi" w:colFirst="0" w:colLast="0"/>
      <w:bookmarkEnd w:id="4"/>
      <w:r>
        <w:rPr>
          <w:rFonts w:ascii="Open Sans" w:eastAsia="Open Sans" w:hAnsi="Open Sans" w:cs="Open Sans"/>
          <w:color w:val="262626"/>
          <w:sz w:val="22"/>
          <w:szCs w:val="22"/>
        </w:rPr>
        <w:t xml:space="preserve">Según la previsión del algoritmo, el número de capitales con valores de compraventa alcistas se mantiene prácticamente igual (pasan de 32 a 33). </w:t>
      </w:r>
      <w:r>
        <w:rPr>
          <w:rFonts w:ascii="Open Sans" w:eastAsia="Open Sans" w:hAnsi="Open Sans" w:cs="Open Sans"/>
          <w:b/>
          <w:color w:val="262626"/>
          <w:sz w:val="22"/>
          <w:szCs w:val="22"/>
        </w:rPr>
        <w:t>Las zonas con las subidas más pronunciadas se encuentran generalmente en el interior norte y noroeste peninsular</w:t>
      </w:r>
      <w:r>
        <w:rPr>
          <w:rFonts w:ascii="Open Sans" w:eastAsia="Open Sans" w:hAnsi="Open Sans" w:cs="Open Sans"/>
          <w:color w:val="262626"/>
          <w:sz w:val="22"/>
          <w:szCs w:val="22"/>
        </w:rPr>
        <w:t xml:space="preserve">, como en el caso de Palencia (+4,6%), Oviedo (+4,1%), Segovia (+4,0%), Ourense (+3,2%), Ávila (+1,6%), Zamora (+1,4%), y Salamanca (+1,4%), con la excepción de León, que registra un descenso del 5,5%). También aumentarán de precios Burgos (+2,3%), Valladolid (+1,9%), Pontevedra (+2,4%), Logroño (+2,6 %) y Guadalajara (+2,4 %). </w:t>
      </w:r>
    </w:p>
    <w:p w14:paraId="0503A564" w14:textId="77777777" w:rsidR="00E23B49" w:rsidRDefault="00E23B49">
      <w:pPr>
        <w:spacing w:line="276" w:lineRule="auto"/>
        <w:ind w:right="-560"/>
        <w:jc w:val="both"/>
        <w:rPr>
          <w:rFonts w:ascii="Open Sans" w:eastAsia="Open Sans" w:hAnsi="Open Sans" w:cs="Open Sans"/>
          <w:color w:val="262626"/>
          <w:sz w:val="22"/>
          <w:szCs w:val="22"/>
        </w:rPr>
      </w:pPr>
    </w:p>
    <w:p w14:paraId="77EC8D65" w14:textId="77777777" w:rsidR="00E23B49" w:rsidRDefault="00000000">
      <w:pPr>
        <w:spacing w:line="276" w:lineRule="auto"/>
        <w:ind w:right="-560"/>
        <w:jc w:val="center"/>
        <w:rPr>
          <w:rFonts w:ascii="Open Sans" w:eastAsia="Open Sans" w:hAnsi="Open Sans" w:cs="Open Sans"/>
          <w:b/>
          <w:color w:val="002060"/>
          <w:sz w:val="22"/>
          <w:szCs w:val="22"/>
        </w:rPr>
      </w:pPr>
      <w:r>
        <w:rPr>
          <w:rFonts w:ascii="Open Sans" w:eastAsia="Open Sans" w:hAnsi="Open Sans" w:cs="Open Sans"/>
          <w:b/>
          <w:color w:val="002060"/>
          <w:sz w:val="22"/>
          <w:szCs w:val="22"/>
        </w:rPr>
        <w:t>Ciudades en las que más subirá el precio de la vivienda en venta</w:t>
      </w:r>
    </w:p>
    <w:p w14:paraId="48F95201" w14:textId="77777777" w:rsidR="00E23B49" w:rsidRDefault="00E23B49">
      <w:pPr>
        <w:spacing w:line="276" w:lineRule="auto"/>
        <w:ind w:right="-560"/>
        <w:jc w:val="both"/>
        <w:rPr>
          <w:rFonts w:ascii="Open Sans" w:eastAsia="Open Sans" w:hAnsi="Open Sans" w:cs="Open Sans"/>
          <w:color w:val="262626"/>
          <w:sz w:val="22"/>
          <w:szCs w:val="22"/>
        </w:rPr>
      </w:pPr>
    </w:p>
    <w:p w14:paraId="1FCBC303" w14:textId="77777777" w:rsidR="00E23B49"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29C5057F" wp14:editId="067099E1">
            <wp:extent cx="5396230" cy="2933700"/>
            <wp:effectExtent l="0" t="0" r="0" b="0"/>
            <wp:docPr id="1771045150" name="Gráfico 1771045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050AFA" w14:textId="77777777" w:rsidR="00E23B49"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Igualmente, </w:t>
      </w:r>
      <w:r>
        <w:rPr>
          <w:rFonts w:ascii="Open Sans" w:eastAsia="Open Sans" w:hAnsi="Open Sans" w:cs="Open Sans"/>
          <w:b/>
          <w:color w:val="262626"/>
          <w:sz w:val="22"/>
          <w:szCs w:val="22"/>
        </w:rPr>
        <w:t xml:space="preserve">la herramienta prevé subidas destacables en el centro y la franja oriental del país: </w:t>
      </w:r>
      <w:r>
        <w:rPr>
          <w:rFonts w:ascii="Open Sans" w:eastAsia="Open Sans" w:hAnsi="Open Sans" w:cs="Open Sans"/>
          <w:color w:val="262626"/>
          <w:sz w:val="22"/>
          <w:szCs w:val="22"/>
        </w:rPr>
        <w:t xml:space="preserve">Castellón de la Plana (+4,1%), Albacete (+2,5%), Madrid (+1,2%) y Valencia (+2,0%). El suroeste peninsular también cuenta con capitales de provincia con notables incrementos de precios, como es el caso de Huelva (+3,5%) y Cáceres (+3,3%). Por otro lado, el modelo estima zonas de incrementos moderados (o precios prácticamente estables) en Granada (+1,8%), Jaén (+1,8%), Córdoba (+2,0%), A Coruña (+1,1%), Santander (+0,9%), Las Palmas de Gran Canaria (+0,9%), Barcelona (+0,8%), </w:t>
      </w:r>
      <w:r>
        <w:rPr>
          <w:rFonts w:ascii="Open Sans" w:eastAsia="Open Sans" w:hAnsi="Open Sans" w:cs="Open Sans"/>
          <w:color w:val="262626"/>
          <w:sz w:val="22"/>
          <w:szCs w:val="22"/>
        </w:rPr>
        <w:lastRenderedPageBreak/>
        <w:t>Málaga (+0,8%), Lugo (+0,5%), Ciudad Real (+0,4%), San Sebastián (+0,3%), Palma (+0,3%), Vigo (+0,2%), Zaragoza (+0,1%) y Vitoria (+0,1%).</w:t>
      </w:r>
    </w:p>
    <w:p w14:paraId="75AD59A0" w14:textId="77777777" w:rsidR="00425251" w:rsidRDefault="00425251">
      <w:pPr>
        <w:spacing w:line="276" w:lineRule="auto"/>
        <w:ind w:right="-560"/>
        <w:jc w:val="both"/>
        <w:rPr>
          <w:rFonts w:ascii="Open Sans" w:eastAsia="Open Sans" w:hAnsi="Open Sans" w:cs="Open Sans"/>
          <w:color w:val="262626"/>
          <w:sz w:val="22"/>
          <w:szCs w:val="22"/>
        </w:rPr>
      </w:pPr>
    </w:p>
    <w:p w14:paraId="4782FE33" w14:textId="77777777" w:rsidR="00E23B49"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Las ciudades donde la IA prevé que bajen los precios a final de año</w:t>
      </w:r>
    </w:p>
    <w:p w14:paraId="075EBB27" w14:textId="77777777" w:rsidR="00E23B49" w:rsidRDefault="00E23B49">
      <w:pPr>
        <w:spacing w:line="276" w:lineRule="auto"/>
        <w:ind w:right="-560"/>
        <w:jc w:val="both"/>
        <w:rPr>
          <w:rFonts w:ascii="Open Sans" w:eastAsia="Open Sans" w:hAnsi="Open Sans" w:cs="Open Sans"/>
          <w:b/>
          <w:color w:val="002060"/>
        </w:rPr>
      </w:pPr>
    </w:p>
    <w:p w14:paraId="303FF87F" w14:textId="77777777" w:rsidR="00E23B49" w:rsidRDefault="00000000">
      <w:pPr>
        <w:spacing w:line="276" w:lineRule="auto"/>
        <w:ind w:right="-560"/>
        <w:jc w:val="both"/>
        <w:rPr>
          <w:rFonts w:ascii="Open Sans" w:eastAsia="Open Sans" w:hAnsi="Open Sans" w:cs="Open Sans"/>
          <w:color w:val="262626"/>
          <w:sz w:val="22"/>
          <w:szCs w:val="22"/>
        </w:rPr>
      </w:pPr>
      <w:bookmarkStart w:id="5" w:name="_heading=h.smoqfr7jl9xh" w:colFirst="0" w:colLast="0"/>
      <w:bookmarkEnd w:id="5"/>
      <w:r>
        <w:rPr>
          <w:rFonts w:ascii="Open Sans" w:eastAsia="Open Sans" w:hAnsi="Open Sans" w:cs="Open Sans"/>
          <w:color w:val="262626"/>
          <w:sz w:val="22"/>
          <w:szCs w:val="22"/>
        </w:rPr>
        <w:t xml:space="preserve">El Índice Predictivo de Precios de </w:t>
      </w:r>
      <w:hyperlink r:id="rId13">
        <w:r>
          <w:rPr>
            <w:rFonts w:ascii="Open Sans" w:eastAsia="Open Sans" w:hAnsi="Open Sans" w:cs="Open Sans"/>
            <w:color w:val="0000FF"/>
            <w:sz w:val="22"/>
            <w:szCs w:val="22"/>
            <w:u w:val="single"/>
          </w:rPr>
          <w:t>DataVenues</w:t>
        </w:r>
      </w:hyperlink>
      <w:r>
        <w:rPr>
          <w:rFonts w:ascii="Open Sans" w:eastAsia="Open Sans" w:hAnsi="Open Sans" w:cs="Open Sans"/>
          <w:color w:val="262626"/>
          <w:sz w:val="22"/>
          <w:szCs w:val="22"/>
        </w:rPr>
        <w:t xml:space="preserve"> estima que los precios bajarán en doce capitales de provincia al cierre del cuarto trimestre. </w:t>
      </w:r>
      <w:r>
        <w:rPr>
          <w:rFonts w:ascii="Open Sans" w:eastAsia="Open Sans" w:hAnsi="Open Sans" w:cs="Open Sans"/>
          <w:b/>
          <w:color w:val="262626"/>
          <w:sz w:val="22"/>
          <w:szCs w:val="22"/>
        </w:rPr>
        <w:t>Las ciudades donde se prevé que se registren mayores descensos en los precios de la vivienda son León (-5,5%), Murcia (-3,5%), Girona (-2,5%), y Huesca (-1,1%).</w:t>
      </w:r>
      <w:r>
        <w:rPr>
          <w:rFonts w:ascii="Open Sans" w:eastAsia="Open Sans" w:hAnsi="Open Sans" w:cs="Open Sans"/>
          <w:color w:val="262626"/>
          <w:sz w:val="22"/>
          <w:szCs w:val="22"/>
        </w:rPr>
        <w:t xml:space="preserve"> También experimentarán descensos trimestrales más suaves (situándose por debajo del 1%) otras localidades como Almería (-0,9%), Pamplona (-0,6%), Badajoz (-0,5%), Santa Cruz de Tenerife (-0,4%), Cádiz (-0,4%), Sevilla (-0,3%), Cuenca (-0,1%), y Alicante (-0,1%). Por otro lado, las ciudades sin variaciones de precios serán seis: Lleida, Bilbao, Soria, Toledo, Teruel, y Tarragona.</w:t>
      </w:r>
    </w:p>
    <w:p w14:paraId="3D0459DB" w14:textId="77777777" w:rsidR="00425251" w:rsidRDefault="00425251">
      <w:pPr>
        <w:spacing w:line="276" w:lineRule="auto"/>
        <w:ind w:right="-560"/>
        <w:jc w:val="both"/>
        <w:rPr>
          <w:rFonts w:ascii="Open Sans" w:eastAsia="Open Sans" w:hAnsi="Open Sans" w:cs="Open Sans"/>
          <w:color w:val="262626"/>
          <w:sz w:val="22"/>
          <w:szCs w:val="22"/>
        </w:rPr>
      </w:pPr>
    </w:p>
    <w:p w14:paraId="2EE02786" w14:textId="2B1740D7" w:rsidR="00425251" w:rsidRDefault="00425251" w:rsidP="00425251">
      <w:pPr>
        <w:spacing w:line="276" w:lineRule="auto"/>
        <w:ind w:right="-560"/>
        <w:jc w:val="center"/>
        <w:rPr>
          <w:rFonts w:ascii="Open Sans" w:eastAsia="Open Sans" w:hAnsi="Open Sans" w:cs="Open Sans"/>
          <w:b/>
          <w:color w:val="002060"/>
          <w:sz w:val="22"/>
          <w:szCs w:val="22"/>
        </w:rPr>
      </w:pPr>
      <w:r>
        <w:rPr>
          <w:rFonts w:ascii="Open Sans" w:eastAsia="Open Sans" w:hAnsi="Open Sans" w:cs="Open Sans"/>
          <w:b/>
          <w:color w:val="002060"/>
          <w:sz w:val="22"/>
          <w:szCs w:val="22"/>
        </w:rPr>
        <w:t xml:space="preserve">Ciudades en las que más </w:t>
      </w:r>
      <w:r>
        <w:rPr>
          <w:rFonts w:ascii="Open Sans" w:eastAsia="Open Sans" w:hAnsi="Open Sans" w:cs="Open Sans"/>
          <w:b/>
          <w:color w:val="002060"/>
          <w:sz w:val="22"/>
          <w:szCs w:val="22"/>
        </w:rPr>
        <w:t>bajará</w:t>
      </w:r>
      <w:r>
        <w:rPr>
          <w:rFonts w:ascii="Open Sans" w:eastAsia="Open Sans" w:hAnsi="Open Sans" w:cs="Open Sans"/>
          <w:b/>
          <w:color w:val="002060"/>
          <w:sz w:val="22"/>
          <w:szCs w:val="22"/>
        </w:rPr>
        <w:t xml:space="preserve"> el precio de la vivienda en venta</w:t>
      </w:r>
    </w:p>
    <w:p w14:paraId="0C8F36FE" w14:textId="77777777" w:rsidR="00425251" w:rsidRDefault="00425251" w:rsidP="00425251">
      <w:pPr>
        <w:spacing w:line="276" w:lineRule="auto"/>
        <w:ind w:right="-560"/>
        <w:jc w:val="both"/>
        <w:rPr>
          <w:rFonts w:ascii="Open Sans" w:eastAsia="Open Sans" w:hAnsi="Open Sans" w:cs="Open Sans"/>
          <w:color w:val="262626"/>
          <w:sz w:val="22"/>
          <w:szCs w:val="22"/>
        </w:rPr>
      </w:pPr>
      <w:r>
        <w:rPr>
          <w:noProof/>
        </w:rPr>
        <w:drawing>
          <wp:inline distT="0" distB="0" distL="0" distR="0" wp14:anchorId="6D3D784D" wp14:editId="6A3D0D7E">
            <wp:extent cx="5396230" cy="2782570"/>
            <wp:effectExtent l="0" t="0" r="0" b="0"/>
            <wp:docPr id="1771045151" name="Gráfico 1771045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BED21C" w14:textId="77777777" w:rsidR="00425251" w:rsidRDefault="00425251">
      <w:pPr>
        <w:spacing w:line="276" w:lineRule="auto"/>
        <w:ind w:right="-560"/>
        <w:jc w:val="both"/>
        <w:rPr>
          <w:rFonts w:ascii="Open Sans" w:eastAsia="Open Sans" w:hAnsi="Open Sans" w:cs="Open Sans"/>
          <w:b/>
          <w:color w:val="262626"/>
          <w:sz w:val="22"/>
          <w:szCs w:val="22"/>
        </w:rPr>
      </w:pPr>
    </w:p>
    <w:p w14:paraId="212CF721" w14:textId="77777777" w:rsidR="00E23B49" w:rsidRDefault="00E23B49">
      <w:pPr>
        <w:spacing w:line="276" w:lineRule="auto"/>
        <w:ind w:right="-560"/>
        <w:jc w:val="both"/>
        <w:rPr>
          <w:rFonts w:ascii="Open Sans" w:eastAsia="Open Sans" w:hAnsi="Open Sans" w:cs="Open Sans"/>
          <w:b/>
          <w:color w:val="262626"/>
          <w:sz w:val="22"/>
          <w:szCs w:val="22"/>
        </w:rPr>
      </w:pPr>
    </w:p>
    <w:p w14:paraId="55118268" w14:textId="77777777" w:rsidR="00E23B49" w:rsidRDefault="00000000">
      <w:pPr>
        <w:spacing w:line="276" w:lineRule="auto"/>
        <w:ind w:right="-560"/>
        <w:jc w:val="both"/>
      </w:pPr>
      <w:r>
        <w:rPr>
          <w:rFonts w:ascii="Open Sans" w:eastAsia="Open Sans" w:hAnsi="Open Sans" w:cs="Open Sans"/>
          <w:color w:val="262626"/>
          <w:sz w:val="22"/>
          <w:szCs w:val="22"/>
        </w:rPr>
        <w:t xml:space="preserve">“Desde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62626"/>
          <w:sz w:val="22"/>
          <w:szCs w:val="22"/>
        </w:rPr>
        <w:t xml:space="preserve"> hemos querido dar un paso más hacia la transparencia del mercado con el lanzamiento de nuestro Índice Predictivo de Precios que, gracias al uso de inteligencia artificial y al análisis masivo de datos de oferta y demanda, anticipa cómo evolucionarán los precios en las diferentes zonas. El objetivo es doble: por un lado, ayudar a los ciudadanos a tomar decisiones informadas en un momento clave; y por otro, ofrecer a los profesionales del sector una visión estratégica que les permita como expertos adelantarse a las dinámicas del mercado. En un contexto marcado por la incertidumbre </w:t>
      </w:r>
      <w:r>
        <w:rPr>
          <w:rFonts w:ascii="Open Sans" w:eastAsia="Open Sans" w:hAnsi="Open Sans" w:cs="Open Sans"/>
          <w:color w:val="262626"/>
          <w:sz w:val="22"/>
          <w:szCs w:val="22"/>
        </w:rPr>
        <w:lastRenderedPageBreak/>
        <w:t>y la escasez de oferta, contar con datos transparentes y previsiones objetivas se vuelve más necesario que nunca para mejorar el acceso a la vivienda</w:t>
      </w:r>
      <w:r>
        <w:rPr>
          <w:rFonts w:ascii="Open Sans" w:eastAsia="Open Sans" w:hAnsi="Open Sans" w:cs="Open Sans"/>
          <w:sz w:val="22"/>
          <w:szCs w:val="22"/>
        </w:rPr>
        <w:t xml:space="preserve">”, </w:t>
      </w:r>
      <w:r>
        <w:rPr>
          <w:rFonts w:ascii="Open Sans" w:eastAsia="Open Sans" w:hAnsi="Open Sans" w:cs="Open Sans"/>
          <w:b/>
          <w:sz w:val="22"/>
          <w:szCs w:val="22"/>
        </w:rPr>
        <w:t>asegura María Matos, directora de Estudios de</w:t>
      </w:r>
      <w:hyperlink r:id="rId16">
        <w:r>
          <w:rPr>
            <w:rFonts w:ascii="Open Sans" w:eastAsia="Open Sans" w:hAnsi="Open Sans" w:cs="Open Sans"/>
            <w:b/>
            <w:color w:val="1155CC"/>
            <w:sz w:val="22"/>
            <w:szCs w:val="22"/>
            <w:u w:val="single"/>
          </w:rPr>
          <w:t xml:space="preserve"> Fotocasa</w:t>
        </w:r>
      </w:hyperlink>
      <w:r>
        <w:t>.</w:t>
      </w:r>
    </w:p>
    <w:p w14:paraId="1BC4AC52" w14:textId="77777777" w:rsidR="00E23B49" w:rsidRDefault="00E23B49">
      <w:pPr>
        <w:spacing w:line="276" w:lineRule="auto"/>
        <w:ind w:right="-560"/>
        <w:jc w:val="both"/>
        <w:rPr>
          <w:rFonts w:ascii="Open Sans" w:eastAsia="Open Sans" w:hAnsi="Open Sans" w:cs="Open Sans"/>
          <w:b/>
          <w:color w:val="262626"/>
          <w:sz w:val="22"/>
          <w:szCs w:val="22"/>
        </w:rPr>
      </w:pPr>
    </w:p>
    <w:p w14:paraId="631385C7" w14:textId="77777777" w:rsidR="00E23B49" w:rsidRDefault="00E23B49">
      <w:pPr>
        <w:spacing w:line="276" w:lineRule="auto"/>
        <w:ind w:right="-560"/>
        <w:jc w:val="both"/>
        <w:rPr>
          <w:rFonts w:ascii="Open Sans" w:eastAsia="Open Sans" w:hAnsi="Open Sans" w:cs="Open Sans"/>
          <w:b/>
          <w:color w:val="262626"/>
          <w:sz w:val="22"/>
          <w:szCs w:val="22"/>
        </w:rPr>
      </w:pPr>
    </w:p>
    <w:p w14:paraId="7F0001C6" w14:textId="77777777" w:rsidR="00E23B49" w:rsidRDefault="00000000">
      <w:pPr>
        <w:spacing w:line="276" w:lineRule="auto"/>
        <w:ind w:right="-560"/>
        <w:rPr>
          <w:rFonts w:ascii="Open Sans" w:eastAsia="Open Sans" w:hAnsi="Open Sans" w:cs="Open Sans"/>
          <w:b/>
          <w:color w:val="002060"/>
        </w:rPr>
      </w:pPr>
      <w:r>
        <w:rPr>
          <w:rFonts w:ascii="Open Sans" w:eastAsia="Open Sans" w:hAnsi="Open Sans" w:cs="Open Sans"/>
          <w:b/>
          <w:color w:val="002060"/>
        </w:rPr>
        <w:t xml:space="preserve">                    Variación trimestral por capitales de provincia</w:t>
      </w:r>
    </w:p>
    <w:p w14:paraId="3E510B01" w14:textId="77777777" w:rsidR="00E23B49" w:rsidRDefault="00E23B49">
      <w:pPr>
        <w:spacing w:line="276" w:lineRule="auto"/>
        <w:ind w:right="-560"/>
        <w:jc w:val="both"/>
        <w:rPr>
          <w:rFonts w:ascii="Open Sans" w:eastAsia="Open Sans" w:hAnsi="Open Sans" w:cs="Open Sans"/>
          <w:b/>
          <w:color w:val="262626"/>
          <w:sz w:val="22"/>
          <w:szCs w:val="22"/>
        </w:rPr>
      </w:pPr>
    </w:p>
    <w:tbl>
      <w:tblPr>
        <w:tblStyle w:val="a7"/>
        <w:tblW w:w="694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3543"/>
      </w:tblGrid>
      <w:tr w:rsidR="00E23B49" w14:paraId="4E5ECE55" w14:textId="77777777" w:rsidTr="00E23B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6200BCA" w14:textId="77777777" w:rsidR="00E23B49"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3544" w:type="dxa"/>
          </w:tcPr>
          <w:p w14:paraId="567129D6" w14:textId="77777777" w:rsidR="00E23B49"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4º trimestre</w:t>
            </w:r>
          </w:p>
        </w:tc>
      </w:tr>
      <w:tr w:rsidR="00E23B49" w14:paraId="74D9506D"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1E79AF" w14:textId="77777777" w:rsidR="00E23B49" w:rsidRDefault="00000000">
            <w:pPr>
              <w:spacing w:line="276" w:lineRule="auto"/>
              <w:ind w:right="-560"/>
              <w:jc w:val="both"/>
              <w:rPr>
                <w:rFonts w:ascii="Open Sans" w:eastAsia="Open Sans" w:hAnsi="Open Sans" w:cs="Open Sans"/>
                <w:color w:val="262626"/>
              </w:rPr>
            </w:pPr>
            <w:r>
              <w:rPr>
                <w:b w:val="0"/>
                <w:color w:val="000000"/>
              </w:rPr>
              <w:t>Palencia</w:t>
            </w:r>
          </w:p>
        </w:tc>
        <w:tc>
          <w:tcPr>
            <w:tcW w:w="3544" w:type="dxa"/>
            <w:vAlign w:val="bottom"/>
          </w:tcPr>
          <w:p w14:paraId="7A2EEA24"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4,6%</w:t>
            </w:r>
          </w:p>
        </w:tc>
      </w:tr>
      <w:tr w:rsidR="00E23B49" w14:paraId="6618A5D0"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EF4E6C" w14:textId="77777777" w:rsidR="00E23B49" w:rsidRDefault="00000000">
            <w:pPr>
              <w:spacing w:line="276" w:lineRule="auto"/>
              <w:ind w:right="-560"/>
              <w:jc w:val="both"/>
              <w:rPr>
                <w:rFonts w:ascii="Open Sans" w:eastAsia="Open Sans" w:hAnsi="Open Sans" w:cs="Open Sans"/>
                <w:color w:val="262626"/>
              </w:rPr>
            </w:pPr>
            <w:r>
              <w:rPr>
                <w:b w:val="0"/>
                <w:color w:val="000000"/>
              </w:rPr>
              <w:t>Castellón de la Plana</w:t>
            </w:r>
          </w:p>
        </w:tc>
        <w:tc>
          <w:tcPr>
            <w:tcW w:w="3544" w:type="dxa"/>
            <w:vAlign w:val="bottom"/>
          </w:tcPr>
          <w:p w14:paraId="2AA06392"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4,1%</w:t>
            </w:r>
          </w:p>
        </w:tc>
      </w:tr>
      <w:tr w:rsidR="00E23B49" w14:paraId="35150C5A"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A9E0B3B" w14:textId="77777777" w:rsidR="00E23B49" w:rsidRDefault="00000000">
            <w:pPr>
              <w:spacing w:line="276" w:lineRule="auto"/>
              <w:ind w:right="-560"/>
              <w:jc w:val="both"/>
              <w:rPr>
                <w:rFonts w:ascii="Open Sans" w:eastAsia="Open Sans" w:hAnsi="Open Sans" w:cs="Open Sans"/>
                <w:color w:val="262626"/>
              </w:rPr>
            </w:pPr>
            <w:r>
              <w:rPr>
                <w:b w:val="0"/>
                <w:color w:val="000000"/>
              </w:rPr>
              <w:t>Oviedo</w:t>
            </w:r>
          </w:p>
        </w:tc>
        <w:tc>
          <w:tcPr>
            <w:tcW w:w="3544" w:type="dxa"/>
            <w:vAlign w:val="bottom"/>
          </w:tcPr>
          <w:p w14:paraId="7C21BB22"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4,1%</w:t>
            </w:r>
          </w:p>
        </w:tc>
      </w:tr>
      <w:tr w:rsidR="00E23B49" w14:paraId="70E1C83D"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3879C0F" w14:textId="77777777" w:rsidR="00E23B49" w:rsidRDefault="00000000">
            <w:pPr>
              <w:spacing w:line="276" w:lineRule="auto"/>
              <w:ind w:right="-560"/>
              <w:jc w:val="both"/>
              <w:rPr>
                <w:rFonts w:ascii="Open Sans" w:eastAsia="Open Sans" w:hAnsi="Open Sans" w:cs="Open Sans"/>
                <w:color w:val="262626"/>
              </w:rPr>
            </w:pPr>
            <w:r>
              <w:rPr>
                <w:b w:val="0"/>
                <w:color w:val="000000"/>
              </w:rPr>
              <w:t>Huelva</w:t>
            </w:r>
          </w:p>
        </w:tc>
        <w:tc>
          <w:tcPr>
            <w:tcW w:w="3544" w:type="dxa"/>
            <w:vAlign w:val="bottom"/>
          </w:tcPr>
          <w:p w14:paraId="047AAA3E"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3,5%</w:t>
            </w:r>
          </w:p>
        </w:tc>
      </w:tr>
      <w:tr w:rsidR="00E23B49" w14:paraId="136071E8"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0CBC373" w14:textId="77777777" w:rsidR="00E23B49" w:rsidRDefault="00000000">
            <w:pPr>
              <w:spacing w:line="276" w:lineRule="auto"/>
              <w:ind w:right="-560"/>
              <w:jc w:val="both"/>
              <w:rPr>
                <w:rFonts w:ascii="Open Sans" w:eastAsia="Open Sans" w:hAnsi="Open Sans" w:cs="Open Sans"/>
                <w:color w:val="262626"/>
              </w:rPr>
            </w:pPr>
            <w:r>
              <w:rPr>
                <w:b w:val="0"/>
                <w:color w:val="000000"/>
              </w:rPr>
              <w:t>Cáceres</w:t>
            </w:r>
          </w:p>
        </w:tc>
        <w:tc>
          <w:tcPr>
            <w:tcW w:w="3544" w:type="dxa"/>
            <w:vAlign w:val="bottom"/>
          </w:tcPr>
          <w:p w14:paraId="4415CCD9"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3,3%</w:t>
            </w:r>
          </w:p>
        </w:tc>
      </w:tr>
      <w:tr w:rsidR="00E23B49" w14:paraId="40C9593C"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5FE9949" w14:textId="77777777" w:rsidR="00E23B49" w:rsidRDefault="00000000">
            <w:pPr>
              <w:spacing w:line="276" w:lineRule="auto"/>
              <w:ind w:right="-560"/>
              <w:jc w:val="both"/>
              <w:rPr>
                <w:rFonts w:ascii="Open Sans" w:eastAsia="Open Sans" w:hAnsi="Open Sans" w:cs="Open Sans"/>
                <w:color w:val="262626"/>
              </w:rPr>
            </w:pPr>
            <w:r>
              <w:rPr>
                <w:b w:val="0"/>
                <w:color w:val="000000"/>
              </w:rPr>
              <w:t>Segovia</w:t>
            </w:r>
          </w:p>
        </w:tc>
        <w:tc>
          <w:tcPr>
            <w:tcW w:w="3544" w:type="dxa"/>
            <w:vAlign w:val="bottom"/>
          </w:tcPr>
          <w:p w14:paraId="434B74B7"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3,2%</w:t>
            </w:r>
          </w:p>
        </w:tc>
      </w:tr>
      <w:tr w:rsidR="00E23B49" w14:paraId="7ECAF0F8"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7713AF3" w14:textId="77777777" w:rsidR="00E23B49" w:rsidRDefault="00000000">
            <w:pPr>
              <w:spacing w:line="276" w:lineRule="auto"/>
              <w:ind w:right="-560"/>
              <w:jc w:val="both"/>
              <w:rPr>
                <w:rFonts w:ascii="Open Sans" w:eastAsia="Open Sans" w:hAnsi="Open Sans" w:cs="Open Sans"/>
                <w:color w:val="262626"/>
              </w:rPr>
            </w:pPr>
            <w:r>
              <w:rPr>
                <w:b w:val="0"/>
                <w:color w:val="000000"/>
              </w:rPr>
              <w:t>Ourense</w:t>
            </w:r>
          </w:p>
        </w:tc>
        <w:tc>
          <w:tcPr>
            <w:tcW w:w="3544" w:type="dxa"/>
            <w:vAlign w:val="bottom"/>
          </w:tcPr>
          <w:p w14:paraId="1DEF4230"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3,2%</w:t>
            </w:r>
          </w:p>
        </w:tc>
      </w:tr>
      <w:tr w:rsidR="00E23B49" w14:paraId="1C02C6E9"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A8B4983" w14:textId="77777777" w:rsidR="00E23B49" w:rsidRDefault="00000000">
            <w:pPr>
              <w:spacing w:line="276" w:lineRule="auto"/>
              <w:ind w:right="-560"/>
              <w:jc w:val="both"/>
              <w:rPr>
                <w:rFonts w:ascii="Open Sans" w:eastAsia="Open Sans" w:hAnsi="Open Sans" w:cs="Open Sans"/>
                <w:color w:val="262626"/>
              </w:rPr>
            </w:pPr>
            <w:r>
              <w:rPr>
                <w:b w:val="0"/>
                <w:color w:val="000000"/>
              </w:rPr>
              <w:t>Logroño</w:t>
            </w:r>
          </w:p>
        </w:tc>
        <w:tc>
          <w:tcPr>
            <w:tcW w:w="3544" w:type="dxa"/>
            <w:vAlign w:val="bottom"/>
          </w:tcPr>
          <w:p w14:paraId="5C900453"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2,6%</w:t>
            </w:r>
          </w:p>
        </w:tc>
      </w:tr>
      <w:tr w:rsidR="00E23B49" w14:paraId="0F7CA9B2"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1959B8F" w14:textId="77777777" w:rsidR="00E23B49" w:rsidRDefault="00000000">
            <w:pPr>
              <w:spacing w:line="276" w:lineRule="auto"/>
              <w:ind w:right="-560"/>
              <w:jc w:val="both"/>
              <w:rPr>
                <w:rFonts w:ascii="Open Sans" w:eastAsia="Open Sans" w:hAnsi="Open Sans" w:cs="Open Sans"/>
                <w:color w:val="262626"/>
              </w:rPr>
            </w:pPr>
            <w:r>
              <w:rPr>
                <w:b w:val="0"/>
                <w:color w:val="000000"/>
              </w:rPr>
              <w:t>Albacete</w:t>
            </w:r>
          </w:p>
        </w:tc>
        <w:tc>
          <w:tcPr>
            <w:tcW w:w="3544" w:type="dxa"/>
            <w:vAlign w:val="bottom"/>
          </w:tcPr>
          <w:p w14:paraId="537D784B"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2,5%</w:t>
            </w:r>
          </w:p>
        </w:tc>
      </w:tr>
      <w:tr w:rsidR="00E23B49" w14:paraId="7611486D"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C86B9FA" w14:textId="77777777" w:rsidR="00E23B49" w:rsidRDefault="00000000">
            <w:pPr>
              <w:spacing w:line="276" w:lineRule="auto"/>
              <w:ind w:right="-560"/>
              <w:jc w:val="both"/>
              <w:rPr>
                <w:rFonts w:ascii="Open Sans" w:eastAsia="Open Sans" w:hAnsi="Open Sans" w:cs="Open Sans"/>
                <w:color w:val="262626"/>
              </w:rPr>
            </w:pPr>
            <w:r>
              <w:rPr>
                <w:b w:val="0"/>
                <w:color w:val="000000"/>
              </w:rPr>
              <w:t>Guadalajara</w:t>
            </w:r>
          </w:p>
        </w:tc>
        <w:tc>
          <w:tcPr>
            <w:tcW w:w="3544" w:type="dxa"/>
            <w:vAlign w:val="bottom"/>
          </w:tcPr>
          <w:p w14:paraId="17997B06"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2,4%</w:t>
            </w:r>
          </w:p>
        </w:tc>
      </w:tr>
      <w:tr w:rsidR="00E23B49" w14:paraId="5DDCD624"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0148718" w14:textId="77777777" w:rsidR="00E23B49" w:rsidRDefault="00000000">
            <w:pPr>
              <w:spacing w:line="276" w:lineRule="auto"/>
              <w:ind w:right="-560"/>
              <w:jc w:val="both"/>
              <w:rPr>
                <w:rFonts w:ascii="Open Sans" w:eastAsia="Open Sans" w:hAnsi="Open Sans" w:cs="Open Sans"/>
                <w:color w:val="262626"/>
              </w:rPr>
            </w:pPr>
            <w:r>
              <w:rPr>
                <w:b w:val="0"/>
                <w:color w:val="000000"/>
              </w:rPr>
              <w:t>Pontevedra</w:t>
            </w:r>
          </w:p>
        </w:tc>
        <w:tc>
          <w:tcPr>
            <w:tcW w:w="3544" w:type="dxa"/>
            <w:vAlign w:val="bottom"/>
          </w:tcPr>
          <w:p w14:paraId="7E8F632E"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2,4%</w:t>
            </w:r>
          </w:p>
        </w:tc>
      </w:tr>
      <w:tr w:rsidR="00E23B49" w14:paraId="4FC30B7D"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C101BC9" w14:textId="77777777" w:rsidR="00E23B49" w:rsidRDefault="00000000">
            <w:pPr>
              <w:spacing w:line="276" w:lineRule="auto"/>
              <w:ind w:right="-560"/>
              <w:jc w:val="both"/>
              <w:rPr>
                <w:rFonts w:ascii="Open Sans" w:eastAsia="Open Sans" w:hAnsi="Open Sans" w:cs="Open Sans"/>
                <w:color w:val="262626"/>
              </w:rPr>
            </w:pPr>
            <w:r>
              <w:rPr>
                <w:b w:val="0"/>
                <w:color w:val="000000"/>
              </w:rPr>
              <w:t>Burgos</w:t>
            </w:r>
          </w:p>
        </w:tc>
        <w:tc>
          <w:tcPr>
            <w:tcW w:w="3544" w:type="dxa"/>
            <w:vAlign w:val="bottom"/>
          </w:tcPr>
          <w:p w14:paraId="1106DFC4"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2,3%</w:t>
            </w:r>
          </w:p>
        </w:tc>
      </w:tr>
      <w:tr w:rsidR="00E23B49" w14:paraId="13CBFC6D"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89C977A" w14:textId="77777777" w:rsidR="00E23B49" w:rsidRDefault="00000000">
            <w:pPr>
              <w:spacing w:line="276" w:lineRule="auto"/>
              <w:ind w:right="-560"/>
              <w:jc w:val="both"/>
              <w:rPr>
                <w:rFonts w:ascii="Open Sans" w:eastAsia="Open Sans" w:hAnsi="Open Sans" w:cs="Open Sans"/>
                <w:color w:val="262626"/>
              </w:rPr>
            </w:pPr>
            <w:r>
              <w:rPr>
                <w:b w:val="0"/>
                <w:color w:val="000000"/>
              </w:rPr>
              <w:t>Valencia</w:t>
            </w:r>
          </w:p>
        </w:tc>
        <w:tc>
          <w:tcPr>
            <w:tcW w:w="3544" w:type="dxa"/>
            <w:vAlign w:val="bottom"/>
          </w:tcPr>
          <w:p w14:paraId="7A6BC75C"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2,0%</w:t>
            </w:r>
          </w:p>
        </w:tc>
      </w:tr>
      <w:tr w:rsidR="00E23B49" w14:paraId="7FDD713A"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39F9992" w14:textId="77777777" w:rsidR="00E23B49" w:rsidRDefault="00000000">
            <w:pPr>
              <w:spacing w:line="276" w:lineRule="auto"/>
              <w:ind w:right="-560"/>
              <w:jc w:val="both"/>
              <w:rPr>
                <w:rFonts w:ascii="Open Sans" w:eastAsia="Open Sans" w:hAnsi="Open Sans" w:cs="Open Sans"/>
                <w:color w:val="262626"/>
              </w:rPr>
            </w:pPr>
            <w:r>
              <w:rPr>
                <w:b w:val="0"/>
                <w:color w:val="000000"/>
              </w:rPr>
              <w:t>Valladolid</w:t>
            </w:r>
          </w:p>
        </w:tc>
        <w:tc>
          <w:tcPr>
            <w:tcW w:w="3544" w:type="dxa"/>
            <w:vAlign w:val="bottom"/>
          </w:tcPr>
          <w:p w14:paraId="6CD343D0"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1,9%</w:t>
            </w:r>
          </w:p>
        </w:tc>
      </w:tr>
      <w:tr w:rsidR="00E23B49" w14:paraId="45BDE3D1"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D4DC936" w14:textId="77777777" w:rsidR="00E23B49" w:rsidRDefault="00000000">
            <w:pPr>
              <w:spacing w:line="276" w:lineRule="auto"/>
              <w:ind w:right="-560"/>
              <w:jc w:val="both"/>
              <w:rPr>
                <w:rFonts w:ascii="Open Sans" w:eastAsia="Open Sans" w:hAnsi="Open Sans" w:cs="Open Sans"/>
                <w:color w:val="262626"/>
              </w:rPr>
            </w:pPr>
            <w:r>
              <w:rPr>
                <w:b w:val="0"/>
                <w:color w:val="000000"/>
              </w:rPr>
              <w:t>Granada</w:t>
            </w:r>
          </w:p>
        </w:tc>
        <w:tc>
          <w:tcPr>
            <w:tcW w:w="3544" w:type="dxa"/>
            <w:vAlign w:val="bottom"/>
          </w:tcPr>
          <w:p w14:paraId="5C2D024B"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1,8%</w:t>
            </w:r>
          </w:p>
        </w:tc>
      </w:tr>
      <w:tr w:rsidR="00E23B49" w14:paraId="13E3D3B9"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0D9AA56" w14:textId="77777777" w:rsidR="00E23B49" w:rsidRDefault="00000000">
            <w:pPr>
              <w:spacing w:line="276" w:lineRule="auto"/>
              <w:ind w:right="-560"/>
              <w:jc w:val="both"/>
              <w:rPr>
                <w:rFonts w:ascii="Open Sans" w:eastAsia="Open Sans" w:hAnsi="Open Sans" w:cs="Open Sans"/>
                <w:color w:val="262626"/>
              </w:rPr>
            </w:pPr>
            <w:r>
              <w:rPr>
                <w:b w:val="0"/>
                <w:color w:val="000000"/>
              </w:rPr>
              <w:t>Jaén</w:t>
            </w:r>
          </w:p>
        </w:tc>
        <w:tc>
          <w:tcPr>
            <w:tcW w:w="3544" w:type="dxa"/>
            <w:vAlign w:val="bottom"/>
          </w:tcPr>
          <w:p w14:paraId="59685DD0"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1,8%</w:t>
            </w:r>
          </w:p>
        </w:tc>
      </w:tr>
      <w:tr w:rsidR="00E23B49" w14:paraId="0FEFFA03"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3E2DE9" w14:textId="77777777" w:rsidR="00E23B49" w:rsidRDefault="00000000">
            <w:pPr>
              <w:spacing w:line="276" w:lineRule="auto"/>
              <w:ind w:right="-560"/>
              <w:jc w:val="both"/>
              <w:rPr>
                <w:rFonts w:ascii="Open Sans" w:eastAsia="Open Sans" w:hAnsi="Open Sans" w:cs="Open Sans"/>
                <w:color w:val="262626"/>
              </w:rPr>
            </w:pPr>
            <w:r>
              <w:rPr>
                <w:b w:val="0"/>
                <w:color w:val="000000"/>
              </w:rPr>
              <w:t>Ávila</w:t>
            </w:r>
          </w:p>
        </w:tc>
        <w:tc>
          <w:tcPr>
            <w:tcW w:w="3544" w:type="dxa"/>
            <w:vAlign w:val="bottom"/>
          </w:tcPr>
          <w:p w14:paraId="3A7404FC"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1,6%</w:t>
            </w:r>
          </w:p>
        </w:tc>
      </w:tr>
      <w:tr w:rsidR="00E23B49" w14:paraId="270A2B46"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456FCFE" w14:textId="77777777" w:rsidR="00E23B49" w:rsidRDefault="00000000">
            <w:pPr>
              <w:spacing w:line="276" w:lineRule="auto"/>
              <w:ind w:right="-560"/>
              <w:jc w:val="both"/>
              <w:rPr>
                <w:rFonts w:ascii="Open Sans" w:eastAsia="Open Sans" w:hAnsi="Open Sans" w:cs="Open Sans"/>
                <w:color w:val="262626"/>
              </w:rPr>
            </w:pPr>
            <w:r>
              <w:rPr>
                <w:b w:val="0"/>
                <w:color w:val="000000"/>
              </w:rPr>
              <w:t>Zamora</w:t>
            </w:r>
          </w:p>
        </w:tc>
        <w:tc>
          <w:tcPr>
            <w:tcW w:w="3544" w:type="dxa"/>
            <w:vAlign w:val="bottom"/>
          </w:tcPr>
          <w:p w14:paraId="18343CB8"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1,4%</w:t>
            </w:r>
          </w:p>
        </w:tc>
      </w:tr>
      <w:tr w:rsidR="00E23B49" w14:paraId="3389FAB9"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C2ADA65" w14:textId="77777777" w:rsidR="00E23B49" w:rsidRDefault="00000000">
            <w:pPr>
              <w:spacing w:line="276" w:lineRule="auto"/>
              <w:ind w:right="-560"/>
              <w:jc w:val="both"/>
              <w:rPr>
                <w:rFonts w:ascii="Open Sans" w:eastAsia="Open Sans" w:hAnsi="Open Sans" w:cs="Open Sans"/>
                <w:color w:val="262626"/>
              </w:rPr>
            </w:pPr>
            <w:r>
              <w:rPr>
                <w:b w:val="0"/>
                <w:color w:val="000000"/>
              </w:rPr>
              <w:t>Salamanca</w:t>
            </w:r>
          </w:p>
        </w:tc>
        <w:tc>
          <w:tcPr>
            <w:tcW w:w="3544" w:type="dxa"/>
            <w:vAlign w:val="bottom"/>
          </w:tcPr>
          <w:p w14:paraId="230936D9"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1,4%</w:t>
            </w:r>
          </w:p>
        </w:tc>
      </w:tr>
      <w:tr w:rsidR="00E23B49" w14:paraId="214965B1"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646785" w14:textId="77777777" w:rsidR="00E23B49" w:rsidRDefault="00000000">
            <w:pPr>
              <w:spacing w:line="276" w:lineRule="auto"/>
              <w:ind w:right="-560"/>
              <w:jc w:val="both"/>
              <w:rPr>
                <w:rFonts w:ascii="Open Sans" w:eastAsia="Open Sans" w:hAnsi="Open Sans" w:cs="Open Sans"/>
                <w:color w:val="262626"/>
              </w:rPr>
            </w:pPr>
            <w:r>
              <w:rPr>
                <w:b w:val="0"/>
                <w:color w:val="000000"/>
              </w:rPr>
              <w:t>Madrid</w:t>
            </w:r>
          </w:p>
        </w:tc>
        <w:tc>
          <w:tcPr>
            <w:tcW w:w="3544" w:type="dxa"/>
            <w:vAlign w:val="bottom"/>
          </w:tcPr>
          <w:p w14:paraId="59E42AC3"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1,2%</w:t>
            </w:r>
          </w:p>
        </w:tc>
      </w:tr>
      <w:tr w:rsidR="00E23B49" w14:paraId="26D8F107"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7CEEB87" w14:textId="77777777" w:rsidR="00E23B49" w:rsidRDefault="00000000">
            <w:pPr>
              <w:spacing w:line="276" w:lineRule="auto"/>
              <w:ind w:right="-560"/>
              <w:jc w:val="both"/>
              <w:rPr>
                <w:rFonts w:ascii="Open Sans" w:eastAsia="Open Sans" w:hAnsi="Open Sans" w:cs="Open Sans"/>
                <w:color w:val="262626"/>
              </w:rPr>
            </w:pPr>
            <w:r>
              <w:rPr>
                <w:b w:val="0"/>
                <w:color w:val="000000"/>
              </w:rPr>
              <w:t>La Coruña</w:t>
            </w:r>
          </w:p>
        </w:tc>
        <w:tc>
          <w:tcPr>
            <w:tcW w:w="3544" w:type="dxa"/>
            <w:vAlign w:val="bottom"/>
          </w:tcPr>
          <w:p w14:paraId="782E64AB"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1,1%</w:t>
            </w:r>
          </w:p>
        </w:tc>
      </w:tr>
      <w:tr w:rsidR="00E23B49" w14:paraId="38DC7A57"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A36B96" w14:textId="77777777" w:rsidR="00E23B49" w:rsidRDefault="00000000">
            <w:pPr>
              <w:spacing w:line="276" w:lineRule="auto"/>
              <w:ind w:right="-560"/>
              <w:jc w:val="both"/>
              <w:rPr>
                <w:rFonts w:ascii="Open Sans" w:eastAsia="Open Sans" w:hAnsi="Open Sans" w:cs="Open Sans"/>
                <w:color w:val="262626"/>
              </w:rPr>
            </w:pPr>
            <w:r>
              <w:rPr>
                <w:b w:val="0"/>
                <w:color w:val="000000"/>
              </w:rPr>
              <w:t>Córdoba</w:t>
            </w:r>
          </w:p>
        </w:tc>
        <w:tc>
          <w:tcPr>
            <w:tcW w:w="3544" w:type="dxa"/>
            <w:vAlign w:val="bottom"/>
          </w:tcPr>
          <w:p w14:paraId="776355B8"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1,0%</w:t>
            </w:r>
          </w:p>
        </w:tc>
      </w:tr>
      <w:tr w:rsidR="00E23B49" w14:paraId="66599AE8"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D4E373D" w14:textId="77777777" w:rsidR="00E23B49" w:rsidRDefault="00000000">
            <w:pPr>
              <w:spacing w:line="276" w:lineRule="auto"/>
              <w:ind w:right="-560"/>
              <w:jc w:val="both"/>
              <w:rPr>
                <w:rFonts w:ascii="Open Sans" w:eastAsia="Open Sans" w:hAnsi="Open Sans" w:cs="Open Sans"/>
                <w:color w:val="262626"/>
              </w:rPr>
            </w:pPr>
            <w:r>
              <w:rPr>
                <w:b w:val="0"/>
                <w:color w:val="000000"/>
              </w:rPr>
              <w:t>Las Palmas de G. C.</w:t>
            </w:r>
          </w:p>
        </w:tc>
        <w:tc>
          <w:tcPr>
            <w:tcW w:w="3544" w:type="dxa"/>
            <w:vAlign w:val="bottom"/>
          </w:tcPr>
          <w:p w14:paraId="3CAA24FC"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0,9%</w:t>
            </w:r>
          </w:p>
        </w:tc>
      </w:tr>
      <w:tr w:rsidR="00E23B49" w14:paraId="63AE0DB4"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6989B70" w14:textId="77777777" w:rsidR="00E23B49" w:rsidRDefault="00000000">
            <w:pPr>
              <w:spacing w:line="276" w:lineRule="auto"/>
              <w:ind w:right="-560"/>
              <w:jc w:val="both"/>
              <w:rPr>
                <w:rFonts w:ascii="Open Sans" w:eastAsia="Open Sans" w:hAnsi="Open Sans" w:cs="Open Sans"/>
                <w:color w:val="262626"/>
              </w:rPr>
            </w:pPr>
            <w:r>
              <w:rPr>
                <w:b w:val="0"/>
                <w:color w:val="000000"/>
              </w:rPr>
              <w:t>Santander</w:t>
            </w:r>
          </w:p>
        </w:tc>
        <w:tc>
          <w:tcPr>
            <w:tcW w:w="3544" w:type="dxa"/>
            <w:vAlign w:val="bottom"/>
          </w:tcPr>
          <w:p w14:paraId="778FD367"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0,9%</w:t>
            </w:r>
          </w:p>
        </w:tc>
      </w:tr>
      <w:tr w:rsidR="00E23B49" w14:paraId="5AD39C93"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75092D3" w14:textId="77777777" w:rsidR="00E23B49" w:rsidRDefault="00000000">
            <w:pPr>
              <w:spacing w:line="276" w:lineRule="auto"/>
              <w:ind w:right="-560"/>
              <w:jc w:val="both"/>
              <w:rPr>
                <w:rFonts w:ascii="Open Sans" w:eastAsia="Open Sans" w:hAnsi="Open Sans" w:cs="Open Sans"/>
                <w:color w:val="262626"/>
              </w:rPr>
            </w:pPr>
            <w:r>
              <w:rPr>
                <w:b w:val="0"/>
                <w:color w:val="000000"/>
              </w:rPr>
              <w:t>Barcelona</w:t>
            </w:r>
          </w:p>
        </w:tc>
        <w:tc>
          <w:tcPr>
            <w:tcW w:w="3544" w:type="dxa"/>
            <w:vAlign w:val="bottom"/>
          </w:tcPr>
          <w:p w14:paraId="591D79B9"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0,8%</w:t>
            </w:r>
          </w:p>
        </w:tc>
      </w:tr>
      <w:tr w:rsidR="00E23B49" w14:paraId="182A1B66"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32AA29A" w14:textId="77777777" w:rsidR="00E23B49" w:rsidRDefault="00000000">
            <w:pPr>
              <w:spacing w:line="276" w:lineRule="auto"/>
              <w:ind w:right="-560"/>
              <w:jc w:val="both"/>
              <w:rPr>
                <w:rFonts w:ascii="Open Sans" w:eastAsia="Open Sans" w:hAnsi="Open Sans" w:cs="Open Sans"/>
                <w:color w:val="262626"/>
              </w:rPr>
            </w:pPr>
            <w:r>
              <w:rPr>
                <w:b w:val="0"/>
                <w:color w:val="000000"/>
              </w:rPr>
              <w:t>Málaga</w:t>
            </w:r>
          </w:p>
        </w:tc>
        <w:tc>
          <w:tcPr>
            <w:tcW w:w="3544" w:type="dxa"/>
            <w:vAlign w:val="bottom"/>
          </w:tcPr>
          <w:p w14:paraId="15AC9057"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0,8%</w:t>
            </w:r>
          </w:p>
        </w:tc>
      </w:tr>
      <w:tr w:rsidR="00E23B49" w14:paraId="21E7B82D"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269CE9B" w14:textId="77777777" w:rsidR="00E23B49" w:rsidRDefault="00000000">
            <w:pPr>
              <w:spacing w:line="276" w:lineRule="auto"/>
              <w:ind w:right="-560"/>
              <w:jc w:val="both"/>
              <w:rPr>
                <w:rFonts w:ascii="Open Sans" w:eastAsia="Open Sans" w:hAnsi="Open Sans" w:cs="Open Sans"/>
                <w:color w:val="262626"/>
              </w:rPr>
            </w:pPr>
            <w:r>
              <w:rPr>
                <w:b w:val="0"/>
                <w:color w:val="000000"/>
              </w:rPr>
              <w:t>Lugo</w:t>
            </w:r>
          </w:p>
        </w:tc>
        <w:tc>
          <w:tcPr>
            <w:tcW w:w="3544" w:type="dxa"/>
            <w:vAlign w:val="bottom"/>
          </w:tcPr>
          <w:p w14:paraId="5027CCC6"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0,5%</w:t>
            </w:r>
          </w:p>
        </w:tc>
      </w:tr>
      <w:tr w:rsidR="00E23B49" w14:paraId="6195F913"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914D92" w14:textId="77777777" w:rsidR="00E23B49" w:rsidRDefault="00000000">
            <w:pPr>
              <w:spacing w:line="276" w:lineRule="auto"/>
              <w:ind w:right="-560"/>
              <w:jc w:val="both"/>
              <w:rPr>
                <w:rFonts w:ascii="Open Sans" w:eastAsia="Open Sans" w:hAnsi="Open Sans" w:cs="Open Sans"/>
                <w:color w:val="262626"/>
              </w:rPr>
            </w:pPr>
            <w:r>
              <w:rPr>
                <w:b w:val="0"/>
                <w:color w:val="000000"/>
              </w:rPr>
              <w:t>Ciudad Real</w:t>
            </w:r>
          </w:p>
        </w:tc>
        <w:tc>
          <w:tcPr>
            <w:tcW w:w="3544" w:type="dxa"/>
            <w:vAlign w:val="bottom"/>
          </w:tcPr>
          <w:p w14:paraId="4E59AEDB"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0,4%</w:t>
            </w:r>
          </w:p>
        </w:tc>
      </w:tr>
      <w:tr w:rsidR="00E23B49" w14:paraId="777752AA"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812EDC" w14:textId="77777777" w:rsidR="00E23B49" w:rsidRDefault="00000000">
            <w:pPr>
              <w:spacing w:line="276" w:lineRule="auto"/>
              <w:ind w:right="-560"/>
              <w:jc w:val="both"/>
              <w:rPr>
                <w:rFonts w:ascii="Open Sans" w:eastAsia="Open Sans" w:hAnsi="Open Sans" w:cs="Open Sans"/>
                <w:color w:val="262626"/>
              </w:rPr>
            </w:pPr>
            <w:r>
              <w:rPr>
                <w:b w:val="0"/>
                <w:color w:val="000000"/>
              </w:rPr>
              <w:t>San Sebastián</w:t>
            </w:r>
          </w:p>
        </w:tc>
        <w:tc>
          <w:tcPr>
            <w:tcW w:w="3544" w:type="dxa"/>
            <w:vAlign w:val="bottom"/>
          </w:tcPr>
          <w:p w14:paraId="63EF8968"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0,3%</w:t>
            </w:r>
          </w:p>
        </w:tc>
      </w:tr>
      <w:tr w:rsidR="00E23B49" w14:paraId="4A36FBE3"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7AB3593" w14:textId="77777777" w:rsidR="00E23B49" w:rsidRDefault="00000000">
            <w:pPr>
              <w:spacing w:line="276" w:lineRule="auto"/>
              <w:ind w:right="-560"/>
              <w:jc w:val="both"/>
              <w:rPr>
                <w:rFonts w:ascii="Open Sans" w:eastAsia="Open Sans" w:hAnsi="Open Sans" w:cs="Open Sans"/>
                <w:color w:val="262626"/>
              </w:rPr>
            </w:pPr>
            <w:r>
              <w:rPr>
                <w:b w:val="0"/>
                <w:color w:val="000000"/>
              </w:rPr>
              <w:lastRenderedPageBreak/>
              <w:t>Palma</w:t>
            </w:r>
          </w:p>
        </w:tc>
        <w:tc>
          <w:tcPr>
            <w:tcW w:w="3544" w:type="dxa"/>
            <w:vAlign w:val="bottom"/>
          </w:tcPr>
          <w:p w14:paraId="3E331EF2"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0,3%</w:t>
            </w:r>
          </w:p>
        </w:tc>
      </w:tr>
      <w:tr w:rsidR="00E23B49" w14:paraId="0DF53115"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A6A025D" w14:textId="77777777" w:rsidR="00E23B49" w:rsidRDefault="00000000">
            <w:pPr>
              <w:spacing w:line="276" w:lineRule="auto"/>
              <w:ind w:right="-560"/>
              <w:jc w:val="both"/>
              <w:rPr>
                <w:rFonts w:ascii="Open Sans" w:eastAsia="Open Sans" w:hAnsi="Open Sans" w:cs="Open Sans"/>
                <w:color w:val="262626"/>
              </w:rPr>
            </w:pPr>
            <w:r>
              <w:rPr>
                <w:b w:val="0"/>
                <w:color w:val="000000"/>
              </w:rPr>
              <w:t>Vigo</w:t>
            </w:r>
          </w:p>
        </w:tc>
        <w:tc>
          <w:tcPr>
            <w:tcW w:w="3544" w:type="dxa"/>
            <w:vAlign w:val="bottom"/>
          </w:tcPr>
          <w:p w14:paraId="0FE98DE5"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0,2%</w:t>
            </w:r>
          </w:p>
        </w:tc>
      </w:tr>
      <w:tr w:rsidR="00E23B49" w14:paraId="620165E0"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268B086" w14:textId="77777777" w:rsidR="00E23B49" w:rsidRDefault="00000000">
            <w:pPr>
              <w:spacing w:line="276" w:lineRule="auto"/>
              <w:ind w:right="-560"/>
              <w:jc w:val="both"/>
              <w:rPr>
                <w:rFonts w:ascii="Open Sans" w:eastAsia="Open Sans" w:hAnsi="Open Sans" w:cs="Open Sans"/>
                <w:color w:val="262626"/>
              </w:rPr>
            </w:pPr>
            <w:r>
              <w:rPr>
                <w:b w:val="0"/>
                <w:color w:val="000000"/>
              </w:rPr>
              <w:t>Zaragoza</w:t>
            </w:r>
          </w:p>
        </w:tc>
        <w:tc>
          <w:tcPr>
            <w:tcW w:w="3544" w:type="dxa"/>
            <w:vAlign w:val="bottom"/>
          </w:tcPr>
          <w:p w14:paraId="5548B981"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0,1%</w:t>
            </w:r>
          </w:p>
        </w:tc>
      </w:tr>
      <w:tr w:rsidR="00E23B49" w14:paraId="5319E3FF"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AAE1E4F" w14:textId="77777777" w:rsidR="00E23B49" w:rsidRDefault="00000000">
            <w:pPr>
              <w:spacing w:line="276" w:lineRule="auto"/>
              <w:ind w:right="-560"/>
              <w:jc w:val="both"/>
              <w:rPr>
                <w:rFonts w:ascii="Open Sans" w:eastAsia="Open Sans" w:hAnsi="Open Sans" w:cs="Open Sans"/>
                <w:color w:val="262626"/>
              </w:rPr>
            </w:pPr>
            <w:r>
              <w:rPr>
                <w:b w:val="0"/>
                <w:color w:val="000000"/>
              </w:rPr>
              <w:t>Vitoria</w:t>
            </w:r>
          </w:p>
        </w:tc>
        <w:tc>
          <w:tcPr>
            <w:tcW w:w="3544" w:type="dxa"/>
            <w:vAlign w:val="bottom"/>
          </w:tcPr>
          <w:p w14:paraId="34CDB808"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0,1%</w:t>
            </w:r>
          </w:p>
        </w:tc>
      </w:tr>
      <w:tr w:rsidR="00E23B49" w14:paraId="0CD5C94E"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34C865B" w14:textId="77777777" w:rsidR="00E23B49" w:rsidRDefault="00000000">
            <w:pPr>
              <w:spacing w:line="276" w:lineRule="auto"/>
              <w:ind w:right="-560"/>
              <w:jc w:val="both"/>
              <w:rPr>
                <w:rFonts w:ascii="Open Sans" w:eastAsia="Open Sans" w:hAnsi="Open Sans" w:cs="Open Sans"/>
                <w:color w:val="262626"/>
              </w:rPr>
            </w:pPr>
            <w:r>
              <w:rPr>
                <w:b w:val="0"/>
                <w:color w:val="000000"/>
              </w:rPr>
              <w:t>Lleida</w:t>
            </w:r>
          </w:p>
        </w:tc>
        <w:tc>
          <w:tcPr>
            <w:tcW w:w="3544" w:type="dxa"/>
            <w:vAlign w:val="bottom"/>
          </w:tcPr>
          <w:p w14:paraId="49CB06EF"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0,0%</w:t>
            </w:r>
          </w:p>
        </w:tc>
      </w:tr>
      <w:tr w:rsidR="00E23B49" w14:paraId="0FA10D5C"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0987DF2" w14:textId="77777777" w:rsidR="00E23B49" w:rsidRDefault="00000000">
            <w:pPr>
              <w:spacing w:line="276" w:lineRule="auto"/>
              <w:ind w:right="-560"/>
              <w:jc w:val="both"/>
              <w:rPr>
                <w:rFonts w:ascii="Open Sans" w:eastAsia="Open Sans" w:hAnsi="Open Sans" w:cs="Open Sans"/>
                <w:color w:val="262626"/>
              </w:rPr>
            </w:pPr>
            <w:r>
              <w:rPr>
                <w:b w:val="0"/>
                <w:color w:val="000000"/>
              </w:rPr>
              <w:t>Bilbao</w:t>
            </w:r>
          </w:p>
        </w:tc>
        <w:tc>
          <w:tcPr>
            <w:tcW w:w="3544" w:type="dxa"/>
            <w:vAlign w:val="bottom"/>
          </w:tcPr>
          <w:p w14:paraId="752460C3"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0,0%</w:t>
            </w:r>
          </w:p>
        </w:tc>
      </w:tr>
      <w:tr w:rsidR="00E23B49" w14:paraId="6A158E3C"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08A2C75" w14:textId="77777777" w:rsidR="00E23B49" w:rsidRDefault="00000000">
            <w:pPr>
              <w:spacing w:line="276" w:lineRule="auto"/>
              <w:ind w:right="-560"/>
              <w:jc w:val="both"/>
              <w:rPr>
                <w:rFonts w:ascii="Open Sans" w:eastAsia="Open Sans" w:hAnsi="Open Sans" w:cs="Open Sans"/>
                <w:color w:val="262626"/>
              </w:rPr>
            </w:pPr>
            <w:r>
              <w:rPr>
                <w:b w:val="0"/>
                <w:color w:val="000000"/>
              </w:rPr>
              <w:t>Soria</w:t>
            </w:r>
          </w:p>
        </w:tc>
        <w:tc>
          <w:tcPr>
            <w:tcW w:w="3544" w:type="dxa"/>
            <w:vAlign w:val="bottom"/>
          </w:tcPr>
          <w:p w14:paraId="3FD85A86"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0,0%</w:t>
            </w:r>
          </w:p>
        </w:tc>
      </w:tr>
      <w:tr w:rsidR="00E23B49" w14:paraId="32E3D4B9"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FE7F8B" w14:textId="77777777" w:rsidR="00E23B49" w:rsidRDefault="00000000">
            <w:pPr>
              <w:spacing w:line="276" w:lineRule="auto"/>
              <w:ind w:right="-560"/>
              <w:jc w:val="both"/>
              <w:rPr>
                <w:rFonts w:ascii="Open Sans" w:eastAsia="Open Sans" w:hAnsi="Open Sans" w:cs="Open Sans"/>
                <w:color w:val="262626"/>
              </w:rPr>
            </w:pPr>
            <w:r>
              <w:rPr>
                <w:b w:val="0"/>
                <w:color w:val="000000"/>
              </w:rPr>
              <w:t>Toledo</w:t>
            </w:r>
          </w:p>
        </w:tc>
        <w:tc>
          <w:tcPr>
            <w:tcW w:w="3544" w:type="dxa"/>
            <w:vAlign w:val="bottom"/>
          </w:tcPr>
          <w:p w14:paraId="596FD8FA"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000000"/>
              </w:rPr>
              <w:t>0,0%</w:t>
            </w:r>
          </w:p>
        </w:tc>
      </w:tr>
      <w:tr w:rsidR="00E23B49" w14:paraId="2BAD9F8C"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964983E" w14:textId="77777777" w:rsidR="00E23B49" w:rsidRDefault="00000000">
            <w:pPr>
              <w:spacing w:line="276" w:lineRule="auto"/>
              <w:ind w:right="-560"/>
              <w:jc w:val="both"/>
              <w:rPr>
                <w:rFonts w:ascii="Open Sans" w:eastAsia="Open Sans" w:hAnsi="Open Sans" w:cs="Open Sans"/>
                <w:color w:val="262626"/>
              </w:rPr>
            </w:pPr>
            <w:r>
              <w:rPr>
                <w:b w:val="0"/>
                <w:color w:val="000000"/>
              </w:rPr>
              <w:t>Teruel</w:t>
            </w:r>
          </w:p>
        </w:tc>
        <w:tc>
          <w:tcPr>
            <w:tcW w:w="3544" w:type="dxa"/>
            <w:vAlign w:val="bottom"/>
          </w:tcPr>
          <w:p w14:paraId="533176F6"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000000"/>
              </w:rPr>
              <w:t>0,0%</w:t>
            </w:r>
          </w:p>
        </w:tc>
      </w:tr>
      <w:tr w:rsidR="00E23B49" w14:paraId="0AF4C99F"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ECE9214" w14:textId="77777777" w:rsidR="00E23B49" w:rsidRDefault="00000000">
            <w:pPr>
              <w:spacing w:line="276" w:lineRule="auto"/>
              <w:ind w:right="-560"/>
              <w:jc w:val="both"/>
              <w:rPr>
                <w:rFonts w:ascii="Open Sans" w:eastAsia="Open Sans" w:hAnsi="Open Sans" w:cs="Open Sans"/>
                <w:color w:val="262626"/>
              </w:rPr>
            </w:pPr>
            <w:r>
              <w:rPr>
                <w:b w:val="0"/>
                <w:color w:val="000000"/>
              </w:rPr>
              <w:t>Tarragona</w:t>
            </w:r>
          </w:p>
        </w:tc>
        <w:tc>
          <w:tcPr>
            <w:tcW w:w="3544" w:type="dxa"/>
            <w:vAlign w:val="bottom"/>
          </w:tcPr>
          <w:p w14:paraId="15C6E967"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000000"/>
              </w:rPr>
              <w:t>0,0%</w:t>
            </w:r>
          </w:p>
        </w:tc>
      </w:tr>
      <w:tr w:rsidR="00E23B49" w14:paraId="12BA3FBD"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E78AE3" w14:textId="77777777" w:rsidR="00E23B49" w:rsidRDefault="00000000">
            <w:pPr>
              <w:spacing w:line="276" w:lineRule="auto"/>
              <w:ind w:right="-560"/>
              <w:jc w:val="both"/>
              <w:rPr>
                <w:rFonts w:ascii="Open Sans" w:eastAsia="Open Sans" w:hAnsi="Open Sans" w:cs="Open Sans"/>
                <w:color w:val="262626"/>
              </w:rPr>
            </w:pPr>
            <w:r>
              <w:rPr>
                <w:b w:val="0"/>
                <w:color w:val="000000"/>
              </w:rPr>
              <w:t>Alicante</w:t>
            </w:r>
          </w:p>
        </w:tc>
        <w:tc>
          <w:tcPr>
            <w:tcW w:w="3544" w:type="dxa"/>
            <w:vAlign w:val="bottom"/>
          </w:tcPr>
          <w:p w14:paraId="2CC81429"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-0,1%</w:t>
            </w:r>
          </w:p>
        </w:tc>
      </w:tr>
      <w:tr w:rsidR="00E23B49" w14:paraId="04FAE12A"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2BFD25" w14:textId="77777777" w:rsidR="00E23B49" w:rsidRDefault="00000000">
            <w:pPr>
              <w:spacing w:line="276" w:lineRule="auto"/>
              <w:ind w:right="-560"/>
              <w:jc w:val="both"/>
              <w:rPr>
                <w:rFonts w:ascii="Open Sans" w:eastAsia="Open Sans" w:hAnsi="Open Sans" w:cs="Open Sans"/>
                <w:color w:val="262626"/>
              </w:rPr>
            </w:pPr>
            <w:r>
              <w:rPr>
                <w:b w:val="0"/>
                <w:color w:val="000000"/>
              </w:rPr>
              <w:t>Cuenca</w:t>
            </w:r>
          </w:p>
        </w:tc>
        <w:tc>
          <w:tcPr>
            <w:tcW w:w="3544" w:type="dxa"/>
            <w:vAlign w:val="bottom"/>
          </w:tcPr>
          <w:p w14:paraId="489B32DB"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-0,1%</w:t>
            </w:r>
          </w:p>
        </w:tc>
      </w:tr>
      <w:tr w:rsidR="00E23B49" w14:paraId="16AA466E"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79CC76D" w14:textId="77777777" w:rsidR="00E23B49" w:rsidRDefault="00000000">
            <w:pPr>
              <w:spacing w:line="276" w:lineRule="auto"/>
              <w:ind w:right="-560"/>
              <w:jc w:val="both"/>
              <w:rPr>
                <w:rFonts w:ascii="Open Sans" w:eastAsia="Open Sans" w:hAnsi="Open Sans" w:cs="Open Sans"/>
                <w:color w:val="262626"/>
              </w:rPr>
            </w:pPr>
            <w:r>
              <w:rPr>
                <w:b w:val="0"/>
                <w:color w:val="000000"/>
              </w:rPr>
              <w:t>Sevilla</w:t>
            </w:r>
          </w:p>
        </w:tc>
        <w:tc>
          <w:tcPr>
            <w:tcW w:w="3544" w:type="dxa"/>
            <w:vAlign w:val="bottom"/>
          </w:tcPr>
          <w:p w14:paraId="449B58CB"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-0,3%</w:t>
            </w:r>
          </w:p>
        </w:tc>
      </w:tr>
      <w:tr w:rsidR="00E23B49" w14:paraId="176C9776"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D5CA5E8" w14:textId="77777777" w:rsidR="00E23B49" w:rsidRDefault="00000000">
            <w:pPr>
              <w:spacing w:line="276" w:lineRule="auto"/>
              <w:ind w:right="-560"/>
              <w:jc w:val="both"/>
              <w:rPr>
                <w:rFonts w:ascii="Open Sans" w:eastAsia="Open Sans" w:hAnsi="Open Sans" w:cs="Open Sans"/>
                <w:color w:val="262626"/>
              </w:rPr>
            </w:pPr>
            <w:r>
              <w:rPr>
                <w:b w:val="0"/>
                <w:color w:val="000000"/>
              </w:rPr>
              <w:t>Cádiz</w:t>
            </w:r>
          </w:p>
        </w:tc>
        <w:tc>
          <w:tcPr>
            <w:tcW w:w="3544" w:type="dxa"/>
            <w:vAlign w:val="bottom"/>
          </w:tcPr>
          <w:p w14:paraId="065574C0"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-0,4%</w:t>
            </w:r>
          </w:p>
        </w:tc>
      </w:tr>
      <w:tr w:rsidR="00E23B49" w14:paraId="76FB7E1E"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BFB35B3" w14:textId="77777777" w:rsidR="00E23B49" w:rsidRDefault="00000000">
            <w:pPr>
              <w:spacing w:line="276" w:lineRule="auto"/>
              <w:ind w:right="-560"/>
              <w:jc w:val="both"/>
              <w:rPr>
                <w:rFonts w:ascii="Open Sans" w:eastAsia="Open Sans" w:hAnsi="Open Sans" w:cs="Open Sans"/>
                <w:color w:val="262626"/>
              </w:rPr>
            </w:pPr>
            <w:r>
              <w:rPr>
                <w:b w:val="0"/>
                <w:color w:val="000000"/>
              </w:rPr>
              <w:t>Santa Cruz de T.</w:t>
            </w:r>
          </w:p>
        </w:tc>
        <w:tc>
          <w:tcPr>
            <w:tcW w:w="3544" w:type="dxa"/>
            <w:vAlign w:val="bottom"/>
          </w:tcPr>
          <w:p w14:paraId="2F47F7D5"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-0,4%</w:t>
            </w:r>
          </w:p>
        </w:tc>
      </w:tr>
      <w:tr w:rsidR="00E23B49" w14:paraId="171776C3"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92239A3" w14:textId="77777777" w:rsidR="00E23B49" w:rsidRDefault="00000000">
            <w:pPr>
              <w:spacing w:line="276" w:lineRule="auto"/>
              <w:ind w:right="-560"/>
              <w:jc w:val="both"/>
              <w:rPr>
                <w:rFonts w:ascii="Open Sans" w:eastAsia="Open Sans" w:hAnsi="Open Sans" w:cs="Open Sans"/>
                <w:color w:val="262626"/>
              </w:rPr>
            </w:pPr>
            <w:r>
              <w:rPr>
                <w:b w:val="0"/>
                <w:color w:val="000000"/>
              </w:rPr>
              <w:t>Badajoz</w:t>
            </w:r>
          </w:p>
        </w:tc>
        <w:tc>
          <w:tcPr>
            <w:tcW w:w="3544" w:type="dxa"/>
            <w:vAlign w:val="bottom"/>
          </w:tcPr>
          <w:p w14:paraId="2109FC0E"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-0,5%</w:t>
            </w:r>
          </w:p>
        </w:tc>
      </w:tr>
      <w:tr w:rsidR="00E23B49" w14:paraId="76A4B820"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A33C9DD" w14:textId="77777777" w:rsidR="00E23B49" w:rsidRDefault="00000000">
            <w:pPr>
              <w:spacing w:line="276" w:lineRule="auto"/>
              <w:ind w:right="-560"/>
              <w:jc w:val="both"/>
              <w:rPr>
                <w:rFonts w:ascii="Open Sans" w:eastAsia="Open Sans" w:hAnsi="Open Sans" w:cs="Open Sans"/>
                <w:color w:val="262626"/>
              </w:rPr>
            </w:pPr>
            <w:r>
              <w:rPr>
                <w:b w:val="0"/>
                <w:color w:val="000000"/>
              </w:rPr>
              <w:t>Pamplona</w:t>
            </w:r>
          </w:p>
        </w:tc>
        <w:tc>
          <w:tcPr>
            <w:tcW w:w="3544" w:type="dxa"/>
            <w:vAlign w:val="bottom"/>
          </w:tcPr>
          <w:p w14:paraId="2FD417E0"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-0,6%</w:t>
            </w:r>
          </w:p>
        </w:tc>
      </w:tr>
      <w:tr w:rsidR="00E23B49" w14:paraId="698FEC4B"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83895F8" w14:textId="77777777" w:rsidR="00E23B49" w:rsidRDefault="00000000">
            <w:pPr>
              <w:spacing w:line="276" w:lineRule="auto"/>
              <w:ind w:right="-560"/>
              <w:jc w:val="both"/>
              <w:rPr>
                <w:rFonts w:ascii="Open Sans" w:eastAsia="Open Sans" w:hAnsi="Open Sans" w:cs="Open Sans"/>
                <w:color w:val="262626"/>
              </w:rPr>
            </w:pPr>
            <w:r>
              <w:rPr>
                <w:b w:val="0"/>
                <w:color w:val="000000"/>
              </w:rPr>
              <w:t>Almería</w:t>
            </w:r>
          </w:p>
        </w:tc>
        <w:tc>
          <w:tcPr>
            <w:tcW w:w="3544" w:type="dxa"/>
            <w:vAlign w:val="bottom"/>
          </w:tcPr>
          <w:p w14:paraId="1DDE05C4"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-0,9%</w:t>
            </w:r>
          </w:p>
        </w:tc>
      </w:tr>
      <w:tr w:rsidR="00E23B49" w14:paraId="1B8EA552"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168ED02" w14:textId="77777777" w:rsidR="00E23B49" w:rsidRDefault="00000000">
            <w:pPr>
              <w:spacing w:line="276" w:lineRule="auto"/>
              <w:ind w:right="-560"/>
              <w:jc w:val="both"/>
              <w:rPr>
                <w:rFonts w:ascii="Open Sans" w:eastAsia="Open Sans" w:hAnsi="Open Sans" w:cs="Open Sans"/>
                <w:color w:val="262626"/>
              </w:rPr>
            </w:pPr>
            <w:r>
              <w:rPr>
                <w:b w:val="0"/>
                <w:color w:val="000000"/>
              </w:rPr>
              <w:t>Huesca</w:t>
            </w:r>
          </w:p>
        </w:tc>
        <w:tc>
          <w:tcPr>
            <w:tcW w:w="3544" w:type="dxa"/>
            <w:vAlign w:val="bottom"/>
          </w:tcPr>
          <w:p w14:paraId="415957EB"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-1,1%</w:t>
            </w:r>
          </w:p>
        </w:tc>
      </w:tr>
      <w:tr w:rsidR="00E23B49" w14:paraId="1F95F601"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A68F130" w14:textId="77777777" w:rsidR="00E23B49" w:rsidRDefault="00000000">
            <w:pPr>
              <w:spacing w:line="276" w:lineRule="auto"/>
              <w:ind w:right="-560"/>
              <w:jc w:val="both"/>
              <w:rPr>
                <w:rFonts w:ascii="Open Sans" w:eastAsia="Open Sans" w:hAnsi="Open Sans" w:cs="Open Sans"/>
                <w:color w:val="262626"/>
              </w:rPr>
            </w:pPr>
            <w:r>
              <w:rPr>
                <w:b w:val="0"/>
                <w:color w:val="000000"/>
              </w:rPr>
              <w:t>Girona</w:t>
            </w:r>
          </w:p>
        </w:tc>
        <w:tc>
          <w:tcPr>
            <w:tcW w:w="3544" w:type="dxa"/>
            <w:vAlign w:val="bottom"/>
          </w:tcPr>
          <w:p w14:paraId="36F99355"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-2,5%</w:t>
            </w:r>
          </w:p>
        </w:tc>
      </w:tr>
      <w:tr w:rsidR="00E23B49" w14:paraId="0D46AB50" w14:textId="77777777" w:rsidTr="00E23B49">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0B3AD6" w14:textId="77777777" w:rsidR="00E23B49" w:rsidRDefault="00000000">
            <w:pPr>
              <w:spacing w:line="276" w:lineRule="auto"/>
              <w:ind w:right="-560"/>
              <w:jc w:val="both"/>
              <w:rPr>
                <w:rFonts w:ascii="Open Sans" w:eastAsia="Open Sans" w:hAnsi="Open Sans" w:cs="Open Sans"/>
                <w:color w:val="262626"/>
              </w:rPr>
            </w:pPr>
            <w:r>
              <w:rPr>
                <w:b w:val="0"/>
                <w:color w:val="000000"/>
              </w:rPr>
              <w:t>Murcia</w:t>
            </w:r>
          </w:p>
        </w:tc>
        <w:tc>
          <w:tcPr>
            <w:tcW w:w="3544" w:type="dxa"/>
            <w:vAlign w:val="bottom"/>
          </w:tcPr>
          <w:p w14:paraId="64DCFF9A" w14:textId="77777777" w:rsidR="00E23B49"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-3,5%</w:t>
            </w:r>
          </w:p>
        </w:tc>
      </w:tr>
      <w:tr w:rsidR="00E23B49" w14:paraId="0ADCFF62" w14:textId="77777777" w:rsidTr="00E23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26D2E8" w14:textId="77777777" w:rsidR="00E23B49" w:rsidRDefault="00000000">
            <w:pPr>
              <w:spacing w:line="276" w:lineRule="auto"/>
              <w:ind w:right="-560"/>
              <w:jc w:val="both"/>
              <w:rPr>
                <w:rFonts w:ascii="Open Sans" w:eastAsia="Open Sans" w:hAnsi="Open Sans" w:cs="Open Sans"/>
                <w:color w:val="262626"/>
              </w:rPr>
            </w:pPr>
            <w:r>
              <w:rPr>
                <w:b w:val="0"/>
                <w:color w:val="000000"/>
              </w:rPr>
              <w:t>León</w:t>
            </w:r>
          </w:p>
        </w:tc>
        <w:tc>
          <w:tcPr>
            <w:tcW w:w="3544" w:type="dxa"/>
            <w:vAlign w:val="bottom"/>
          </w:tcPr>
          <w:p w14:paraId="4B760CFC" w14:textId="77777777" w:rsidR="00E23B49"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-5,5%</w:t>
            </w:r>
          </w:p>
        </w:tc>
      </w:tr>
    </w:tbl>
    <w:p w14:paraId="5B3E124A" w14:textId="77777777" w:rsidR="00E23B49" w:rsidRDefault="00E23B49">
      <w:pPr>
        <w:spacing w:line="276" w:lineRule="auto"/>
        <w:ind w:right="-560"/>
        <w:jc w:val="both"/>
        <w:rPr>
          <w:rFonts w:ascii="Open Sans" w:eastAsia="Open Sans" w:hAnsi="Open Sans" w:cs="Open Sans"/>
          <w:b/>
          <w:color w:val="262626"/>
          <w:sz w:val="22"/>
          <w:szCs w:val="22"/>
        </w:rPr>
      </w:pPr>
    </w:p>
    <w:p w14:paraId="775089DB" w14:textId="77777777" w:rsidR="00E23B49" w:rsidRDefault="00E23B49">
      <w:pPr>
        <w:spacing w:line="276" w:lineRule="auto"/>
        <w:ind w:right="-433"/>
        <w:rPr>
          <w:rFonts w:ascii="Open Sans" w:eastAsia="Open Sans" w:hAnsi="Open Sans" w:cs="Open Sans"/>
          <w:color w:val="262626"/>
          <w:sz w:val="22"/>
          <w:szCs w:val="22"/>
        </w:rPr>
      </w:pPr>
    </w:p>
    <w:p w14:paraId="67C582C1" w14:textId="77777777" w:rsidR="00E23B49" w:rsidRDefault="00E23B49">
      <w:pPr>
        <w:spacing w:line="276" w:lineRule="auto"/>
        <w:ind w:right="-433"/>
        <w:rPr>
          <w:rFonts w:ascii="Open Sans" w:eastAsia="Open Sans" w:hAnsi="Open Sans" w:cs="Open Sans"/>
          <w:b/>
          <w:color w:val="303AB2"/>
        </w:rPr>
      </w:pPr>
    </w:p>
    <w:p w14:paraId="1F360B0B" w14:textId="77777777" w:rsidR="00E23B49"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DataVenues</w:t>
      </w:r>
    </w:p>
    <w:p w14:paraId="7752722B" w14:textId="77777777" w:rsidR="00E23B49" w:rsidRDefault="00000000">
      <w:pPr>
        <w:shd w:val="clear" w:color="auto" w:fill="FFFFFF"/>
        <w:spacing w:before="280" w:after="280" w:line="276" w:lineRule="auto"/>
        <w:ind w:right="-433"/>
        <w:jc w:val="both"/>
        <w:rPr>
          <w:rFonts w:ascii="Open Sans" w:eastAsia="Open Sans" w:hAnsi="Open Sans" w:cs="Open Sans"/>
          <w:sz w:val="22"/>
          <w:szCs w:val="22"/>
        </w:rPr>
      </w:pPr>
      <w:hyperlink r:id="rId17">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8">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DataVenues incluye datos propios del portal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 </w:t>
      </w:r>
    </w:p>
    <w:p w14:paraId="30F2DF45" w14:textId="77777777" w:rsidR="00E23B49" w:rsidRDefault="00E23B49">
      <w:pPr>
        <w:spacing w:line="276" w:lineRule="auto"/>
        <w:jc w:val="right"/>
        <w:rPr>
          <w:rFonts w:ascii="Open Sans" w:eastAsia="Open Sans" w:hAnsi="Open Sans" w:cs="Open Sans"/>
          <w:b/>
          <w:color w:val="303AB2"/>
        </w:rPr>
      </w:pPr>
    </w:p>
    <w:p w14:paraId="706C3973" w14:textId="77777777" w:rsidR="00E23B49" w:rsidRDefault="00E23B49">
      <w:pPr>
        <w:spacing w:line="276" w:lineRule="auto"/>
        <w:jc w:val="right"/>
        <w:rPr>
          <w:rFonts w:ascii="Open Sans" w:eastAsia="Open Sans" w:hAnsi="Open Sans" w:cs="Open Sans"/>
          <w:b/>
          <w:color w:val="303AB2"/>
        </w:rPr>
      </w:pPr>
    </w:p>
    <w:p w14:paraId="02E4D363" w14:textId="77777777" w:rsidR="00E23B49" w:rsidRDefault="00E23B49">
      <w:pPr>
        <w:spacing w:line="276" w:lineRule="auto"/>
        <w:ind w:right="-433"/>
        <w:jc w:val="right"/>
        <w:rPr>
          <w:rFonts w:ascii="Open Sans" w:eastAsia="Open Sans" w:hAnsi="Open Sans" w:cs="Open Sans"/>
          <w:b/>
          <w:color w:val="303AB2"/>
        </w:rPr>
      </w:pPr>
    </w:p>
    <w:p w14:paraId="1F8E31F1" w14:textId="77777777" w:rsidR="00E23B49" w:rsidRDefault="00E23B49">
      <w:pPr>
        <w:spacing w:line="276" w:lineRule="auto"/>
        <w:ind w:right="-433"/>
        <w:jc w:val="right"/>
        <w:rPr>
          <w:rFonts w:ascii="Open Sans" w:eastAsia="Open Sans" w:hAnsi="Open Sans" w:cs="Open Sans"/>
          <w:b/>
          <w:color w:val="303AB2"/>
        </w:rPr>
      </w:pPr>
    </w:p>
    <w:p w14:paraId="2D1EAE24" w14:textId="77777777" w:rsidR="00E23B49"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0D0B5F6B" w14:textId="77777777" w:rsidR="00E23B49"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6" w:name="_heading=h.2s8eyo1" w:colFirst="0" w:colLast="0"/>
    <w:bookmarkEnd w:id="6"/>
    <w:p w14:paraId="0858322A" w14:textId="77777777" w:rsidR="00E23B49"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hyperlink r:id="rId21">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3A8921C4" w14:textId="77777777" w:rsidR="00E23B49" w:rsidRDefault="00000000">
      <w:pPr>
        <w:shd w:val="clear" w:color="auto" w:fill="FFFFFF"/>
        <w:spacing w:before="280" w:after="280" w:line="276" w:lineRule="auto"/>
        <w:ind w:right="-433"/>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9E131FF" w14:textId="77777777" w:rsidR="00E23B49" w:rsidRDefault="00E23B49">
      <w:pPr>
        <w:spacing w:line="276" w:lineRule="auto"/>
        <w:ind w:right="-142"/>
        <w:jc w:val="right"/>
        <w:rPr>
          <w:rFonts w:ascii="Open Sans" w:eastAsia="Open Sans" w:hAnsi="Open Sans" w:cs="Open Sans"/>
          <w:b/>
          <w:color w:val="303AB2"/>
        </w:rPr>
      </w:pPr>
    </w:p>
    <w:p w14:paraId="0F47DCA8" w14:textId="77777777" w:rsidR="00E23B49" w:rsidRDefault="00E23B49">
      <w:pPr>
        <w:spacing w:line="276" w:lineRule="auto"/>
        <w:ind w:right="-142"/>
        <w:jc w:val="right"/>
        <w:rPr>
          <w:rFonts w:ascii="Open Sans" w:eastAsia="Open Sans" w:hAnsi="Open Sans" w:cs="Open Sans"/>
          <w:b/>
          <w:color w:val="303AB2"/>
        </w:rPr>
      </w:pPr>
    </w:p>
    <w:p w14:paraId="52E8C46A" w14:textId="77777777" w:rsidR="00E23B49" w:rsidRDefault="00000000">
      <w:pPr>
        <w:spacing w:line="276" w:lineRule="auto"/>
        <w:ind w:right="-142"/>
        <w:jc w:val="right"/>
        <w:rPr>
          <w:rFonts w:ascii="Open Sans" w:eastAsia="Open Sans" w:hAnsi="Open Sans" w:cs="Open Sans"/>
          <w:b/>
          <w:color w:val="303AB2"/>
        </w:rPr>
      </w:pPr>
      <w:r>
        <w:rPr>
          <w:rFonts w:ascii="Open Sans" w:eastAsia="Open Sans" w:hAnsi="Open Sans" w:cs="Open Sans"/>
          <w:b/>
          <w:color w:val="303AB2"/>
        </w:rPr>
        <w:t>Sobre Adevinta</w:t>
      </w:r>
    </w:p>
    <w:p w14:paraId="46C3F6DE" w14:textId="77777777" w:rsidR="00E23B49"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8">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6E26CC0" w14:textId="77777777" w:rsidR="00E23B49" w:rsidRDefault="00000000">
      <w:pPr>
        <w:spacing w:before="143" w:after="200"/>
        <w:ind w:right="-142"/>
        <w:jc w:val="both"/>
        <w:rPr>
          <w:rFonts w:ascii="Open Sans" w:eastAsia="Open Sans" w:hAnsi="Open Sans" w:cs="Open Sans"/>
          <w:sz w:val="22"/>
          <w:szCs w:val="22"/>
        </w:rPr>
      </w:pPr>
      <w:bookmarkStart w:id="7" w:name="_heading=h.ilmbw3o9bhhp" w:colFirst="0" w:colLast="0"/>
      <w:bookmarkEnd w:id="7"/>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1772F43E" w14:textId="77777777" w:rsidR="00E23B49"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010B6FB" w14:textId="77777777" w:rsidR="00E23B49"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29">
        <w:r>
          <w:rPr>
            <w:rFonts w:ascii="Open Sans" w:eastAsia="Open Sans" w:hAnsi="Open Sans" w:cs="Open Sans"/>
            <w:color w:val="1155CC"/>
            <w:sz w:val="22"/>
            <w:szCs w:val="22"/>
            <w:u w:val="single"/>
          </w:rPr>
          <w:t>adevinta.es</w:t>
        </w:r>
      </w:hyperlink>
    </w:p>
    <w:p w14:paraId="0C488777" w14:textId="77777777" w:rsidR="00E23B49" w:rsidRDefault="00E23B49">
      <w:pPr>
        <w:spacing w:line="276" w:lineRule="auto"/>
        <w:ind w:right="-142"/>
        <w:jc w:val="right"/>
        <w:rPr>
          <w:rFonts w:ascii="Open Sans" w:eastAsia="Open Sans" w:hAnsi="Open Sans" w:cs="Open Sans"/>
        </w:rPr>
      </w:pPr>
    </w:p>
    <w:p w14:paraId="55819042" w14:textId="77777777" w:rsidR="00E23B49" w:rsidRDefault="00000000">
      <w:pPr>
        <w:spacing w:line="276" w:lineRule="auto"/>
        <w:ind w:right="-142"/>
        <w:rPr>
          <w:rFonts w:ascii="Open Sans" w:eastAsia="Open Sans" w:hAnsi="Open Sans" w:cs="Open Sans"/>
          <w:b/>
          <w:color w:val="303AB2"/>
          <w:sz w:val="22"/>
          <w:szCs w:val="22"/>
        </w:rPr>
      </w:pPr>
      <w:r>
        <w:rPr>
          <w:rFonts w:ascii="Open Sans" w:eastAsia="Open Sans" w:hAnsi="Open Sans" w:cs="Open Sans"/>
          <w:b/>
          <w:color w:val="303AB2"/>
          <w:sz w:val="22"/>
          <w:szCs w:val="22"/>
        </w:rPr>
        <w:lastRenderedPageBreak/>
        <w:t>Departamento Comunicación Fotocasa</w:t>
      </w:r>
    </w:p>
    <w:p w14:paraId="66881E5F" w14:textId="77777777" w:rsidR="00E23B49"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F022005" w14:textId="77777777" w:rsidR="00E23B49" w:rsidRDefault="00000000">
      <w:pPr>
        <w:shd w:val="clear" w:color="auto" w:fill="FFFFFF"/>
        <w:spacing w:line="276" w:lineRule="auto"/>
        <w:ind w:right="-142"/>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5F931CCE" w14:textId="77777777" w:rsidR="00E23B49" w:rsidRDefault="00000000">
      <w:pPr>
        <w:shd w:val="clear" w:color="auto" w:fill="FFFFFF"/>
        <w:spacing w:line="276" w:lineRule="auto"/>
        <w:ind w:right="-142"/>
        <w:rPr>
          <w:rFonts w:ascii="Open Sans" w:eastAsia="Open Sans" w:hAnsi="Open Sans" w:cs="Open Sans"/>
          <w:sz w:val="22"/>
          <w:szCs w:val="22"/>
        </w:rPr>
      </w:pPr>
      <w:r>
        <w:rPr>
          <w:rFonts w:ascii="Open Sans" w:eastAsia="Open Sans" w:hAnsi="Open Sans" w:cs="Open Sans"/>
          <w:color w:val="000000"/>
          <w:sz w:val="22"/>
          <w:szCs w:val="22"/>
        </w:rPr>
        <w:t>620 66 29 26</w:t>
      </w:r>
    </w:p>
    <w:sectPr w:rsidR="00E23B49">
      <w:headerReference w:type="default" r:id="rId31"/>
      <w:footerReference w:type="default" r:id="rId3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0B64B" w14:textId="77777777" w:rsidR="003F00D1" w:rsidRDefault="003F00D1">
      <w:r>
        <w:separator/>
      </w:r>
    </w:p>
  </w:endnote>
  <w:endnote w:type="continuationSeparator" w:id="0">
    <w:p w14:paraId="3ECBE996" w14:textId="77777777" w:rsidR="003F00D1" w:rsidRDefault="003F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D41B84-F0F6-47BE-93E6-EEB3C2D729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C6332B-F9FF-4E8E-A62E-6881B40CF4FB}"/>
    <w:embedBold r:id="rId3" w:fontKey="{85249499-2580-4029-B583-91E2832C499A}"/>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75C1A042-B11B-4307-8A62-A3073B14243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F80C27A-5075-4A5F-AB74-B35F90112606}"/>
    <w:embedItalic r:id="rId6" w:fontKey="{0AE9E94C-E7D0-4506-8105-F99636A6CE6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7AEC449-7E05-4A6A-9C16-BE2BDCC82541}"/>
    <w:embedBold r:id="rId8" w:fontKey="{2D8D64C2-2A5B-4F91-ABA0-93E2C3B0D7E9}"/>
    <w:embedItalic r:id="rId9" w:fontKey="{8940E7BB-EEDB-4DDC-8708-46086E863608}"/>
    <w:embedBoldItalic r:id="rId10" w:fontKey="{97356D49-5F2C-4AE1-8E93-CDF20A7F6DF9}"/>
  </w:font>
  <w:font w:name="Calibri Light">
    <w:panose1 w:val="020F0302020204030204"/>
    <w:charset w:val="00"/>
    <w:family w:val="swiss"/>
    <w:pitch w:val="variable"/>
    <w:sig w:usb0="E4002EFF" w:usb1="C200247B" w:usb2="00000009" w:usb3="00000000" w:csb0="000001FF" w:csb1="00000000"/>
    <w:embedRegular r:id="rId11" w:fontKey="{98AE22FB-C7F7-49E2-B45C-AA02B80C2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0038" w14:textId="77777777" w:rsidR="00E23B4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653DB297" wp14:editId="0AF938C7">
          <wp:simplePos x="0" y="0"/>
          <wp:positionH relativeFrom="column">
            <wp:posOffset>-1080132</wp:posOffset>
          </wp:positionH>
          <wp:positionV relativeFrom="paragraph">
            <wp:posOffset>294640</wp:posOffset>
          </wp:positionV>
          <wp:extent cx="7670550" cy="451315"/>
          <wp:effectExtent l="0" t="0" r="0" b="0"/>
          <wp:wrapSquare wrapText="bothSides" distT="0" distB="0" distL="0" distR="0"/>
          <wp:docPr id="17710451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D13A1" w14:textId="77777777" w:rsidR="003F00D1" w:rsidRDefault="003F00D1">
      <w:r>
        <w:separator/>
      </w:r>
    </w:p>
  </w:footnote>
  <w:footnote w:type="continuationSeparator" w:id="0">
    <w:p w14:paraId="7C3BFF82" w14:textId="77777777" w:rsidR="003F00D1" w:rsidRDefault="003F0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A6A" w14:textId="77777777" w:rsidR="00E23B49"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F57AEA9" wp14:editId="21D44E1B">
          <wp:simplePos x="0" y="0"/>
          <wp:positionH relativeFrom="column">
            <wp:posOffset>-1234438</wp:posOffset>
          </wp:positionH>
          <wp:positionV relativeFrom="paragraph">
            <wp:posOffset>-239392</wp:posOffset>
          </wp:positionV>
          <wp:extent cx="2939415" cy="1019175"/>
          <wp:effectExtent l="0" t="0" r="0" b="0"/>
          <wp:wrapNone/>
          <wp:docPr id="1771045152"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Patrón de fondo&#10;&#10;El contenido generado por IA puede ser incorrecto."/>
                  <pic:cNvPicPr preferRelativeResize="0"/>
                </pic:nvPicPr>
                <pic:blipFill>
                  <a:blip r:embed="rId1"/>
                  <a:srcRect l="-1337" r="62567"/>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C52AF0" wp14:editId="6F0D1DD0">
          <wp:simplePos x="0" y="0"/>
          <wp:positionH relativeFrom="column">
            <wp:posOffset>3903345</wp:posOffset>
          </wp:positionH>
          <wp:positionV relativeFrom="paragraph">
            <wp:posOffset>-33018</wp:posOffset>
          </wp:positionV>
          <wp:extent cx="2352040" cy="895350"/>
          <wp:effectExtent l="0" t="0" r="0" b="0"/>
          <wp:wrapSquare wrapText="bothSides" distT="0" distB="0" distL="114300" distR="114300"/>
          <wp:docPr id="1771045154" name="image2.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62395C84" w14:textId="77777777" w:rsidR="00E23B49" w:rsidRDefault="00E23B49">
    <w:pPr>
      <w:pBdr>
        <w:top w:val="nil"/>
        <w:left w:val="nil"/>
        <w:bottom w:val="nil"/>
        <w:right w:val="nil"/>
        <w:between w:val="nil"/>
      </w:pBdr>
      <w:tabs>
        <w:tab w:val="center" w:pos="4252"/>
        <w:tab w:val="right" w:pos="8504"/>
      </w:tabs>
      <w:rPr>
        <w:color w:val="000000"/>
      </w:rPr>
    </w:pPr>
  </w:p>
  <w:p w14:paraId="4D9F13C9" w14:textId="77777777" w:rsidR="00E23B49" w:rsidRDefault="00E23B49">
    <w:pPr>
      <w:pBdr>
        <w:top w:val="nil"/>
        <w:left w:val="nil"/>
        <w:bottom w:val="nil"/>
        <w:right w:val="nil"/>
        <w:between w:val="nil"/>
      </w:pBdr>
      <w:tabs>
        <w:tab w:val="center" w:pos="4252"/>
        <w:tab w:val="right" w:pos="8504"/>
      </w:tabs>
      <w:rPr>
        <w:color w:val="000000"/>
      </w:rPr>
    </w:pPr>
  </w:p>
  <w:p w14:paraId="6AC6EC12" w14:textId="77777777" w:rsidR="00E23B49" w:rsidRDefault="00E23B49">
    <w:pPr>
      <w:pBdr>
        <w:top w:val="nil"/>
        <w:left w:val="nil"/>
        <w:bottom w:val="nil"/>
        <w:right w:val="nil"/>
        <w:between w:val="nil"/>
      </w:pBdr>
      <w:tabs>
        <w:tab w:val="center" w:pos="4252"/>
        <w:tab w:val="right" w:pos="8504"/>
      </w:tabs>
      <w:rPr>
        <w:color w:val="000000"/>
      </w:rPr>
    </w:pPr>
  </w:p>
  <w:p w14:paraId="6C5B5783" w14:textId="77777777" w:rsidR="00E23B49" w:rsidRDefault="00E23B49">
    <w:pPr>
      <w:pBdr>
        <w:top w:val="nil"/>
        <w:left w:val="nil"/>
        <w:bottom w:val="nil"/>
        <w:right w:val="nil"/>
        <w:between w:val="nil"/>
      </w:pBdr>
      <w:tabs>
        <w:tab w:val="center" w:pos="4252"/>
        <w:tab w:val="right" w:pos="8504"/>
      </w:tabs>
      <w:rPr>
        <w:color w:val="000000"/>
      </w:rPr>
    </w:pPr>
  </w:p>
  <w:p w14:paraId="073928DD" w14:textId="77777777" w:rsidR="00E23B49" w:rsidRDefault="00E23B4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B2FF9"/>
    <w:multiLevelType w:val="multilevel"/>
    <w:tmpl w:val="62E8E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3245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B49"/>
    <w:rsid w:val="003F00D1"/>
    <w:rsid w:val="00425251"/>
    <w:rsid w:val="00B67806"/>
    <w:rsid w:val="00E23B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EA155"/>
  <w15:docId w15:val="{A9600639-3D8A-4EC0-BF8E-E8E22906E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9"/>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2"/>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6">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atavenues.com/" TargetMode="External"/><Relationship Id="rId18" Type="http://schemas.openxmlformats.org/officeDocument/2006/relationships/hyperlink" Target="https://datavenues.com/"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s://www.adevinta.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atavenues.com/" TargetMode="External"/><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habitaclia.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fotocasa.es/es/" TargetMode="External"/><Relationship Id="rId28" Type="http://schemas.openxmlformats.org/officeDocument/2006/relationships/hyperlink" Target="https://www.milanuncios.com/"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chart" Target="charts/chart2.xml"/><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8" Type="http://schemas.openxmlformats.org/officeDocument/2006/relationships/hyperlink" Target="https://datavenu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Projectes/2025/251006_SmartPrice%20Q4/results_city_2025_septemb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Projectes/2025/251006_SmartPrice%20Q4/results_city_2025_septemb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forecast!$G$20510:$K$20788</c:f>
              <c:strCache>
                <c:ptCount val="33"/>
                <c:pt idx="0">
                  <c:v>Palencia</c:v>
                </c:pt>
                <c:pt idx="1">
                  <c:v>Castellón de la Plana</c:v>
                </c:pt>
                <c:pt idx="2">
                  <c:v>Oviedo</c:v>
                </c:pt>
                <c:pt idx="3">
                  <c:v>Huelva</c:v>
                </c:pt>
                <c:pt idx="4">
                  <c:v>Cáceres</c:v>
                </c:pt>
                <c:pt idx="5">
                  <c:v>Segovia</c:v>
                </c:pt>
                <c:pt idx="6">
                  <c:v>Ourense</c:v>
                </c:pt>
                <c:pt idx="7">
                  <c:v>Logroño</c:v>
                </c:pt>
                <c:pt idx="8">
                  <c:v>Albacete</c:v>
                </c:pt>
                <c:pt idx="9">
                  <c:v>Guadalajara</c:v>
                </c:pt>
                <c:pt idx="10">
                  <c:v>Pontevedra</c:v>
                </c:pt>
                <c:pt idx="11">
                  <c:v>Burgos</c:v>
                </c:pt>
                <c:pt idx="12">
                  <c:v>Valencia</c:v>
                </c:pt>
                <c:pt idx="13">
                  <c:v>Valladolid</c:v>
                </c:pt>
                <c:pt idx="14">
                  <c:v>Granada</c:v>
                </c:pt>
                <c:pt idx="15">
                  <c:v>Jaén</c:v>
                </c:pt>
                <c:pt idx="16">
                  <c:v>Ávila</c:v>
                </c:pt>
                <c:pt idx="17">
                  <c:v>Zamora</c:v>
                </c:pt>
                <c:pt idx="18">
                  <c:v>Salamanca</c:v>
                </c:pt>
                <c:pt idx="19">
                  <c:v>Madrid</c:v>
                </c:pt>
                <c:pt idx="20">
                  <c:v>La Coruña</c:v>
                </c:pt>
                <c:pt idx="21">
                  <c:v>Córdoba</c:v>
                </c:pt>
                <c:pt idx="22">
                  <c:v>Las Palmas de G. C.</c:v>
                </c:pt>
                <c:pt idx="23">
                  <c:v>Santander</c:v>
                </c:pt>
                <c:pt idx="24">
                  <c:v>Barcelona</c:v>
                </c:pt>
                <c:pt idx="25">
                  <c:v>Málaga</c:v>
                </c:pt>
                <c:pt idx="26">
                  <c:v>Lugo</c:v>
                </c:pt>
                <c:pt idx="27">
                  <c:v>Ciudad Real</c:v>
                </c:pt>
                <c:pt idx="28">
                  <c:v>San Sebastián</c:v>
                </c:pt>
                <c:pt idx="29">
                  <c:v>Palma</c:v>
                </c:pt>
                <c:pt idx="30">
                  <c:v>Vigo</c:v>
                </c:pt>
                <c:pt idx="31">
                  <c:v>Zaragoza</c:v>
                </c:pt>
                <c:pt idx="32">
                  <c:v>Vitoria</c:v>
                </c:pt>
              </c:strCache>
            </c:strRef>
          </c:cat>
          <c:val>
            <c:numRef>
              <c:f>forecast!$L$20510:$L$20788</c:f>
            </c:numRef>
          </c:val>
          <c:extLst>
            <c:ext xmlns:c16="http://schemas.microsoft.com/office/drawing/2014/chart" uri="{C3380CC4-5D6E-409C-BE32-E72D297353CC}">
              <c16:uniqueId val="{00000000-8529-4CE9-B545-10EB9C2177D3}"/>
            </c:ext>
          </c:extLst>
        </c:ser>
        <c:ser>
          <c:idx val="1"/>
          <c:order val="1"/>
          <c:spPr>
            <a:solidFill>
              <a:schemeClr val="accent2"/>
            </a:solidFill>
            <a:ln>
              <a:noFill/>
            </a:ln>
            <a:effectLst/>
          </c:spPr>
          <c:invertIfNegative val="0"/>
          <c:cat>
            <c:strRef>
              <c:f>forecast!$G$20510:$K$20788</c:f>
              <c:strCache>
                <c:ptCount val="33"/>
                <c:pt idx="0">
                  <c:v>Palencia</c:v>
                </c:pt>
                <c:pt idx="1">
                  <c:v>Castellón de la Plana</c:v>
                </c:pt>
                <c:pt idx="2">
                  <c:v>Oviedo</c:v>
                </c:pt>
                <c:pt idx="3">
                  <c:v>Huelva</c:v>
                </c:pt>
                <c:pt idx="4">
                  <c:v>Cáceres</c:v>
                </c:pt>
                <c:pt idx="5">
                  <c:v>Segovia</c:v>
                </c:pt>
                <c:pt idx="6">
                  <c:v>Ourense</c:v>
                </c:pt>
                <c:pt idx="7">
                  <c:v>Logroño</c:v>
                </c:pt>
                <c:pt idx="8">
                  <c:v>Albacete</c:v>
                </c:pt>
                <c:pt idx="9">
                  <c:v>Guadalajara</c:v>
                </c:pt>
                <c:pt idx="10">
                  <c:v>Pontevedra</c:v>
                </c:pt>
                <c:pt idx="11">
                  <c:v>Burgos</c:v>
                </c:pt>
                <c:pt idx="12">
                  <c:v>Valencia</c:v>
                </c:pt>
                <c:pt idx="13">
                  <c:v>Valladolid</c:v>
                </c:pt>
                <c:pt idx="14">
                  <c:v>Granada</c:v>
                </c:pt>
                <c:pt idx="15">
                  <c:v>Jaén</c:v>
                </c:pt>
                <c:pt idx="16">
                  <c:v>Ávila</c:v>
                </c:pt>
                <c:pt idx="17">
                  <c:v>Zamora</c:v>
                </c:pt>
                <c:pt idx="18">
                  <c:v>Salamanca</c:v>
                </c:pt>
                <c:pt idx="19">
                  <c:v>Madrid</c:v>
                </c:pt>
                <c:pt idx="20">
                  <c:v>La Coruña</c:v>
                </c:pt>
                <c:pt idx="21">
                  <c:v>Córdoba</c:v>
                </c:pt>
                <c:pt idx="22">
                  <c:v>Las Palmas de G. C.</c:v>
                </c:pt>
                <c:pt idx="23">
                  <c:v>Santander</c:v>
                </c:pt>
                <c:pt idx="24">
                  <c:v>Barcelona</c:v>
                </c:pt>
                <c:pt idx="25">
                  <c:v>Málaga</c:v>
                </c:pt>
                <c:pt idx="26">
                  <c:v>Lugo</c:v>
                </c:pt>
                <c:pt idx="27">
                  <c:v>Ciudad Real</c:v>
                </c:pt>
                <c:pt idx="28">
                  <c:v>San Sebastián</c:v>
                </c:pt>
                <c:pt idx="29">
                  <c:v>Palma</c:v>
                </c:pt>
                <c:pt idx="30">
                  <c:v>Vigo</c:v>
                </c:pt>
                <c:pt idx="31">
                  <c:v>Zaragoza</c:v>
                </c:pt>
                <c:pt idx="32">
                  <c:v>Vitoria</c:v>
                </c:pt>
              </c:strCache>
            </c:strRef>
          </c:cat>
          <c:val>
            <c:numRef>
              <c:f>forecast!$M$20510:$M$20788</c:f>
            </c:numRef>
          </c:val>
          <c:extLst>
            <c:ext xmlns:c16="http://schemas.microsoft.com/office/drawing/2014/chart" uri="{C3380CC4-5D6E-409C-BE32-E72D297353CC}">
              <c16:uniqueId val="{00000001-8529-4CE9-B545-10EB9C2177D3}"/>
            </c:ext>
          </c:extLst>
        </c:ser>
        <c:ser>
          <c:idx val="2"/>
          <c:order val="2"/>
          <c:spPr>
            <a:solidFill>
              <a:schemeClr val="accent3"/>
            </a:solidFill>
            <a:ln>
              <a:noFill/>
            </a:ln>
            <a:effectLst/>
          </c:spPr>
          <c:invertIfNegative val="0"/>
          <c:cat>
            <c:strRef>
              <c:f>forecast!$G$20510:$K$20788</c:f>
              <c:strCache>
                <c:ptCount val="33"/>
                <c:pt idx="0">
                  <c:v>Palencia</c:v>
                </c:pt>
                <c:pt idx="1">
                  <c:v>Castellón de la Plana</c:v>
                </c:pt>
                <c:pt idx="2">
                  <c:v>Oviedo</c:v>
                </c:pt>
                <c:pt idx="3">
                  <c:v>Huelva</c:v>
                </c:pt>
                <c:pt idx="4">
                  <c:v>Cáceres</c:v>
                </c:pt>
                <c:pt idx="5">
                  <c:v>Segovia</c:v>
                </c:pt>
                <c:pt idx="6">
                  <c:v>Ourense</c:v>
                </c:pt>
                <c:pt idx="7">
                  <c:v>Logroño</c:v>
                </c:pt>
                <c:pt idx="8">
                  <c:v>Albacete</c:v>
                </c:pt>
                <c:pt idx="9">
                  <c:v>Guadalajara</c:v>
                </c:pt>
                <c:pt idx="10">
                  <c:v>Pontevedra</c:v>
                </c:pt>
                <c:pt idx="11">
                  <c:v>Burgos</c:v>
                </c:pt>
                <c:pt idx="12">
                  <c:v>Valencia</c:v>
                </c:pt>
                <c:pt idx="13">
                  <c:v>Valladolid</c:v>
                </c:pt>
                <c:pt idx="14">
                  <c:v>Granada</c:v>
                </c:pt>
                <c:pt idx="15">
                  <c:v>Jaén</c:v>
                </c:pt>
                <c:pt idx="16">
                  <c:v>Ávila</c:v>
                </c:pt>
                <c:pt idx="17">
                  <c:v>Zamora</c:v>
                </c:pt>
                <c:pt idx="18">
                  <c:v>Salamanca</c:v>
                </c:pt>
                <c:pt idx="19">
                  <c:v>Madrid</c:v>
                </c:pt>
                <c:pt idx="20">
                  <c:v>La Coruña</c:v>
                </c:pt>
                <c:pt idx="21">
                  <c:v>Córdoba</c:v>
                </c:pt>
                <c:pt idx="22">
                  <c:v>Las Palmas de G. C.</c:v>
                </c:pt>
                <c:pt idx="23">
                  <c:v>Santander</c:v>
                </c:pt>
                <c:pt idx="24">
                  <c:v>Barcelona</c:v>
                </c:pt>
                <c:pt idx="25">
                  <c:v>Málaga</c:v>
                </c:pt>
                <c:pt idx="26">
                  <c:v>Lugo</c:v>
                </c:pt>
                <c:pt idx="27">
                  <c:v>Ciudad Real</c:v>
                </c:pt>
                <c:pt idx="28">
                  <c:v>San Sebastián</c:v>
                </c:pt>
                <c:pt idx="29">
                  <c:v>Palma</c:v>
                </c:pt>
                <c:pt idx="30">
                  <c:v>Vigo</c:v>
                </c:pt>
                <c:pt idx="31">
                  <c:v>Zaragoza</c:v>
                </c:pt>
                <c:pt idx="32">
                  <c:v>Vitoria</c:v>
                </c:pt>
              </c:strCache>
            </c:strRef>
          </c:cat>
          <c:val>
            <c:numRef>
              <c:f>forecast!$N$20510:$N$20788</c:f>
            </c:numRef>
          </c:val>
          <c:extLst>
            <c:ext xmlns:c16="http://schemas.microsoft.com/office/drawing/2014/chart" uri="{C3380CC4-5D6E-409C-BE32-E72D297353CC}">
              <c16:uniqueId val="{00000002-8529-4CE9-B545-10EB9C2177D3}"/>
            </c:ext>
          </c:extLst>
        </c:ser>
        <c:ser>
          <c:idx val="3"/>
          <c:order val="3"/>
          <c:spPr>
            <a:gradFill>
              <a:gsLst>
                <a:gs pos="38000">
                  <a:srgbClr val="002060"/>
                </a:gs>
                <a:gs pos="100000">
                  <a:schemeClr val="accent1">
                    <a:lumMod val="30000"/>
                    <a:lumOff val="70000"/>
                  </a:schemeClr>
                </a:gs>
              </a:gsLst>
              <a:lin ang="5400000" scaled="1"/>
            </a:gradFill>
            <a:ln>
              <a:noFill/>
            </a:ln>
            <a:effectLst/>
          </c:spPr>
          <c:invertIfNegative val="0"/>
          <c:cat>
            <c:strRef>
              <c:f>forecast!$G$20510:$K$20788</c:f>
              <c:strCache>
                <c:ptCount val="33"/>
                <c:pt idx="0">
                  <c:v>Palencia</c:v>
                </c:pt>
                <c:pt idx="1">
                  <c:v>Castellón de la Plana</c:v>
                </c:pt>
                <c:pt idx="2">
                  <c:v>Oviedo</c:v>
                </c:pt>
                <c:pt idx="3">
                  <c:v>Huelva</c:v>
                </c:pt>
                <c:pt idx="4">
                  <c:v>Cáceres</c:v>
                </c:pt>
                <c:pt idx="5">
                  <c:v>Segovia</c:v>
                </c:pt>
                <c:pt idx="6">
                  <c:v>Ourense</c:v>
                </c:pt>
                <c:pt idx="7">
                  <c:v>Logroño</c:v>
                </c:pt>
                <c:pt idx="8">
                  <c:v>Albacete</c:v>
                </c:pt>
                <c:pt idx="9">
                  <c:v>Guadalajara</c:v>
                </c:pt>
                <c:pt idx="10">
                  <c:v>Pontevedra</c:v>
                </c:pt>
                <c:pt idx="11">
                  <c:v>Burgos</c:v>
                </c:pt>
                <c:pt idx="12">
                  <c:v>Valencia</c:v>
                </c:pt>
                <c:pt idx="13">
                  <c:v>Valladolid</c:v>
                </c:pt>
                <c:pt idx="14">
                  <c:v>Granada</c:v>
                </c:pt>
                <c:pt idx="15">
                  <c:v>Jaén</c:v>
                </c:pt>
                <c:pt idx="16">
                  <c:v>Ávila</c:v>
                </c:pt>
                <c:pt idx="17">
                  <c:v>Zamora</c:v>
                </c:pt>
                <c:pt idx="18">
                  <c:v>Salamanca</c:v>
                </c:pt>
                <c:pt idx="19">
                  <c:v>Madrid</c:v>
                </c:pt>
                <c:pt idx="20">
                  <c:v>La Coruña</c:v>
                </c:pt>
                <c:pt idx="21">
                  <c:v>Córdoba</c:v>
                </c:pt>
                <c:pt idx="22">
                  <c:v>Las Palmas de G. C.</c:v>
                </c:pt>
                <c:pt idx="23">
                  <c:v>Santander</c:v>
                </c:pt>
                <c:pt idx="24">
                  <c:v>Barcelona</c:v>
                </c:pt>
                <c:pt idx="25">
                  <c:v>Málaga</c:v>
                </c:pt>
                <c:pt idx="26">
                  <c:v>Lugo</c:v>
                </c:pt>
                <c:pt idx="27">
                  <c:v>Ciudad Real</c:v>
                </c:pt>
                <c:pt idx="28">
                  <c:v>San Sebastián</c:v>
                </c:pt>
                <c:pt idx="29">
                  <c:v>Palma</c:v>
                </c:pt>
                <c:pt idx="30">
                  <c:v>Vigo</c:v>
                </c:pt>
                <c:pt idx="31">
                  <c:v>Zaragoza</c:v>
                </c:pt>
                <c:pt idx="32">
                  <c:v>Vitoria</c:v>
                </c:pt>
              </c:strCache>
            </c:strRef>
          </c:cat>
          <c:val>
            <c:numRef>
              <c:f>forecast!$O$20510:$O$20788</c:f>
              <c:numCache>
                <c:formatCode>0.0</c:formatCode>
                <c:ptCount val="33"/>
                <c:pt idx="0">
                  <c:v>4.63</c:v>
                </c:pt>
                <c:pt idx="1">
                  <c:v>4.13</c:v>
                </c:pt>
                <c:pt idx="2">
                  <c:v>4.0999999999999996</c:v>
                </c:pt>
                <c:pt idx="3">
                  <c:v>3.49</c:v>
                </c:pt>
                <c:pt idx="4">
                  <c:v>3.25</c:v>
                </c:pt>
                <c:pt idx="5">
                  <c:v>3.24</c:v>
                </c:pt>
                <c:pt idx="6">
                  <c:v>3.15</c:v>
                </c:pt>
                <c:pt idx="7">
                  <c:v>2.62</c:v>
                </c:pt>
                <c:pt idx="8">
                  <c:v>2.5299999999999998</c:v>
                </c:pt>
                <c:pt idx="9">
                  <c:v>2.36</c:v>
                </c:pt>
                <c:pt idx="10">
                  <c:v>2.36</c:v>
                </c:pt>
                <c:pt idx="11">
                  <c:v>2.33</c:v>
                </c:pt>
                <c:pt idx="12">
                  <c:v>2.02</c:v>
                </c:pt>
                <c:pt idx="13">
                  <c:v>1.87</c:v>
                </c:pt>
                <c:pt idx="14">
                  <c:v>1.81</c:v>
                </c:pt>
                <c:pt idx="15">
                  <c:v>1.81</c:v>
                </c:pt>
                <c:pt idx="16">
                  <c:v>1.58</c:v>
                </c:pt>
                <c:pt idx="17">
                  <c:v>1.37</c:v>
                </c:pt>
                <c:pt idx="18">
                  <c:v>1.36</c:v>
                </c:pt>
                <c:pt idx="19">
                  <c:v>1.19</c:v>
                </c:pt>
                <c:pt idx="20">
                  <c:v>1.05</c:v>
                </c:pt>
                <c:pt idx="21">
                  <c:v>0.97</c:v>
                </c:pt>
                <c:pt idx="22">
                  <c:v>0.94</c:v>
                </c:pt>
                <c:pt idx="23">
                  <c:v>0.86</c:v>
                </c:pt>
                <c:pt idx="24">
                  <c:v>0.83</c:v>
                </c:pt>
                <c:pt idx="25">
                  <c:v>0.81</c:v>
                </c:pt>
                <c:pt idx="26">
                  <c:v>0.49</c:v>
                </c:pt>
                <c:pt idx="27">
                  <c:v>0.37</c:v>
                </c:pt>
                <c:pt idx="28">
                  <c:v>0.33</c:v>
                </c:pt>
                <c:pt idx="29">
                  <c:v>0.31</c:v>
                </c:pt>
                <c:pt idx="30">
                  <c:v>0.24</c:v>
                </c:pt>
                <c:pt idx="31">
                  <c:v>0.14000000000000001</c:v>
                </c:pt>
                <c:pt idx="32">
                  <c:v>7.0000000000000007E-2</c:v>
                </c:pt>
              </c:numCache>
            </c:numRef>
          </c:val>
          <c:extLst>
            <c:ext xmlns:c16="http://schemas.microsoft.com/office/drawing/2014/chart" uri="{C3380CC4-5D6E-409C-BE32-E72D297353CC}">
              <c16:uniqueId val="{00000003-8529-4CE9-B545-10EB9C2177D3}"/>
            </c:ext>
          </c:extLst>
        </c:ser>
        <c:dLbls>
          <c:showLegendKey val="0"/>
          <c:showVal val="0"/>
          <c:showCatName val="0"/>
          <c:showSerName val="0"/>
          <c:showPercent val="0"/>
          <c:showBubbleSize val="0"/>
        </c:dLbls>
        <c:gapWidth val="219"/>
        <c:overlap val="-27"/>
        <c:axId val="1288093776"/>
        <c:axId val="1288090416"/>
      </c:barChart>
      <c:catAx>
        <c:axId val="128809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1288090416"/>
        <c:crosses val="autoZero"/>
        <c:auto val="1"/>
        <c:lblAlgn val="ctr"/>
        <c:lblOffset val="100"/>
        <c:noMultiLvlLbl val="0"/>
      </c:catAx>
      <c:valAx>
        <c:axId val="12880904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1288093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forecast!$G$20866:$K$20900</c:f>
              <c:strCache>
                <c:ptCount val="12"/>
                <c:pt idx="0">
                  <c:v>Alicante</c:v>
                </c:pt>
                <c:pt idx="1">
                  <c:v>Cuenca</c:v>
                </c:pt>
                <c:pt idx="2">
                  <c:v>Sevilla</c:v>
                </c:pt>
                <c:pt idx="3">
                  <c:v>Cádiz</c:v>
                </c:pt>
                <c:pt idx="4">
                  <c:v>Santa Cruz de T.</c:v>
                </c:pt>
                <c:pt idx="5">
                  <c:v>Badajoz</c:v>
                </c:pt>
                <c:pt idx="6">
                  <c:v>Pamplona</c:v>
                </c:pt>
                <c:pt idx="7">
                  <c:v>Almería</c:v>
                </c:pt>
                <c:pt idx="8">
                  <c:v>Huesca</c:v>
                </c:pt>
                <c:pt idx="9">
                  <c:v>Girona</c:v>
                </c:pt>
                <c:pt idx="10">
                  <c:v>Murcia</c:v>
                </c:pt>
                <c:pt idx="11">
                  <c:v>León</c:v>
                </c:pt>
              </c:strCache>
            </c:strRef>
          </c:cat>
          <c:val>
            <c:numRef>
              <c:f>forecast!$L$20866:$L$20900</c:f>
            </c:numRef>
          </c:val>
          <c:extLst>
            <c:ext xmlns:c16="http://schemas.microsoft.com/office/drawing/2014/chart" uri="{C3380CC4-5D6E-409C-BE32-E72D297353CC}">
              <c16:uniqueId val="{00000000-5003-4EAF-8CEB-91DCAF082E00}"/>
            </c:ext>
          </c:extLst>
        </c:ser>
        <c:ser>
          <c:idx val="1"/>
          <c:order val="1"/>
          <c:spPr>
            <a:solidFill>
              <a:schemeClr val="accent2"/>
            </a:solidFill>
            <a:ln>
              <a:noFill/>
            </a:ln>
            <a:effectLst/>
          </c:spPr>
          <c:invertIfNegative val="0"/>
          <c:cat>
            <c:strRef>
              <c:f>forecast!$G$20866:$K$20900</c:f>
              <c:strCache>
                <c:ptCount val="12"/>
                <c:pt idx="0">
                  <c:v>Alicante</c:v>
                </c:pt>
                <c:pt idx="1">
                  <c:v>Cuenca</c:v>
                </c:pt>
                <c:pt idx="2">
                  <c:v>Sevilla</c:v>
                </c:pt>
                <c:pt idx="3">
                  <c:v>Cádiz</c:v>
                </c:pt>
                <c:pt idx="4">
                  <c:v>Santa Cruz de T.</c:v>
                </c:pt>
                <c:pt idx="5">
                  <c:v>Badajoz</c:v>
                </c:pt>
                <c:pt idx="6">
                  <c:v>Pamplona</c:v>
                </c:pt>
                <c:pt idx="7">
                  <c:v>Almería</c:v>
                </c:pt>
                <c:pt idx="8">
                  <c:v>Huesca</c:v>
                </c:pt>
                <c:pt idx="9">
                  <c:v>Girona</c:v>
                </c:pt>
                <c:pt idx="10">
                  <c:v>Murcia</c:v>
                </c:pt>
                <c:pt idx="11">
                  <c:v>León</c:v>
                </c:pt>
              </c:strCache>
            </c:strRef>
          </c:cat>
          <c:val>
            <c:numRef>
              <c:f>forecast!$M$20866:$M$20900</c:f>
            </c:numRef>
          </c:val>
          <c:extLst>
            <c:ext xmlns:c16="http://schemas.microsoft.com/office/drawing/2014/chart" uri="{C3380CC4-5D6E-409C-BE32-E72D297353CC}">
              <c16:uniqueId val="{00000001-5003-4EAF-8CEB-91DCAF082E00}"/>
            </c:ext>
          </c:extLst>
        </c:ser>
        <c:ser>
          <c:idx val="2"/>
          <c:order val="2"/>
          <c:spPr>
            <a:solidFill>
              <a:schemeClr val="accent3"/>
            </a:solidFill>
            <a:ln>
              <a:noFill/>
            </a:ln>
            <a:effectLst/>
          </c:spPr>
          <c:invertIfNegative val="0"/>
          <c:cat>
            <c:strRef>
              <c:f>forecast!$G$20866:$K$20900</c:f>
              <c:strCache>
                <c:ptCount val="12"/>
                <c:pt idx="0">
                  <c:v>Alicante</c:v>
                </c:pt>
                <c:pt idx="1">
                  <c:v>Cuenca</c:v>
                </c:pt>
                <c:pt idx="2">
                  <c:v>Sevilla</c:v>
                </c:pt>
                <c:pt idx="3">
                  <c:v>Cádiz</c:v>
                </c:pt>
                <c:pt idx="4">
                  <c:v>Santa Cruz de T.</c:v>
                </c:pt>
                <c:pt idx="5">
                  <c:v>Badajoz</c:v>
                </c:pt>
                <c:pt idx="6">
                  <c:v>Pamplona</c:v>
                </c:pt>
                <c:pt idx="7">
                  <c:v>Almería</c:v>
                </c:pt>
                <c:pt idx="8">
                  <c:v>Huesca</c:v>
                </c:pt>
                <c:pt idx="9">
                  <c:v>Girona</c:v>
                </c:pt>
                <c:pt idx="10">
                  <c:v>Murcia</c:v>
                </c:pt>
                <c:pt idx="11">
                  <c:v>León</c:v>
                </c:pt>
              </c:strCache>
            </c:strRef>
          </c:cat>
          <c:val>
            <c:numRef>
              <c:f>forecast!$N$20866:$N$20900</c:f>
            </c:numRef>
          </c:val>
          <c:extLst>
            <c:ext xmlns:c16="http://schemas.microsoft.com/office/drawing/2014/chart" uri="{C3380CC4-5D6E-409C-BE32-E72D297353CC}">
              <c16:uniqueId val="{00000002-5003-4EAF-8CEB-91DCAF082E00}"/>
            </c:ext>
          </c:extLst>
        </c:ser>
        <c:ser>
          <c:idx val="3"/>
          <c:order val="3"/>
          <c:spPr>
            <a:gradFill>
              <a:gsLst>
                <a:gs pos="69000">
                  <a:srgbClr val="DE14D4"/>
                </a:gs>
                <a:gs pos="0">
                  <a:schemeClr val="bg1"/>
                </a:gs>
              </a:gsLst>
              <a:lin ang="5400000" scaled="1"/>
            </a:gradFill>
            <a:ln>
              <a:noFill/>
            </a:ln>
            <a:effectLst/>
          </c:spPr>
          <c:invertIfNegative val="0"/>
          <c:cat>
            <c:strRef>
              <c:f>forecast!$G$20866:$K$20900</c:f>
              <c:strCache>
                <c:ptCount val="12"/>
                <c:pt idx="0">
                  <c:v>Alicante</c:v>
                </c:pt>
                <c:pt idx="1">
                  <c:v>Cuenca</c:v>
                </c:pt>
                <c:pt idx="2">
                  <c:v>Sevilla</c:v>
                </c:pt>
                <c:pt idx="3">
                  <c:v>Cádiz</c:v>
                </c:pt>
                <c:pt idx="4">
                  <c:v>Santa Cruz de T.</c:v>
                </c:pt>
                <c:pt idx="5">
                  <c:v>Badajoz</c:v>
                </c:pt>
                <c:pt idx="6">
                  <c:v>Pamplona</c:v>
                </c:pt>
                <c:pt idx="7">
                  <c:v>Almería</c:v>
                </c:pt>
                <c:pt idx="8">
                  <c:v>Huesca</c:v>
                </c:pt>
                <c:pt idx="9">
                  <c:v>Girona</c:v>
                </c:pt>
                <c:pt idx="10">
                  <c:v>Murcia</c:v>
                </c:pt>
                <c:pt idx="11">
                  <c:v>León</c:v>
                </c:pt>
              </c:strCache>
            </c:strRef>
          </c:cat>
          <c:val>
            <c:numRef>
              <c:f>forecast!$O$20866:$O$20900</c:f>
              <c:numCache>
                <c:formatCode>0.0</c:formatCode>
                <c:ptCount val="12"/>
                <c:pt idx="0">
                  <c:v>-0.06</c:v>
                </c:pt>
                <c:pt idx="1">
                  <c:v>-0.08</c:v>
                </c:pt>
                <c:pt idx="2">
                  <c:v>-0.31</c:v>
                </c:pt>
                <c:pt idx="3">
                  <c:v>-0.4</c:v>
                </c:pt>
                <c:pt idx="4">
                  <c:v>-0.44</c:v>
                </c:pt>
                <c:pt idx="5">
                  <c:v>-0.46</c:v>
                </c:pt>
                <c:pt idx="6">
                  <c:v>-0.6</c:v>
                </c:pt>
                <c:pt idx="7">
                  <c:v>-0.94</c:v>
                </c:pt>
                <c:pt idx="8">
                  <c:v>-1.08</c:v>
                </c:pt>
                <c:pt idx="9">
                  <c:v>-2.4500000000000002</c:v>
                </c:pt>
                <c:pt idx="10">
                  <c:v>-3.5</c:v>
                </c:pt>
                <c:pt idx="11">
                  <c:v>-5.48</c:v>
                </c:pt>
              </c:numCache>
            </c:numRef>
          </c:val>
          <c:extLst>
            <c:ext xmlns:c16="http://schemas.microsoft.com/office/drawing/2014/chart" uri="{C3380CC4-5D6E-409C-BE32-E72D297353CC}">
              <c16:uniqueId val="{00000003-5003-4EAF-8CEB-91DCAF082E00}"/>
            </c:ext>
          </c:extLst>
        </c:ser>
        <c:dLbls>
          <c:showLegendKey val="0"/>
          <c:showVal val="0"/>
          <c:showCatName val="0"/>
          <c:showSerName val="0"/>
          <c:showPercent val="0"/>
          <c:showBubbleSize val="0"/>
        </c:dLbls>
        <c:gapWidth val="219"/>
        <c:overlap val="-27"/>
        <c:axId val="1288093776"/>
        <c:axId val="1288090416"/>
      </c:barChart>
      <c:catAx>
        <c:axId val="128809377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1288090416"/>
        <c:crosses val="autoZero"/>
        <c:auto val="1"/>
        <c:lblAlgn val="ctr"/>
        <c:lblOffset val="100"/>
        <c:noMultiLvlLbl val="0"/>
      </c:catAx>
      <c:valAx>
        <c:axId val="12880904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1288093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yosChPjJ1T4L/mWP2HDVDIeUg==">CgMxLjAyDmguYTF2eDFmN2l3Y2xmMgloLjMwajB6bGwyDmguYjkxdDNlYnd5bXEzMg5oLmdtZXBmMjR3M3ByZjIOaC56ODN0ZHF2d2tjemkyDmguc21vcWZyN2psOXhoMgloLjJzOGV5bzEyDmguaWxtYnczbzliaGhwOAByITE3bUNaenphM3k2TEtBdHRGXzF3b04tcjBfU0FZUlBSZg==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1490</Words>
  <Characters>8196</Characters>
  <Application>Microsoft Office Word</Application>
  <DocSecurity>0</DocSecurity>
  <Lines>68</Lines>
  <Paragraphs>19</Paragraphs>
  <ScaleCrop>false</ScaleCrop>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2025-07-03T08:42:00Z</dcterms:created>
  <dcterms:modified xsi:type="dcterms:W3CDTF">2025-10-07T09:24:00Z</dcterms:modified>
</cp:coreProperties>
</file>