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B27A" w14:textId="77777777" w:rsidR="00686DAA" w:rsidRDefault="00000000">
      <w:r>
        <w:rPr>
          <w:noProof/>
        </w:rPr>
        <w:drawing>
          <wp:anchor distT="0" distB="0" distL="114300" distR="114300" simplePos="0" relativeHeight="251658240" behindDoc="0" locked="0" layoutInCell="1" hidden="0" allowOverlap="1" wp14:anchorId="1ADB6091" wp14:editId="6D144CF3">
            <wp:simplePos x="0" y="0"/>
            <wp:positionH relativeFrom="column">
              <wp:posOffset>-1080116</wp:posOffset>
            </wp:positionH>
            <wp:positionV relativeFrom="paragraph">
              <wp:posOffset>-654665</wp:posOffset>
            </wp:positionV>
            <wp:extent cx="7581265" cy="1019175"/>
            <wp:effectExtent l="0" t="0" r="0" b="0"/>
            <wp:wrapNone/>
            <wp:docPr id="2066816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BFCBCBA" w14:textId="77777777" w:rsidR="00686DAA" w:rsidRDefault="00686DAA">
      <w:pPr>
        <w:rPr>
          <w:rFonts w:ascii="National" w:eastAsia="National" w:hAnsi="National" w:cs="National"/>
          <w:color w:val="303AB2"/>
          <w:sz w:val="18"/>
          <w:szCs w:val="18"/>
        </w:rPr>
      </w:pPr>
    </w:p>
    <w:p w14:paraId="49E0ED35" w14:textId="77777777" w:rsidR="00686DAA" w:rsidRDefault="00686DAA">
      <w:pPr>
        <w:jc w:val="center"/>
        <w:rPr>
          <w:rFonts w:ascii="National" w:eastAsia="National" w:hAnsi="National" w:cs="National"/>
          <w:b/>
          <w:bCs/>
          <w:color w:val="1DBDC5"/>
          <w:sz w:val="34"/>
          <w:szCs w:val="34"/>
        </w:rPr>
      </w:pPr>
    </w:p>
    <w:p w14:paraId="54F8E896" w14:textId="77777777" w:rsidR="00686DAA" w:rsidRPr="00061093" w:rsidRDefault="00000000">
      <w:pPr>
        <w:jc w:val="center"/>
        <w:rPr>
          <w:rFonts w:ascii="National" w:eastAsia="National" w:hAnsi="National" w:cs="National"/>
          <w:b/>
          <w:bCs/>
          <w:color w:val="1DBDC5"/>
          <w:sz w:val="36"/>
          <w:szCs w:val="36"/>
        </w:rPr>
      </w:pPr>
      <w:r w:rsidRPr="00061093">
        <w:rPr>
          <w:rFonts w:ascii="National" w:eastAsia="National" w:hAnsi="National" w:cs="National"/>
          <w:b/>
          <w:bCs/>
          <w:color w:val="1DBDC5"/>
          <w:sz w:val="36"/>
          <w:szCs w:val="36"/>
        </w:rPr>
        <w:t>DIFICULTADES PAGO VIVIENDA ALQUILER</w:t>
      </w:r>
    </w:p>
    <w:p w14:paraId="6BFFB6A1" w14:textId="77777777" w:rsidR="00686DAA" w:rsidRPr="00061093" w:rsidRDefault="00000000">
      <w:pPr>
        <w:jc w:val="center"/>
        <w:rPr>
          <w:rFonts w:ascii="National" w:eastAsia="National" w:hAnsi="National" w:cs="National"/>
          <w:b/>
          <w:bCs/>
          <w:color w:val="303AB2"/>
          <w:sz w:val="48"/>
          <w:szCs w:val="48"/>
        </w:rPr>
      </w:pPr>
      <w:r w:rsidRPr="00061093">
        <w:rPr>
          <w:rFonts w:ascii="National" w:eastAsia="National" w:hAnsi="National" w:cs="National"/>
          <w:b/>
          <w:bCs/>
          <w:color w:val="303AB2"/>
          <w:sz w:val="48"/>
          <w:szCs w:val="48"/>
        </w:rPr>
        <w:t>El 58% de los inquilinos tiene problemas para afrontar el pago mensual del alquiler</w:t>
      </w:r>
    </w:p>
    <w:p w14:paraId="4C0E2D28" w14:textId="77777777" w:rsidR="00686DAA" w:rsidRDefault="00686DAA">
      <w:pPr>
        <w:rPr>
          <w:rFonts w:ascii="Open Sans" w:eastAsia="Open Sans" w:hAnsi="Open Sans" w:cs="Open Sans"/>
          <w:color w:val="303AB2"/>
        </w:rPr>
      </w:pPr>
    </w:p>
    <w:p w14:paraId="56E73C4F" w14:textId="77777777" w:rsidR="00686DA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Se incrementa en un año un punto porcentual los inquilinos que asumen el pago del alquiler con problemas</w:t>
      </w:r>
    </w:p>
    <w:p w14:paraId="0001884E" w14:textId="77777777" w:rsidR="00686DA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41% de los inquilinos dice tener bastante dificultad y el 18% dice tener mucha dificultad</w:t>
      </w:r>
    </w:p>
    <w:p w14:paraId="55D6D780" w14:textId="77777777" w:rsidR="00686DA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29% de inquilinos dedica más del 50% de su sueldo al pago del alquiler</w:t>
      </w:r>
    </w:p>
    <w:p w14:paraId="2E162810" w14:textId="77777777" w:rsidR="00686DA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Vacaciones, ocio cotidiano y compras personales son los recortes de gastos más habituales para poder hacer frente a los pagos del alquiler</w:t>
      </w:r>
    </w:p>
    <w:p w14:paraId="230BB7FE" w14:textId="77777777" w:rsidR="00686DAA" w:rsidRDefault="00686DAA">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39E5E5F" w14:textId="77777777" w:rsidR="00686DAA"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25 de noviembre de 2025</w:t>
      </w:r>
    </w:p>
    <w:p w14:paraId="3D9726D9"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6ABA1F7B" w14:textId="77777777" w:rsidR="00686DA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un año, los inquilinos que tienen problemas para pagar la cuota mensual del alquiler se han incrementado en un punto porcentual al pasar del 57% en 2024 al 58% en 2025. Así, este 58% de los inquilinos que se enfrentan con problemas cada mes al pago del alquiler se reparte entre el 18% que reconoce tener mucha complicación (era un 15% en 2024) y el 41% que dice tener bastante dificultad para pagar el alquiler. Así se desprende del análisis </w:t>
      </w:r>
      <w:r>
        <w:rPr>
          <w:rFonts w:ascii="Open Sans" w:eastAsia="Open Sans" w:hAnsi="Open Sans" w:cs="Open Sans"/>
          <w:b/>
          <w:bCs/>
          <w:i/>
          <w:iCs/>
        </w:rPr>
        <w:t>“¿Cómo afronta el pago de la vivienda los españoles?</w:t>
      </w:r>
      <w:r>
        <w:rPr>
          <w:rFonts w:ascii="Open Sans" w:eastAsia="Open Sans" w:hAnsi="Open Sans" w:cs="Open Sans"/>
        </w:rPr>
        <w:t xml:space="preserve">” realizado por </w:t>
      </w:r>
      <w:hyperlink r:id="rId9">
        <w:r>
          <w:rPr>
            <w:rFonts w:ascii="Open Sans" w:eastAsia="Open Sans" w:hAnsi="Open Sans" w:cs="Open Sans"/>
            <w:color w:val="0000FF"/>
            <w:u w:val="single"/>
          </w:rPr>
          <w:t>Fotocasa Research</w:t>
        </w:r>
      </w:hyperlink>
      <w:r>
        <w:rPr>
          <w:rFonts w:ascii="Open Sans" w:eastAsia="Open Sans" w:hAnsi="Open Sans" w:cs="Open Sans"/>
        </w:rPr>
        <w:t>.</w:t>
      </w:r>
    </w:p>
    <w:p w14:paraId="0156AAEC"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74E7CF29" w14:textId="77777777" w:rsidR="00686DA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su parte, </w:t>
      </w:r>
      <w:r w:rsidRPr="00065C05">
        <w:rPr>
          <w:rFonts w:ascii="Open Sans" w:eastAsia="Open Sans" w:hAnsi="Open Sans" w:cs="Open Sans"/>
          <w:b/>
          <w:bCs/>
        </w:rPr>
        <w:t>el 33% de quienes viven de alquiler afronta los pagos con poca dificultad</w:t>
      </w:r>
      <w:r>
        <w:rPr>
          <w:rFonts w:ascii="Open Sans" w:eastAsia="Open Sans" w:hAnsi="Open Sans" w:cs="Open Sans"/>
        </w:rPr>
        <w:t xml:space="preserve">, mientras que </w:t>
      </w:r>
      <w:r w:rsidRPr="00061093">
        <w:rPr>
          <w:rFonts w:ascii="Open Sans" w:eastAsia="Open Sans" w:hAnsi="Open Sans" w:cs="Open Sans"/>
          <w:b/>
          <w:bCs/>
        </w:rPr>
        <w:t>únicamente el 9% de los inquilinos afirma no sufrir ningún trastorno para pagar cada mes la cuota del alquiler</w:t>
      </w:r>
      <w:r>
        <w:rPr>
          <w:rFonts w:ascii="Open Sans" w:eastAsia="Open Sans" w:hAnsi="Open Sans" w:cs="Open Sans"/>
        </w:rPr>
        <w:t xml:space="preserve"> (mientras que en 2024 eran el 11% de los inquilinos).</w:t>
      </w:r>
    </w:p>
    <w:p w14:paraId="2737F5B8" w14:textId="77777777" w:rsidR="00686DAA" w:rsidRDefault="00686DAA">
      <w:pPr>
        <w:pBdr>
          <w:top w:val="nil"/>
          <w:left w:val="nil"/>
          <w:bottom w:val="nil"/>
          <w:right w:val="nil"/>
          <w:between w:val="nil"/>
        </w:pBdr>
        <w:spacing w:line="276" w:lineRule="auto"/>
        <w:jc w:val="both"/>
        <w:rPr>
          <w:rFonts w:ascii="Open Sans" w:eastAsia="Open Sans" w:hAnsi="Open Sans" w:cs="Open Sans"/>
          <w:highlight w:val="yellow"/>
        </w:rPr>
      </w:pPr>
    </w:p>
    <w:p w14:paraId="4066B22A" w14:textId="0CBDEC7A" w:rsidR="00686DAA" w:rsidRPr="00061093"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accesibilidad a la vivienda en alquiler continúa deteriorándose. La mayoría de los inquilinos tiene dificultades para afrontar el pago de la renta, lo que compromete cada vez más la estabilidad económica de miles de hogares. Una de las cuestiones más relevantes es que un porcentaje relevante de inquilinos está recortando en alimentación para poder pagar su vivienda. Una situación alarmante, qué indica que el precio del alquiler está erosionando la calidad de vida </w:t>
      </w:r>
      <w:r>
        <w:rPr>
          <w:rFonts w:ascii="Open Sans" w:eastAsia="Open Sans" w:hAnsi="Open Sans" w:cs="Open Sans"/>
        </w:rPr>
        <w:lastRenderedPageBreak/>
        <w:t xml:space="preserve">de los ciudadanos. Además, mientras el esfuerzo siga siendo desproporcionado, la emancipación, la movilidad laboral y la planificación vital de los ciudadanos se verán cada vez más restringidas”, </w:t>
      </w:r>
      <w:r>
        <w:rPr>
          <w:rFonts w:ascii="Open Sans" w:eastAsia="Open Sans" w:hAnsi="Open Sans" w:cs="Open Sans"/>
          <w:b/>
          <w:bCs/>
        </w:rPr>
        <w:t xml:space="preserve">comenta María Matos, directora de Estudios y portavoz de </w:t>
      </w:r>
      <w:hyperlink r:id="rId10">
        <w:r>
          <w:rPr>
            <w:rFonts w:ascii="Open Sans" w:eastAsia="Open Sans" w:hAnsi="Open Sans" w:cs="Open Sans"/>
            <w:b/>
            <w:bCs/>
            <w:color w:val="1155CC"/>
            <w:u w:val="single"/>
          </w:rPr>
          <w:t>Fotocasa</w:t>
        </w:r>
      </w:hyperlink>
      <w:r>
        <w:rPr>
          <w:rFonts w:ascii="Open Sans" w:eastAsia="Open Sans" w:hAnsi="Open Sans" w:cs="Open Sans"/>
          <w:b/>
          <w:bCs/>
        </w:rPr>
        <w:t xml:space="preserve">. </w:t>
      </w:r>
    </w:p>
    <w:p w14:paraId="3ECDDF35"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593CF379" w14:textId="125549B1" w:rsidR="00061093" w:rsidRDefault="00000000" w:rsidP="00061093">
      <w:pPr>
        <w:pBdr>
          <w:top w:val="nil"/>
          <w:left w:val="nil"/>
          <w:bottom w:val="nil"/>
          <w:right w:val="nil"/>
          <w:between w:val="nil"/>
        </w:pBdr>
        <w:spacing w:line="276" w:lineRule="auto"/>
        <w:jc w:val="center"/>
        <w:rPr>
          <w:rFonts w:ascii="Open Sans Light" w:eastAsia="Open Sans Light" w:hAnsi="Open Sans Light" w:cs="Open Sans Light"/>
          <w:b/>
          <w:bCs/>
          <w:color w:val="303AB2"/>
        </w:rPr>
      </w:pPr>
      <w:r>
        <w:rPr>
          <w:rFonts w:ascii="Open Sans Light" w:eastAsia="Open Sans Light" w:hAnsi="Open Sans Light" w:cs="Open Sans Light"/>
          <w:b/>
          <w:bCs/>
          <w:color w:val="303AB2"/>
        </w:rPr>
        <w:t>Dificultad en el pago de las cuotas mensuales de alquiler</w:t>
      </w:r>
    </w:p>
    <w:p w14:paraId="351B8AFF" w14:textId="77777777" w:rsidR="00686DAA"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3ED901E9" wp14:editId="262B1665">
            <wp:extent cx="5661780" cy="2673618"/>
            <wp:effectExtent l="0" t="0" r="0" b="0"/>
            <wp:docPr id="2066816623"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1"/>
                    <a:srcRect/>
                    <a:stretch>
                      <a:fillRect/>
                    </a:stretch>
                  </pic:blipFill>
                  <pic:spPr>
                    <a:xfrm>
                      <a:off x="0" y="0"/>
                      <a:ext cx="5661780" cy="2673618"/>
                    </a:xfrm>
                    <a:prstGeom prst="rect">
                      <a:avLst/>
                    </a:prstGeom>
                    <a:ln/>
                  </pic:spPr>
                </pic:pic>
              </a:graphicData>
            </a:graphic>
          </wp:inline>
        </w:drawing>
      </w:r>
    </w:p>
    <w:p w14:paraId="7CB02AAE"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0D625172" w14:textId="77777777" w:rsidR="00686DAA"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t>El 29% de los inquilinos dedica más de la mitad de su sueldo al alquiler</w:t>
      </w:r>
    </w:p>
    <w:p w14:paraId="0FDB3C30"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68A0B2A2" w14:textId="77777777" w:rsidR="00686DA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Casi uno de cada tres inquilinos (el 29%) destinan al pago del alquiler más de la mitad de lo que ganan y, en el otro extremo, solo uno de cada diez inquilinos gasta menos del 20% de sus ingresos a pagar la renta mensual.</w:t>
      </w:r>
    </w:p>
    <w:p w14:paraId="77F1EFB4"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0040B4D7" w14:textId="583EC75D" w:rsidR="00686DAA" w:rsidRPr="00061093" w:rsidRDefault="00000000" w:rsidP="00061093">
      <w:pPr>
        <w:pBdr>
          <w:top w:val="nil"/>
          <w:left w:val="nil"/>
          <w:bottom w:val="nil"/>
          <w:right w:val="nil"/>
          <w:between w:val="nil"/>
        </w:pBdr>
        <w:spacing w:line="276" w:lineRule="auto"/>
        <w:jc w:val="center"/>
        <w:rPr>
          <w:rFonts w:ascii="Open Sans Light" w:eastAsia="Open Sans Light" w:hAnsi="Open Sans Light" w:cs="Open Sans Light"/>
          <w:b/>
          <w:bCs/>
          <w:color w:val="303AB2"/>
        </w:rPr>
      </w:pPr>
      <w:r>
        <w:rPr>
          <w:rFonts w:ascii="Open Sans Light" w:eastAsia="Open Sans Light" w:hAnsi="Open Sans Light" w:cs="Open Sans Light"/>
          <w:b/>
          <w:bCs/>
          <w:color w:val="303AB2"/>
        </w:rPr>
        <w:t>Porcentaje de ingresos que se destinan al alquiler</w:t>
      </w:r>
    </w:p>
    <w:p w14:paraId="4D663D39" w14:textId="77777777" w:rsidR="00686DAA"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5E06F6DC" wp14:editId="00775619">
            <wp:extent cx="4655820" cy="2712720"/>
            <wp:effectExtent l="0" t="0" r="0" b="0"/>
            <wp:docPr id="2066816622" name="image3.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El contenido generado por IA puede ser incorrecto."/>
                    <pic:cNvPicPr preferRelativeResize="0"/>
                  </pic:nvPicPr>
                  <pic:blipFill>
                    <a:blip r:embed="rId12"/>
                    <a:srcRect/>
                    <a:stretch>
                      <a:fillRect/>
                    </a:stretch>
                  </pic:blipFill>
                  <pic:spPr>
                    <a:xfrm>
                      <a:off x="0" y="0"/>
                      <a:ext cx="4656742" cy="2713257"/>
                    </a:xfrm>
                    <a:prstGeom prst="rect">
                      <a:avLst/>
                    </a:prstGeom>
                    <a:ln/>
                  </pic:spPr>
                </pic:pic>
              </a:graphicData>
            </a:graphic>
          </wp:inline>
        </w:drawing>
      </w:r>
    </w:p>
    <w:p w14:paraId="35475701" w14:textId="77777777" w:rsidR="00686DAA"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lastRenderedPageBreak/>
        <w:t>Ocho de cada diez inquilinos han tenido que reducir gastos</w:t>
      </w:r>
    </w:p>
    <w:p w14:paraId="0CE187F3"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43292CCD" w14:textId="77777777" w:rsidR="00686DA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Según el análisis de Fotocasa Research hasta un 79% de los inquilinos reconocen que han tenido que recortar gastos para hacer frente a las cuotas. El primer capítulo del que se retrae presupuesto es el </w:t>
      </w:r>
      <w:r>
        <w:rPr>
          <w:rFonts w:ascii="Open Sans" w:eastAsia="Open Sans" w:hAnsi="Open Sans" w:cs="Open Sans"/>
          <w:b/>
          <w:bCs/>
        </w:rPr>
        <w:t>destinado a vacaciones y tiempo libre (viajes, escapadas, etcétera)</w:t>
      </w:r>
      <w:r>
        <w:rPr>
          <w:rFonts w:ascii="Open Sans" w:eastAsia="Open Sans" w:hAnsi="Open Sans" w:cs="Open Sans"/>
        </w:rPr>
        <w:t>. Esto es así en el 54 en el caso de los inquilinos.</w:t>
      </w:r>
    </w:p>
    <w:p w14:paraId="1DA87ECE"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64155F81" w14:textId="77777777" w:rsidR="00686DA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siguiente partida más afectada es la del </w:t>
      </w:r>
      <w:r>
        <w:rPr>
          <w:rFonts w:ascii="Open Sans" w:eastAsia="Open Sans" w:hAnsi="Open Sans" w:cs="Open Sans"/>
          <w:b/>
          <w:bCs/>
        </w:rPr>
        <w:t>ocio cotidiano fuera del hogar</w:t>
      </w:r>
      <w:r>
        <w:rPr>
          <w:rFonts w:ascii="Open Sans" w:eastAsia="Open Sans" w:hAnsi="Open Sans" w:cs="Open Sans"/>
        </w:rPr>
        <w:t xml:space="preserve"> (cañas, cines, restaurantes…). Esta renuncia alcanza al 49% de quienes pagan alquiler, dos puntos más que en 2024 cuando era el 47% de los inquilinos.</w:t>
      </w:r>
    </w:p>
    <w:p w14:paraId="22FDBA52"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7AE1A930" w14:textId="77777777" w:rsidR="00686DA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Les siguen en esta lista de descartes </w:t>
      </w:r>
      <w:r>
        <w:rPr>
          <w:rFonts w:ascii="Open Sans" w:eastAsia="Open Sans" w:hAnsi="Open Sans" w:cs="Open Sans"/>
          <w:b/>
          <w:bCs/>
        </w:rPr>
        <w:t>las compras personales (ropa, complementos, perfumería, cosmética…)</w:t>
      </w:r>
      <w:r>
        <w:rPr>
          <w:rFonts w:ascii="Open Sans" w:eastAsia="Open Sans" w:hAnsi="Open Sans" w:cs="Open Sans"/>
        </w:rPr>
        <w:t xml:space="preserve">, que se reducen en un 48 % por parte de los inquilinos. Pero aún más significativos y preocupantes son </w:t>
      </w:r>
      <w:r>
        <w:rPr>
          <w:rFonts w:ascii="Open Sans" w:eastAsia="Open Sans" w:hAnsi="Open Sans" w:cs="Open Sans"/>
          <w:b/>
          <w:bCs/>
        </w:rPr>
        <w:t>los recortes que deben realizarse en la compra de alimentos</w:t>
      </w:r>
      <w:r>
        <w:rPr>
          <w:rFonts w:ascii="Open Sans" w:eastAsia="Open Sans" w:hAnsi="Open Sans" w:cs="Open Sans"/>
        </w:rPr>
        <w:t>, una situación que afecta al 23% de los arrendatarios.</w:t>
      </w:r>
    </w:p>
    <w:p w14:paraId="3E2488A1"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1A9A5B70" w14:textId="77777777" w:rsidR="00686DAA"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Light" w:eastAsia="Open Sans Light" w:hAnsi="Open Sans Light" w:cs="Open Sans Light"/>
          <w:b/>
          <w:bCs/>
          <w:color w:val="303AB2"/>
        </w:rPr>
        <w:t>Recorte de gastos de los inquilinos para hacer frente a las cuotas</w:t>
      </w:r>
    </w:p>
    <w:p w14:paraId="2EB28E16"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1301B6E4" w14:textId="77777777" w:rsidR="00686DA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48436503" wp14:editId="5C870652">
            <wp:extent cx="5934560" cy="4072814"/>
            <wp:effectExtent l="0" t="0" r="0" b="0"/>
            <wp:docPr id="2066816624" name="image5.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El contenido generado por IA puede ser incorrecto."/>
                    <pic:cNvPicPr preferRelativeResize="0"/>
                  </pic:nvPicPr>
                  <pic:blipFill>
                    <a:blip r:embed="rId13"/>
                    <a:srcRect/>
                    <a:stretch>
                      <a:fillRect/>
                    </a:stretch>
                  </pic:blipFill>
                  <pic:spPr>
                    <a:xfrm>
                      <a:off x="0" y="0"/>
                      <a:ext cx="5934560" cy="4072814"/>
                    </a:xfrm>
                    <a:prstGeom prst="rect">
                      <a:avLst/>
                    </a:prstGeom>
                    <a:ln/>
                  </pic:spPr>
                </pic:pic>
              </a:graphicData>
            </a:graphic>
          </wp:inline>
        </w:drawing>
      </w:r>
    </w:p>
    <w:p w14:paraId="43D1F496" w14:textId="77777777" w:rsidR="00686DA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Otros esfuerzos de ahorro repercuten en partidas como </w:t>
      </w:r>
      <w:r>
        <w:rPr>
          <w:rFonts w:ascii="Open Sans" w:eastAsia="Open Sans" w:hAnsi="Open Sans" w:cs="Open Sans"/>
          <w:b/>
          <w:bCs/>
        </w:rPr>
        <w:t>el pago de seguros servicios del hogar</w:t>
      </w:r>
      <w:r>
        <w:rPr>
          <w:rFonts w:ascii="Open Sans" w:eastAsia="Open Sans" w:hAnsi="Open Sans" w:cs="Open Sans"/>
        </w:rPr>
        <w:t xml:space="preserve"> (suministros, reformas o seguridad), que afectan al 19 % de los inquilinos.</w:t>
      </w:r>
    </w:p>
    <w:p w14:paraId="68A0FB54"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02D6A162" w14:textId="77777777" w:rsidR="00686DA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porcentaje de inquilinos </w:t>
      </w:r>
      <w:r>
        <w:rPr>
          <w:rFonts w:ascii="Open Sans" w:eastAsia="Open Sans" w:hAnsi="Open Sans" w:cs="Open Sans"/>
          <w:b/>
          <w:bCs/>
        </w:rPr>
        <w:t>que no han reducido ningún gasto es del 21%</w:t>
      </w:r>
      <w:r>
        <w:rPr>
          <w:rFonts w:ascii="Open Sans" w:eastAsia="Open Sans" w:hAnsi="Open Sans" w:cs="Open Sans"/>
        </w:rPr>
        <w:t xml:space="preserve">, mismo porcentaje que hace un año. </w:t>
      </w:r>
    </w:p>
    <w:p w14:paraId="7EF9D43C"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5150055F" w14:textId="77777777" w:rsidR="00686DAA" w:rsidRDefault="00686DAA">
      <w:pPr>
        <w:pBdr>
          <w:top w:val="nil"/>
          <w:left w:val="nil"/>
          <w:bottom w:val="nil"/>
          <w:right w:val="nil"/>
          <w:between w:val="nil"/>
        </w:pBdr>
        <w:spacing w:line="276" w:lineRule="auto"/>
        <w:jc w:val="both"/>
        <w:rPr>
          <w:rFonts w:ascii="Open Sans" w:eastAsia="Open Sans" w:hAnsi="Open Sans" w:cs="Open Sans"/>
        </w:rPr>
      </w:pPr>
    </w:p>
    <w:p w14:paraId="05EAFCEF" w14:textId="77777777" w:rsidR="00686DAA"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22F61420" w14:textId="77777777" w:rsidR="00686DA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56EC50C" w14:textId="77777777" w:rsidR="00686DA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158A4AC2" w14:textId="77777777" w:rsidR="00686DA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5">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562AF71" w14:textId="77777777" w:rsidR="00686DA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bCs/>
            <w:color w:val="0000FF"/>
            <w:sz w:val="22"/>
            <w:szCs w:val="22"/>
            <w:u w:val="single"/>
          </w:rPr>
          <w:t>Sala de Prensa</w:t>
        </w:r>
      </w:hyperlink>
    </w:p>
    <w:p w14:paraId="65F18061" w14:textId="77777777" w:rsidR="00686DAA" w:rsidRDefault="00686DAA">
      <w:pPr>
        <w:spacing w:line="276" w:lineRule="auto"/>
        <w:rPr>
          <w:rFonts w:ascii="Open Sans Light" w:eastAsia="Open Sans Light" w:hAnsi="Open Sans Light" w:cs="Open Sans Light"/>
          <w:b/>
          <w:bCs/>
          <w:color w:val="303AB2"/>
        </w:rPr>
      </w:pPr>
    </w:p>
    <w:p w14:paraId="7CD6ECAA" w14:textId="77777777" w:rsidR="00686DAA" w:rsidRDefault="00686DAA">
      <w:pPr>
        <w:spacing w:line="276" w:lineRule="auto"/>
        <w:rPr>
          <w:rFonts w:ascii="Open Sans Light" w:eastAsia="Open Sans Light" w:hAnsi="Open Sans Light" w:cs="Open Sans Light"/>
          <w:b/>
          <w:bCs/>
          <w:color w:val="303AB2"/>
        </w:rPr>
      </w:pPr>
    </w:p>
    <w:p w14:paraId="5C423762" w14:textId="77777777" w:rsidR="00686DAA"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73538DBB" w14:textId="77777777" w:rsidR="00686DA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677124AF" w14:textId="77777777" w:rsidR="00686DA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2">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A99412F" w14:textId="77777777" w:rsidR="00686DA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466B2B1" w14:textId="77777777" w:rsidR="00686DA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52E20BA3" w14:textId="77777777" w:rsidR="00686DA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44E5562A" w14:textId="77777777" w:rsidR="00686DAA" w:rsidRDefault="00686DAA">
      <w:pPr>
        <w:shd w:val="clear" w:color="auto" w:fill="FFFFFF"/>
        <w:spacing w:before="280" w:after="280" w:line="276" w:lineRule="auto"/>
        <w:jc w:val="both"/>
        <w:rPr>
          <w:rFonts w:ascii="Open Sans" w:eastAsia="Open Sans" w:hAnsi="Open Sans" w:cs="Open Sans"/>
          <w:sz w:val="22"/>
          <w:szCs w:val="22"/>
        </w:rPr>
      </w:pPr>
    </w:p>
    <w:p w14:paraId="2D275CF4" w14:textId="77777777" w:rsidR="00686DAA"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 Group</w:t>
      </w:r>
    </w:p>
    <w:p w14:paraId="5A25D25B" w14:textId="77777777" w:rsidR="00686DAA"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7803E577" w14:textId="77777777" w:rsidR="00686DAA"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48870276" w14:textId="77777777" w:rsidR="00686DAA"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E7648FF" w14:textId="77777777" w:rsidR="00686DAA" w:rsidRDefault="00686DAA">
      <w:pPr>
        <w:spacing w:line="276" w:lineRule="auto"/>
        <w:jc w:val="right"/>
        <w:rPr>
          <w:rFonts w:ascii="Open Sans" w:eastAsia="Open Sans" w:hAnsi="Open Sans" w:cs="Open Sans"/>
          <w:color w:val="000000"/>
          <w:sz w:val="22"/>
          <w:szCs w:val="22"/>
        </w:rPr>
      </w:pPr>
    </w:p>
    <w:sectPr w:rsidR="00686DAA">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21077" w14:textId="77777777" w:rsidR="00083F2F" w:rsidRDefault="00083F2F">
      <w:r>
        <w:separator/>
      </w:r>
    </w:p>
  </w:endnote>
  <w:endnote w:type="continuationSeparator" w:id="0">
    <w:p w14:paraId="0E710377" w14:textId="77777777" w:rsidR="00083F2F" w:rsidRDefault="0008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4E6970-4F0F-4E4C-BA8A-A5BE9AA597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7E3226E-A2F0-4AB1-A829-D82CCA2705E7}"/>
    <w:embedBold r:id="rId3" w:fontKey="{864A7614-B9BD-4E00-85E8-0C4452A99E9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0246276-94BF-423C-BF16-1A286C43D6AF}"/>
  </w:font>
  <w:font w:name="Georgia">
    <w:panose1 w:val="02040502050405020303"/>
    <w:charset w:val="00"/>
    <w:family w:val="roman"/>
    <w:pitch w:val="variable"/>
    <w:sig w:usb0="00000287" w:usb1="00000000" w:usb2="00000000" w:usb3="00000000" w:csb0="0000009F" w:csb1="00000000"/>
    <w:embedItalic r:id="rId5" w:fontKey="{3C80234A-6DBC-4A0F-B840-22306F45834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E18887EF-FA10-4CD5-900D-AB74AE30088F}"/>
    <w:embedBold r:id="rId7" w:fontKey="{35C79A5C-567B-4CE7-BA3A-32807FEDF9A8}"/>
    <w:embedBoldItalic r:id="rId8" w:fontKey="{8A2E8AC9-7DAB-4349-AF00-CC6818D00C2E}"/>
  </w:font>
  <w:font w:name="Open Sans Light">
    <w:charset w:val="00"/>
    <w:family w:val="swiss"/>
    <w:pitch w:val="variable"/>
    <w:sig w:usb0="E00002EF" w:usb1="4000205B" w:usb2="00000028" w:usb3="00000000" w:csb0="0000019F" w:csb1="00000000"/>
    <w:embedBold r:id="rId9" w:fontKey="{9A7FE566-8938-4DE6-86E6-097E6A782C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78F0C" w14:textId="77777777" w:rsidR="00686DA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4258884" wp14:editId="1EF31003">
          <wp:simplePos x="0" y="0"/>
          <wp:positionH relativeFrom="column">
            <wp:posOffset>-1068040</wp:posOffset>
          </wp:positionH>
          <wp:positionV relativeFrom="paragraph">
            <wp:posOffset>174608</wp:posOffset>
          </wp:positionV>
          <wp:extent cx="7670550" cy="451315"/>
          <wp:effectExtent l="0" t="0" r="0" b="0"/>
          <wp:wrapNone/>
          <wp:docPr id="20668166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97D74" w14:textId="77777777" w:rsidR="00083F2F" w:rsidRDefault="00083F2F">
      <w:r>
        <w:separator/>
      </w:r>
    </w:p>
  </w:footnote>
  <w:footnote w:type="continuationSeparator" w:id="0">
    <w:p w14:paraId="6636135A" w14:textId="77777777" w:rsidR="00083F2F" w:rsidRDefault="00083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0B42EF"/>
    <w:multiLevelType w:val="multilevel"/>
    <w:tmpl w:val="827C3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2349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DAA"/>
    <w:rsid w:val="00061093"/>
    <w:rsid w:val="00065C05"/>
    <w:rsid w:val="00083F2F"/>
    <w:rsid w:val="00172FA6"/>
    <w:rsid w:val="003F3D91"/>
    <w:rsid w:val="00686DAA"/>
    <w:rsid w:val="00E167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B7130"/>
  <w15:docId w15:val="{E0B59E32-CCB2-4AEA-992F-191310DE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aragraph">
    <w:name w:val="paragraph"/>
    <w:basedOn w:val="Normal"/>
    <w:rsid w:val="00B53090"/>
    <w:pPr>
      <w:spacing w:before="100" w:beforeAutospacing="1" w:after="100" w:afterAutospacing="1"/>
    </w:pPr>
    <w:rPr>
      <w:rFonts w:ascii="Times New Roman" w:eastAsia="Times New Roman" w:hAnsi="Times New Roman" w:cs="Times New Roman"/>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tocasa.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www.fotocasa.es/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nYqUyDRHK8eCCUtg1zPzWpJsuA==">CgMxLjA4AHIhMWRrZ3pac1dCQXpXODZWS3NZRjhMalpjVkpfV0pPY3FM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959</Words>
  <Characters>5278</Characters>
  <Application>Microsoft Office Word</Application>
  <DocSecurity>0</DocSecurity>
  <Lines>43</Lines>
  <Paragraphs>12</Paragraphs>
  <ScaleCrop>false</ScaleCrop>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8</cp:revision>
  <dcterms:created xsi:type="dcterms:W3CDTF">2024-02-06T13:46:00Z</dcterms:created>
  <dcterms:modified xsi:type="dcterms:W3CDTF">2025-11-20T12:00:00Z</dcterms:modified>
</cp:coreProperties>
</file>