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B33D30" w14:textId="77777777" w:rsidR="00FD2E14" w:rsidRDefault="00000000">
      <w:r>
        <w:rPr>
          <w:noProof/>
        </w:rPr>
        <w:drawing>
          <wp:anchor distT="0" distB="0" distL="114300" distR="114300" simplePos="0" relativeHeight="251658240" behindDoc="0" locked="0" layoutInCell="1" hidden="0" allowOverlap="1" wp14:anchorId="1B449E15" wp14:editId="32714088">
            <wp:simplePos x="0" y="0"/>
            <wp:positionH relativeFrom="column">
              <wp:posOffset>-1080134</wp:posOffset>
            </wp:positionH>
            <wp:positionV relativeFrom="paragraph">
              <wp:posOffset>-351258</wp:posOffset>
            </wp:positionV>
            <wp:extent cx="7581265" cy="1019175"/>
            <wp:effectExtent l="0" t="0" r="0" b="0"/>
            <wp:wrapNone/>
            <wp:docPr id="1302301071" name="image1.png" descr="Patrón de fond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png" descr="Patrón de fondo&#10;&#10;Descripción generada automáticamente con confianza baja"/>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733F2C68" w14:textId="77777777" w:rsidR="00FD2E14" w:rsidRDefault="00FD2E14">
      <w:pPr>
        <w:jc w:val="right"/>
        <w:rPr>
          <w:rFonts w:ascii="National" w:eastAsia="National" w:hAnsi="National" w:cs="National"/>
          <w:color w:val="303AB2"/>
          <w:sz w:val="36"/>
          <w:szCs w:val="36"/>
        </w:rPr>
      </w:pPr>
    </w:p>
    <w:p w14:paraId="5997870B" w14:textId="77777777" w:rsidR="00FD2E14" w:rsidRDefault="00FD2E14">
      <w:pPr>
        <w:jc w:val="right"/>
        <w:rPr>
          <w:rFonts w:ascii="National" w:eastAsia="National" w:hAnsi="National" w:cs="National"/>
          <w:color w:val="303AB2"/>
          <w:sz w:val="36"/>
          <w:szCs w:val="36"/>
        </w:rPr>
      </w:pPr>
    </w:p>
    <w:p w14:paraId="2524952D" w14:textId="77777777" w:rsidR="00FD2E14" w:rsidRDefault="00FD2E14">
      <w:pPr>
        <w:rPr>
          <w:rFonts w:ascii="National" w:eastAsia="National" w:hAnsi="National" w:cs="National"/>
          <w:color w:val="303AB2"/>
          <w:sz w:val="18"/>
          <w:szCs w:val="18"/>
        </w:rPr>
      </w:pPr>
    </w:p>
    <w:p w14:paraId="077BB392" w14:textId="77777777" w:rsidR="00FD2E14" w:rsidRDefault="00000000">
      <w:pPr>
        <w:spacing w:line="276" w:lineRule="auto"/>
        <w:jc w:val="center"/>
        <w:rPr>
          <w:rFonts w:ascii="National" w:eastAsia="National" w:hAnsi="National" w:cs="National"/>
          <w:b/>
          <w:color w:val="1DBDC5"/>
          <w:sz w:val="42"/>
          <w:szCs w:val="42"/>
        </w:rPr>
      </w:pPr>
      <w:r>
        <w:rPr>
          <w:rFonts w:ascii="National" w:eastAsia="National" w:hAnsi="National" w:cs="National"/>
          <w:b/>
          <w:color w:val="1DBDC5"/>
          <w:sz w:val="42"/>
          <w:szCs w:val="42"/>
        </w:rPr>
        <w:t>OCTUBRE: PRECIO VIVIENDA EN VENTA</w:t>
      </w:r>
    </w:p>
    <w:p w14:paraId="2FA4A1CF" w14:textId="1CEDB48E" w:rsidR="00FD2E14" w:rsidRPr="005C40E1" w:rsidRDefault="00000000">
      <w:pPr>
        <w:jc w:val="center"/>
        <w:rPr>
          <w:rFonts w:ascii="National" w:eastAsia="National" w:hAnsi="National" w:cs="National"/>
          <w:b/>
          <w:color w:val="303AB2"/>
          <w:sz w:val="48"/>
          <w:szCs w:val="48"/>
        </w:rPr>
      </w:pPr>
      <w:r w:rsidRPr="005C40E1">
        <w:rPr>
          <w:rFonts w:ascii="National" w:eastAsia="National" w:hAnsi="National" w:cs="National"/>
          <w:b/>
          <w:color w:val="303AB2"/>
          <w:sz w:val="48"/>
          <w:szCs w:val="48"/>
        </w:rPr>
        <w:t>El precio de vivienda sube un 18%</w:t>
      </w:r>
      <w:r w:rsidR="005C40E1" w:rsidRPr="005C40E1">
        <w:rPr>
          <w:rFonts w:ascii="National" w:eastAsia="National" w:hAnsi="National" w:cs="National"/>
          <w:b/>
          <w:color w:val="303AB2"/>
          <w:sz w:val="48"/>
          <w:szCs w:val="48"/>
        </w:rPr>
        <w:t xml:space="preserve"> en España</w:t>
      </w:r>
      <w:r w:rsidRPr="005C40E1">
        <w:rPr>
          <w:rFonts w:ascii="National" w:eastAsia="National" w:hAnsi="National" w:cs="National"/>
          <w:b/>
          <w:color w:val="303AB2"/>
          <w:sz w:val="48"/>
          <w:szCs w:val="48"/>
        </w:rPr>
        <w:t xml:space="preserve">, la máxima subida interanual producida en toda la serie histórica </w:t>
      </w:r>
    </w:p>
    <w:p w14:paraId="59E05DC3" w14:textId="77777777" w:rsidR="00FD2E14" w:rsidRDefault="00FD2E14">
      <w:pPr>
        <w:rPr>
          <w:rFonts w:ascii="National" w:eastAsia="National" w:hAnsi="National" w:cs="National"/>
          <w:b/>
          <w:color w:val="303AB2"/>
          <w:sz w:val="14"/>
          <w:szCs w:val="14"/>
        </w:rPr>
      </w:pPr>
    </w:p>
    <w:p w14:paraId="0F79DA55" w14:textId="77777777" w:rsidR="00FD2E14"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A lo largo de 2025, cinco comunidades autónomas han alcanzado máximos incrementos en el precio de la vivienda de segunda mano</w:t>
      </w:r>
    </w:p>
    <w:p w14:paraId="50B9B636" w14:textId="77777777" w:rsidR="00FD2E14"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El precio interanual de la vivienda en venta vuelve a alcanzar máximos (18%), y pasa de los 2.363</w:t>
      </w:r>
      <w:r>
        <w:rPr>
          <w:color w:val="000000"/>
        </w:rPr>
        <w:t xml:space="preserve"> </w:t>
      </w:r>
      <w:r>
        <w:rPr>
          <w:rFonts w:ascii="Open Sans" w:eastAsia="Open Sans" w:hAnsi="Open Sans" w:cs="Open Sans"/>
          <w:color w:val="303AB2"/>
        </w:rPr>
        <w:t>euros/m</w:t>
      </w:r>
      <w:r>
        <w:rPr>
          <w:rFonts w:ascii="Open Sans" w:eastAsia="Open Sans" w:hAnsi="Open Sans" w:cs="Open Sans"/>
          <w:color w:val="303AB2"/>
          <w:vertAlign w:val="superscript"/>
        </w:rPr>
        <w:t xml:space="preserve">2 </w:t>
      </w:r>
      <w:r>
        <w:rPr>
          <w:rFonts w:ascii="Open Sans" w:eastAsia="Open Sans" w:hAnsi="Open Sans" w:cs="Open Sans"/>
          <w:color w:val="303AB2"/>
        </w:rPr>
        <w:t>de octubre de 2024 a los 2.789 euros/m</w:t>
      </w:r>
      <w:r>
        <w:rPr>
          <w:rFonts w:ascii="Open Sans" w:eastAsia="Open Sans" w:hAnsi="Open Sans" w:cs="Open Sans"/>
          <w:color w:val="303AB2"/>
          <w:vertAlign w:val="superscript"/>
        </w:rPr>
        <w:t>2</w:t>
      </w:r>
      <w:r>
        <w:rPr>
          <w:rFonts w:ascii="Open Sans" w:eastAsia="Open Sans" w:hAnsi="Open Sans" w:cs="Open Sans"/>
          <w:color w:val="303AB2"/>
        </w:rPr>
        <w:t xml:space="preserve"> de octubre de 2025</w:t>
      </w:r>
    </w:p>
    <w:p w14:paraId="7F900C75" w14:textId="77777777" w:rsidR="00FD2E14" w:rsidRDefault="00FD2E14">
      <w:pPr>
        <w:pBdr>
          <w:top w:val="nil"/>
          <w:left w:val="nil"/>
          <w:bottom w:val="nil"/>
          <w:right w:val="nil"/>
          <w:between w:val="nil"/>
        </w:pBdr>
        <w:spacing w:line="276" w:lineRule="auto"/>
        <w:ind w:left="720"/>
        <w:jc w:val="both"/>
        <w:rPr>
          <w:rFonts w:ascii="Open Sans Light" w:eastAsia="Open Sans Light" w:hAnsi="Open Sans Light" w:cs="Open Sans Light"/>
          <w:b/>
          <w:color w:val="303AB2"/>
          <w:sz w:val="22"/>
          <w:szCs w:val="22"/>
        </w:rPr>
      </w:pPr>
    </w:p>
    <w:p w14:paraId="543AD259" w14:textId="77777777" w:rsidR="00FD2E14"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sz w:val="22"/>
          <w:szCs w:val="22"/>
        </w:rPr>
      </w:pPr>
      <w:bookmarkStart w:id="0" w:name="_heading=h.p21iegt27o0r" w:colFirst="0" w:colLast="0"/>
      <w:bookmarkEnd w:id="0"/>
      <w:r>
        <w:rPr>
          <w:rFonts w:ascii="Open Sans Light" w:eastAsia="Open Sans Light" w:hAnsi="Open Sans Light" w:cs="Open Sans Light"/>
          <w:b/>
          <w:color w:val="303AB2"/>
          <w:sz w:val="22"/>
          <w:szCs w:val="22"/>
        </w:rPr>
        <w:t>Madrid, 4 de noviembre de 2025</w:t>
      </w:r>
    </w:p>
    <w:p w14:paraId="6FA48542" w14:textId="6C756ECD" w:rsidR="00FD2E14" w:rsidRDefault="00000000">
      <w:pPr>
        <w:pBdr>
          <w:top w:val="nil"/>
          <w:left w:val="nil"/>
          <w:bottom w:val="nil"/>
          <w:right w:val="nil"/>
          <w:between w:val="nil"/>
        </w:pBdr>
        <w:shd w:val="clear" w:color="auto" w:fill="FFFFFF"/>
        <w:tabs>
          <w:tab w:val="left" w:pos="3119"/>
        </w:tabs>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El precio de la vivienda en España ha experimentado su máximo incremento en octubre con un 18% respecto al año anterior. Este dato supone la quinta máxima subida del año, según los datos que el Índice Inmobiliario </w:t>
      </w:r>
      <w:hyperlink r:id="rId9">
        <w:r>
          <w:rPr>
            <w:rFonts w:ascii="Open Sans" w:eastAsia="Open Sans" w:hAnsi="Open Sans" w:cs="Open Sans"/>
            <w:color w:val="0000FF"/>
            <w:u w:val="single"/>
          </w:rPr>
          <w:t>Fotocasa</w:t>
        </w:r>
      </w:hyperlink>
      <w:r>
        <w:rPr>
          <w:rFonts w:ascii="Times New Roman" w:eastAsia="Times New Roman" w:hAnsi="Times New Roman" w:cs="Times New Roman"/>
          <w:color w:val="000000"/>
        </w:rPr>
        <w:t xml:space="preserve"> </w:t>
      </w:r>
      <w:r w:rsidR="00954EAF">
        <w:rPr>
          <w:rFonts w:ascii="Open Sans" w:eastAsia="Open Sans" w:hAnsi="Open Sans" w:cs="Open Sans"/>
          <w:color w:val="000000"/>
        </w:rPr>
        <w:t>que t</w:t>
      </w:r>
      <w:r>
        <w:rPr>
          <w:rFonts w:ascii="Open Sans" w:eastAsia="Open Sans" w:hAnsi="Open Sans" w:cs="Open Sans"/>
          <w:color w:val="000000"/>
        </w:rPr>
        <w:t>iene registros</w:t>
      </w:r>
      <w:r w:rsidR="00954EAF">
        <w:rPr>
          <w:rFonts w:ascii="Open Sans" w:eastAsia="Open Sans" w:hAnsi="Open Sans" w:cs="Open Sans"/>
          <w:color w:val="000000"/>
        </w:rPr>
        <w:t xml:space="preserve"> desde</w:t>
      </w:r>
      <w:r>
        <w:rPr>
          <w:rFonts w:ascii="Open Sans" w:eastAsia="Open Sans" w:hAnsi="Open Sans" w:cs="Open Sans"/>
          <w:color w:val="000000"/>
        </w:rPr>
        <w:t xml:space="preserve"> hace ya 20 años.</w:t>
      </w:r>
    </w:p>
    <w:p w14:paraId="15992885" w14:textId="77777777" w:rsidR="00FD2E14" w:rsidRDefault="00000000">
      <w:pPr>
        <w:pBdr>
          <w:top w:val="nil"/>
          <w:left w:val="nil"/>
          <w:bottom w:val="nil"/>
          <w:right w:val="nil"/>
          <w:between w:val="nil"/>
        </w:pBdr>
        <w:shd w:val="clear" w:color="auto" w:fill="FFFFFF"/>
        <w:tabs>
          <w:tab w:val="left" w:pos="3119"/>
        </w:tabs>
        <w:spacing w:before="280" w:after="280" w:line="276" w:lineRule="auto"/>
        <w:jc w:val="center"/>
        <w:rPr>
          <w:rFonts w:ascii="Open Sans" w:eastAsia="Open Sans" w:hAnsi="Open Sans" w:cs="Open Sans"/>
          <w:color w:val="000000"/>
        </w:rPr>
      </w:pPr>
      <w:r>
        <w:rPr>
          <w:rFonts w:ascii="Open Sans Light" w:eastAsia="Open Sans Light" w:hAnsi="Open Sans Light" w:cs="Open Sans Light"/>
          <w:b/>
          <w:color w:val="303AB2"/>
          <w:sz w:val="28"/>
          <w:szCs w:val="28"/>
        </w:rPr>
        <w:t xml:space="preserve">Histórico de la variación interanual de la vivienda (%) </w:t>
      </w:r>
    </w:p>
    <w:p w14:paraId="2FB42D64" w14:textId="77777777" w:rsidR="00FD2E14" w:rsidRDefault="00000000">
      <w:pPr>
        <w:pBdr>
          <w:top w:val="nil"/>
          <w:left w:val="nil"/>
          <w:bottom w:val="nil"/>
          <w:right w:val="nil"/>
          <w:between w:val="nil"/>
        </w:pBdr>
        <w:shd w:val="clear" w:color="auto" w:fill="FFFFFF"/>
        <w:tabs>
          <w:tab w:val="left" w:pos="3119"/>
        </w:tabs>
        <w:spacing w:before="280" w:after="280" w:line="276" w:lineRule="auto"/>
        <w:jc w:val="both"/>
        <w:rPr>
          <w:rFonts w:ascii="Open Sans" w:eastAsia="Open Sans" w:hAnsi="Open Sans" w:cs="Open Sans"/>
          <w:color w:val="000000"/>
        </w:rPr>
      </w:pPr>
      <w:r>
        <w:rPr>
          <w:rFonts w:ascii="Times New Roman" w:eastAsia="Times New Roman" w:hAnsi="Times New Roman" w:cs="Times New Roman"/>
          <w:noProof/>
          <w:color w:val="000000"/>
          <w:sz w:val="20"/>
          <w:szCs w:val="20"/>
        </w:rPr>
        <w:drawing>
          <wp:inline distT="0" distB="0" distL="0" distR="0" wp14:anchorId="3DC55E06" wp14:editId="57B4E3FF">
            <wp:extent cx="5810250" cy="2560320"/>
            <wp:effectExtent l="0" t="0" r="0" b="0"/>
            <wp:docPr id="1302301069" name="Gráfico 13023010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E3E1C36" w14:textId="77777777" w:rsidR="00FD2E14" w:rsidRDefault="00FD2E14">
      <w:pPr>
        <w:pBdr>
          <w:top w:val="nil"/>
          <w:left w:val="nil"/>
          <w:bottom w:val="nil"/>
          <w:right w:val="nil"/>
          <w:between w:val="nil"/>
        </w:pBdr>
        <w:shd w:val="clear" w:color="auto" w:fill="FFFFFF"/>
        <w:tabs>
          <w:tab w:val="left" w:pos="3119"/>
        </w:tabs>
        <w:spacing w:before="280" w:after="280" w:line="276" w:lineRule="auto"/>
        <w:jc w:val="both"/>
        <w:rPr>
          <w:rFonts w:ascii="Open Sans" w:eastAsia="Open Sans" w:hAnsi="Open Sans" w:cs="Open Sans"/>
        </w:rPr>
      </w:pPr>
    </w:p>
    <w:p w14:paraId="1FCD1704" w14:textId="77777777" w:rsidR="00FD2E14" w:rsidRDefault="00000000">
      <w:pPr>
        <w:pBdr>
          <w:top w:val="nil"/>
          <w:left w:val="nil"/>
          <w:bottom w:val="nil"/>
          <w:right w:val="nil"/>
          <w:between w:val="nil"/>
        </w:pBdr>
        <w:shd w:val="clear" w:color="auto" w:fill="FFFFFF"/>
        <w:tabs>
          <w:tab w:val="left" w:pos="3119"/>
        </w:tabs>
        <w:spacing w:before="280" w:after="280" w:line="276" w:lineRule="auto"/>
        <w:jc w:val="both"/>
        <w:rPr>
          <w:rFonts w:ascii="Open Sans" w:eastAsia="Open Sans" w:hAnsi="Open Sans" w:cs="Open Sans"/>
        </w:rPr>
      </w:pPr>
      <w:r>
        <w:rPr>
          <w:rFonts w:ascii="Open Sans" w:eastAsia="Open Sans" w:hAnsi="Open Sans" w:cs="Open Sans"/>
        </w:rPr>
        <w:lastRenderedPageBreak/>
        <w:t xml:space="preserve">“El ritmo de crecimiento del precio de la vivienda es preocupante, ya que roza el 20% de incremento en tan solo un año. Esta situación responde a una demanda sólida e intensa que cuadruplica a la oferta, y que mantiene una fuerte presión sobre los precios. A nivel nacional, el precio de la vivienda se encuentra ya a un escaso 5,5% de superar el máximo registrado durante la burbuja inmobiliaria de 2007, lo que nos sitúa ante un escenario histórico. Es muy posible que en los próximos meses el precio nacional también supere su propia marca y alcance el valor más alto de toda la serie. El mercado se mueve claramente a dos velocidades. Por un lado, las comunidades con mayor tensión de precios (aquellas con una fuerte atracción poblacional) están registrando incrementos interanuales sin precedentes, por lo que la accesibilidad a la vivienda se complica como nunca”, </w:t>
      </w:r>
      <w:r>
        <w:rPr>
          <w:rFonts w:ascii="Open Sans" w:eastAsia="Open Sans" w:hAnsi="Open Sans" w:cs="Open Sans"/>
          <w:b/>
        </w:rPr>
        <w:t xml:space="preserve">explica María Matos, directora de Estudios y portavoz de </w:t>
      </w:r>
      <w:hyperlink r:id="rId11">
        <w:r>
          <w:rPr>
            <w:rFonts w:ascii="Open Sans" w:eastAsia="Open Sans" w:hAnsi="Open Sans" w:cs="Open Sans"/>
            <w:b/>
            <w:color w:val="1155CC"/>
            <w:u w:val="single"/>
          </w:rPr>
          <w:t>Fotocasa</w:t>
        </w:r>
      </w:hyperlink>
      <w:r>
        <w:rPr>
          <w:rFonts w:ascii="Open Sans" w:eastAsia="Open Sans" w:hAnsi="Open Sans" w:cs="Open Sans"/>
        </w:rPr>
        <w:t xml:space="preserve">. </w:t>
      </w:r>
    </w:p>
    <w:p w14:paraId="19F8AE4D" w14:textId="77777777" w:rsidR="00FD2E14" w:rsidRDefault="00000000">
      <w:pPr>
        <w:pBdr>
          <w:top w:val="nil"/>
          <w:left w:val="nil"/>
          <w:bottom w:val="nil"/>
          <w:right w:val="nil"/>
          <w:between w:val="nil"/>
        </w:pBdr>
        <w:shd w:val="clear" w:color="auto" w:fill="FFFFFF"/>
        <w:tabs>
          <w:tab w:val="left" w:pos="3119"/>
        </w:tabs>
        <w:spacing w:before="280" w:after="280" w:line="276" w:lineRule="auto"/>
        <w:jc w:val="both"/>
        <w:rPr>
          <w:rFonts w:ascii="Times New Roman" w:eastAsia="Times New Roman" w:hAnsi="Times New Roman" w:cs="Times New Roman"/>
          <w:color w:val="000000"/>
        </w:rPr>
      </w:pPr>
      <w:r>
        <w:rPr>
          <w:rFonts w:ascii="Open Sans" w:eastAsia="Open Sans" w:hAnsi="Open Sans" w:cs="Open Sans"/>
          <w:color w:val="000000"/>
        </w:rPr>
        <w:t>Este mes de octubre el precio del metro cuadrado de la vivienda de segunda mano en España se sitúa en 2.789 euros. Si calculamos este último incremento interanual (18%) y lo multiplicamos por los 80 m</w:t>
      </w:r>
      <w:r>
        <w:rPr>
          <w:rFonts w:ascii="Open Sans" w:eastAsia="Open Sans" w:hAnsi="Open Sans" w:cs="Open Sans"/>
          <w:color w:val="000000"/>
          <w:vertAlign w:val="superscript"/>
        </w:rPr>
        <w:t>2</w:t>
      </w:r>
      <w:r>
        <w:rPr>
          <w:rFonts w:ascii="Open Sans" w:eastAsia="Open Sans" w:hAnsi="Open Sans" w:cs="Open Sans"/>
          <w:color w:val="000000"/>
        </w:rPr>
        <w:t xml:space="preserve"> de una vivienda estándar, vemos que el valor medio de una vivienda es 223.129 euros en octubre, mientras que hace un año se ofertaban viviendas 34.067 euros menos (189.062 euros en octubre de 2024).</w:t>
      </w:r>
      <w:r>
        <w:rPr>
          <w:rFonts w:ascii="Times New Roman" w:eastAsia="Times New Roman" w:hAnsi="Times New Roman" w:cs="Times New Roman"/>
          <w:color w:val="000000"/>
        </w:rPr>
        <w:t xml:space="preserve"> </w:t>
      </w:r>
    </w:p>
    <w:p w14:paraId="74437C23" w14:textId="77777777" w:rsidR="00FD2E14" w:rsidRDefault="00000000">
      <w:pPr>
        <w:pBdr>
          <w:top w:val="nil"/>
          <w:left w:val="nil"/>
          <w:bottom w:val="nil"/>
          <w:right w:val="nil"/>
          <w:between w:val="nil"/>
        </w:pBdr>
        <w:shd w:val="clear" w:color="auto" w:fill="FFFFFF"/>
        <w:tabs>
          <w:tab w:val="left" w:pos="3119"/>
        </w:tabs>
        <w:spacing w:before="280" w:after="280" w:line="276" w:lineRule="auto"/>
        <w:jc w:val="both"/>
        <w:rPr>
          <w:rFonts w:ascii="Open Sans" w:eastAsia="Open Sans" w:hAnsi="Open Sans" w:cs="Open Sans"/>
          <w:color w:val="000000"/>
        </w:rPr>
      </w:pPr>
      <w:r>
        <w:rPr>
          <w:rFonts w:ascii="Open Sans" w:eastAsia="Open Sans" w:hAnsi="Open Sans" w:cs="Open Sans"/>
          <w:color w:val="000000"/>
        </w:rPr>
        <w:t>A lo largo de 2025 el precio de la vivienda en España se ha superado en cinco oportunidades. Empezó en mayo con el incremento anual del 14,8%, valor que superó al 12,7% producido hace 19 años, en abril de 2006. A partir de entonces, mayo de 2025, se ha producido una cadena de subidas interanuales, cada una más alta que la otra, hasta llegar al 18% de octubre: mayo (14,8%), junio (14,9%), julio (15,9%), agosto (17,7%) y octubre (18,0%).</w:t>
      </w:r>
    </w:p>
    <w:p w14:paraId="1AB62D04" w14:textId="0497B5C2" w:rsidR="009A4355" w:rsidRDefault="009A4355" w:rsidP="009A4355">
      <w:pPr>
        <w:pBdr>
          <w:top w:val="nil"/>
          <w:left w:val="nil"/>
          <w:bottom w:val="nil"/>
          <w:right w:val="nil"/>
          <w:between w:val="nil"/>
        </w:pBdr>
        <w:shd w:val="clear" w:color="auto" w:fill="FFFFFF"/>
        <w:spacing w:before="280" w:after="280" w:line="276" w:lineRule="auto"/>
        <w:jc w:val="center"/>
        <w:rPr>
          <w:rFonts w:ascii="Open Sans" w:eastAsia="Open Sans" w:hAnsi="Open Sans" w:cs="Open Sans"/>
          <w:color w:val="000000"/>
        </w:rPr>
      </w:pPr>
      <w:r>
        <w:rPr>
          <w:rFonts w:ascii="Open Sans Light" w:eastAsia="Open Sans Light" w:hAnsi="Open Sans Light" w:cs="Open Sans Light"/>
          <w:b/>
          <w:color w:val="303AB2"/>
          <w:sz w:val="28"/>
          <w:szCs w:val="28"/>
        </w:rPr>
        <w:t>Variación interanual por CC.AA.</w:t>
      </w:r>
    </w:p>
    <w:tbl>
      <w:tblPr>
        <w:tblStyle w:val="a"/>
        <w:tblW w:w="9327"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399"/>
        <w:gridCol w:w="1429"/>
        <w:gridCol w:w="1422"/>
        <w:gridCol w:w="1276"/>
        <w:gridCol w:w="1415"/>
        <w:gridCol w:w="1386"/>
      </w:tblGrid>
      <w:tr w:rsidR="00FD2E14" w14:paraId="7C82FCE5" w14:textId="77777777" w:rsidTr="00FD2E14">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399" w:type="dxa"/>
            <w:tcBorders>
              <w:top w:val="nil"/>
              <w:left w:val="nil"/>
            </w:tcBorders>
            <w:vAlign w:val="center"/>
          </w:tcPr>
          <w:p w14:paraId="5BFE4572" w14:textId="77777777" w:rsidR="00FD2E14" w:rsidRDefault="00000000">
            <w:pPr>
              <w:rPr>
                <w:rFonts w:ascii="Open Sans" w:eastAsia="Open Sans" w:hAnsi="Open Sans" w:cs="Open Sans"/>
                <w:sz w:val="22"/>
                <w:szCs w:val="22"/>
              </w:rPr>
            </w:pPr>
            <w:r>
              <w:rPr>
                <w:rFonts w:ascii="Open Sans" w:eastAsia="Open Sans" w:hAnsi="Open Sans" w:cs="Open Sans"/>
                <w:b w:val="0"/>
                <w:sz w:val="22"/>
                <w:szCs w:val="22"/>
              </w:rPr>
              <w:t>Comunidad Autónoma</w:t>
            </w:r>
          </w:p>
        </w:tc>
        <w:tc>
          <w:tcPr>
            <w:tcW w:w="1429" w:type="dxa"/>
            <w:tcBorders>
              <w:top w:val="nil"/>
            </w:tcBorders>
            <w:vAlign w:val="center"/>
          </w:tcPr>
          <w:p w14:paraId="44BB14A2" w14:textId="77777777" w:rsidR="00FD2E1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Octubre 2024</w:t>
            </w:r>
          </w:p>
          <w:p w14:paraId="58136C1B" w14:textId="77777777" w:rsidR="00FD2E1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422" w:type="dxa"/>
            <w:tcBorders>
              <w:top w:val="nil"/>
            </w:tcBorders>
            <w:vAlign w:val="center"/>
          </w:tcPr>
          <w:p w14:paraId="7C273F2A" w14:textId="77777777" w:rsidR="00FD2E1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Octubre 2025</w:t>
            </w:r>
          </w:p>
          <w:p w14:paraId="08AF3C07" w14:textId="77777777" w:rsidR="00FD2E1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276" w:type="dxa"/>
            <w:tcBorders>
              <w:top w:val="nil"/>
            </w:tcBorders>
            <w:vAlign w:val="center"/>
          </w:tcPr>
          <w:p w14:paraId="459E7F22" w14:textId="77777777" w:rsidR="00FD2E1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oct-2025</w:t>
            </w:r>
          </w:p>
        </w:tc>
        <w:tc>
          <w:tcPr>
            <w:tcW w:w="1415" w:type="dxa"/>
            <w:tcBorders>
              <w:top w:val="nil"/>
            </w:tcBorders>
            <w:vAlign w:val="center"/>
          </w:tcPr>
          <w:p w14:paraId="6C8003BB" w14:textId="77777777" w:rsidR="00FD2E1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Máxima Variación interanual</w:t>
            </w:r>
          </w:p>
        </w:tc>
        <w:tc>
          <w:tcPr>
            <w:tcW w:w="1386" w:type="dxa"/>
            <w:tcBorders>
              <w:top w:val="nil"/>
              <w:right w:val="nil"/>
            </w:tcBorders>
          </w:tcPr>
          <w:p w14:paraId="061C089C" w14:textId="77777777" w:rsidR="00FD2E1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Mes máxima variación</w:t>
            </w:r>
          </w:p>
        </w:tc>
      </w:tr>
      <w:tr w:rsidR="00FD2E14" w14:paraId="1AB3F82A" w14:textId="77777777" w:rsidTr="00FD2E14">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399" w:type="dxa"/>
            <w:tcBorders>
              <w:left w:val="nil"/>
            </w:tcBorders>
            <w:vAlign w:val="center"/>
          </w:tcPr>
          <w:p w14:paraId="482CCE2F" w14:textId="77777777" w:rsidR="00FD2E14" w:rsidRDefault="00000000">
            <w:pPr>
              <w:rPr>
                <w:rFonts w:ascii="Open Sans" w:eastAsia="Open Sans" w:hAnsi="Open Sans" w:cs="Open Sans"/>
                <w:sz w:val="22"/>
                <w:szCs w:val="22"/>
              </w:rPr>
            </w:pPr>
            <w:r>
              <w:rPr>
                <w:rFonts w:ascii="Open Sans" w:eastAsia="Open Sans" w:hAnsi="Open Sans" w:cs="Open Sans"/>
                <w:b w:val="0"/>
                <w:sz w:val="22"/>
                <w:szCs w:val="22"/>
              </w:rPr>
              <w:t xml:space="preserve"> Extremadura </w:t>
            </w:r>
          </w:p>
        </w:tc>
        <w:tc>
          <w:tcPr>
            <w:tcW w:w="1429" w:type="dxa"/>
            <w:vAlign w:val="center"/>
          </w:tcPr>
          <w:p w14:paraId="79EEB79D" w14:textId="77777777" w:rsidR="00FD2E1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1.247 €</w:t>
            </w:r>
          </w:p>
        </w:tc>
        <w:tc>
          <w:tcPr>
            <w:tcW w:w="1422" w:type="dxa"/>
            <w:vAlign w:val="center"/>
          </w:tcPr>
          <w:p w14:paraId="5606FA5E" w14:textId="77777777" w:rsidR="00FD2E1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1.276 €</w:t>
            </w:r>
          </w:p>
        </w:tc>
        <w:tc>
          <w:tcPr>
            <w:tcW w:w="1276" w:type="dxa"/>
            <w:vAlign w:val="center"/>
          </w:tcPr>
          <w:p w14:paraId="64BFDD8F" w14:textId="77777777" w:rsidR="00FD2E1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2,3%</w:t>
            </w:r>
          </w:p>
        </w:tc>
        <w:tc>
          <w:tcPr>
            <w:tcW w:w="1415" w:type="dxa"/>
            <w:vAlign w:val="center"/>
          </w:tcPr>
          <w:p w14:paraId="2FA3A8FE" w14:textId="77777777" w:rsidR="00FD2E1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39,0%</w:t>
            </w:r>
          </w:p>
        </w:tc>
        <w:tc>
          <w:tcPr>
            <w:tcW w:w="1386" w:type="dxa"/>
            <w:vAlign w:val="center"/>
          </w:tcPr>
          <w:p w14:paraId="3496DD49" w14:textId="77777777" w:rsidR="00FD2E1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mar.-07</w:t>
            </w:r>
          </w:p>
        </w:tc>
      </w:tr>
      <w:tr w:rsidR="00FD2E14" w14:paraId="1774F4DE" w14:textId="77777777" w:rsidTr="00FD2E14">
        <w:trPr>
          <w:trHeight w:val="408"/>
        </w:trPr>
        <w:tc>
          <w:tcPr>
            <w:cnfStyle w:val="001000000000" w:firstRow="0" w:lastRow="0" w:firstColumn="1" w:lastColumn="0" w:oddVBand="0" w:evenVBand="0" w:oddHBand="0" w:evenHBand="0" w:firstRowFirstColumn="0" w:firstRowLastColumn="0" w:lastRowFirstColumn="0" w:lastRowLastColumn="0"/>
            <w:tcW w:w="2399" w:type="dxa"/>
            <w:tcBorders>
              <w:left w:val="nil"/>
            </w:tcBorders>
            <w:vAlign w:val="center"/>
          </w:tcPr>
          <w:p w14:paraId="0544110B" w14:textId="77777777" w:rsidR="00FD2E14" w:rsidRDefault="00000000">
            <w:pPr>
              <w:rPr>
                <w:rFonts w:ascii="Open Sans" w:eastAsia="Open Sans" w:hAnsi="Open Sans" w:cs="Open Sans"/>
                <w:sz w:val="22"/>
                <w:szCs w:val="22"/>
              </w:rPr>
            </w:pPr>
            <w:r>
              <w:rPr>
                <w:rFonts w:ascii="Open Sans" w:eastAsia="Open Sans" w:hAnsi="Open Sans" w:cs="Open Sans"/>
                <w:b w:val="0"/>
                <w:sz w:val="22"/>
                <w:szCs w:val="22"/>
              </w:rPr>
              <w:t xml:space="preserve"> La Rioja </w:t>
            </w:r>
          </w:p>
        </w:tc>
        <w:tc>
          <w:tcPr>
            <w:tcW w:w="1429" w:type="dxa"/>
            <w:vAlign w:val="center"/>
          </w:tcPr>
          <w:p w14:paraId="1F4E85CD" w14:textId="77777777" w:rsidR="00FD2E1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1.658 €</w:t>
            </w:r>
          </w:p>
        </w:tc>
        <w:tc>
          <w:tcPr>
            <w:tcW w:w="1422" w:type="dxa"/>
            <w:vAlign w:val="center"/>
          </w:tcPr>
          <w:p w14:paraId="226FC2CC" w14:textId="77777777" w:rsidR="00FD2E1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1.758 €</w:t>
            </w:r>
          </w:p>
        </w:tc>
        <w:tc>
          <w:tcPr>
            <w:tcW w:w="1276" w:type="dxa"/>
            <w:vAlign w:val="center"/>
          </w:tcPr>
          <w:p w14:paraId="3490BDDD" w14:textId="77777777" w:rsidR="00FD2E1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6,0%</w:t>
            </w:r>
          </w:p>
        </w:tc>
        <w:tc>
          <w:tcPr>
            <w:tcW w:w="1415" w:type="dxa"/>
            <w:vAlign w:val="center"/>
          </w:tcPr>
          <w:p w14:paraId="2FD09224" w14:textId="77777777" w:rsidR="00FD2E1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30,7%</w:t>
            </w:r>
          </w:p>
        </w:tc>
        <w:tc>
          <w:tcPr>
            <w:tcW w:w="1386" w:type="dxa"/>
            <w:vAlign w:val="center"/>
          </w:tcPr>
          <w:p w14:paraId="6F833429" w14:textId="77777777" w:rsidR="00FD2E1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mar.-07</w:t>
            </w:r>
          </w:p>
        </w:tc>
      </w:tr>
      <w:tr w:rsidR="00FD2E14" w14:paraId="4267E23E" w14:textId="77777777" w:rsidTr="00FD2E14">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399" w:type="dxa"/>
            <w:tcBorders>
              <w:left w:val="nil"/>
            </w:tcBorders>
            <w:vAlign w:val="center"/>
          </w:tcPr>
          <w:p w14:paraId="7CE2B8BE" w14:textId="255993DB" w:rsidR="00FD2E14" w:rsidRDefault="00000000">
            <w:pPr>
              <w:rPr>
                <w:rFonts w:ascii="Open Sans" w:eastAsia="Open Sans" w:hAnsi="Open Sans" w:cs="Open Sans"/>
                <w:sz w:val="22"/>
                <w:szCs w:val="22"/>
              </w:rPr>
            </w:pPr>
            <w:r>
              <w:rPr>
                <w:rFonts w:ascii="Open Sans" w:eastAsia="Open Sans" w:hAnsi="Open Sans" w:cs="Open Sans"/>
                <w:b w:val="0"/>
                <w:sz w:val="22"/>
                <w:szCs w:val="22"/>
              </w:rPr>
              <w:t xml:space="preserve">Comunitat Valenciana </w:t>
            </w:r>
          </w:p>
        </w:tc>
        <w:tc>
          <w:tcPr>
            <w:tcW w:w="1429" w:type="dxa"/>
            <w:vAlign w:val="center"/>
          </w:tcPr>
          <w:p w14:paraId="20D657E6" w14:textId="77777777" w:rsidR="00FD2E1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2.033 €</w:t>
            </w:r>
          </w:p>
        </w:tc>
        <w:tc>
          <w:tcPr>
            <w:tcW w:w="1422" w:type="dxa"/>
            <w:vAlign w:val="center"/>
          </w:tcPr>
          <w:p w14:paraId="59F6C43B" w14:textId="77777777" w:rsidR="00FD2E1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2.493 €</w:t>
            </w:r>
          </w:p>
        </w:tc>
        <w:tc>
          <w:tcPr>
            <w:tcW w:w="1276" w:type="dxa"/>
            <w:vAlign w:val="center"/>
          </w:tcPr>
          <w:p w14:paraId="6AD2F5AE" w14:textId="77777777" w:rsidR="00FD2E1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22,6%</w:t>
            </w:r>
          </w:p>
        </w:tc>
        <w:tc>
          <w:tcPr>
            <w:tcW w:w="1415" w:type="dxa"/>
            <w:vAlign w:val="center"/>
          </w:tcPr>
          <w:p w14:paraId="3A2803C8" w14:textId="77777777" w:rsidR="00FD2E1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28,3%</w:t>
            </w:r>
          </w:p>
        </w:tc>
        <w:tc>
          <w:tcPr>
            <w:tcW w:w="1386" w:type="dxa"/>
            <w:vAlign w:val="center"/>
          </w:tcPr>
          <w:p w14:paraId="2C25D4F7" w14:textId="77777777" w:rsidR="00FD2E1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may.-25</w:t>
            </w:r>
          </w:p>
        </w:tc>
      </w:tr>
      <w:tr w:rsidR="00FD2E14" w14:paraId="299ED0B1" w14:textId="77777777" w:rsidTr="00FD2E14">
        <w:trPr>
          <w:trHeight w:val="408"/>
        </w:trPr>
        <w:tc>
          <w:tcPr>
            <w:cnfStyle w:val="001000000000" w:firstRow="0" w:lastRow="0" w:firstColumn="1" w:lastColumn="0" w:oddVBand="0" w:evenVBand="0" w:oddHBand="0" w:evenHBand="0" w:firstRowFirstColumn="0" w:firstRowLastColumn="0" w:lastRowFirstColumn="0" w:lastRowLastColumn="0"/>
            <w:tcW w:w="2399" w:type="dxa"/>
            <w:tcBorders>
              <w:left w:val="nil"/>
            </w:tcBorders>
            <w:vAlign w:val="center"/>
          </w:tcPr>
          <w:p w14:paraId="265F4E8D" w14:textId="77777777" w:rsidR="00FD2E14" w:rsidRDefault="00000000">
            <w:pPr>
              <w:rPr>
                <w:rFonts w:ascii="Open Sans" w:eastAsia="Open Sans" w:hAnsi="Open Sans" w:cs="Open Sans"/>
                <w:sz w:val="22"/>
                <w:szCs w:val="22"/>
              </w:rPr>
            </w:pPr>
            <w:r>
              <w:rPr>
                <w:rFonts w:ascii="Open Sans" w:eastAsia="Open Sans" w:hAnsi="Open Sans" w:cs="Open Sans"/>
                <w:b w:val="0"/>
                <w:sz w:val="22"/>
                <w:szCs w:val="22"/>
              </w:rPr>
              <w:t xml:space="preserve"> Galicia </w:t>
            </w:r>
          </w:p>
        </w:tc>
        <w:tc>
          <w:tcPr>
            <w:tcW w:w="1429" w:type="dxa"/>
            <w:vAlign w:val="center"/>
          </w:tcPr>
          <w:p w14:paraId="31552B86" w14:textId="77777777" w:rsidR="00FD2E1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1.879 €</w:t>
            </w:r>
          </w:p>
        </w:tc>
        <w:tc>
          <w:tcPr>
            <w:tcW w:w="1422" w:type="dxa"/>
            <w:vAlign w:val="center"/>
          </w:tcPr>
          <w:p w14:paraId="2B738547" w14:textId="77777777" w:rsidR="00FD2E1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2.096 €</w:t>
            </w:r>
          </w:p>
        </w:tc>
        <w:tc>
          <w:tcPr>
            <w:tcW w:w="1276" w:type="dxa"/>
            <w:vAlign w:val="center"/>
          </w:tcPr>
          <w:p w14:paraId="09CCC738" w14:textId="77777777" w:rsidR="00FD2E1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11,6%</w:t>
            </w:r>
          </w:p>
        </w:tc>
        <w:tc>
          <w:tcPr>
            <w:tcW w:w="1415" w:type="dxa"/>
            <w:vAlign w:val="center"/>
          </w:tcPr>
          <w:p w14:paraId="10035B54" w14:textId="77777777" w:rsidR="00FD2E1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27,2%</w:t>
            </w:r>
          </w:p>
        </w:tc>
        <w:tc>
          <w:tcPr>
            <w:tcW w:w="1386" w:type="dxa"/>
            <w:vAlign w:val="center"/>
          </w:tcPr>
          <w:p w14:paraId="6BD370E4" w14:textId="77777777" w:rsidR="00FD2E1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feb.-06</w:t>
            </w:r>
          </w:p>
        </w:tc>
      </w:tr>
      <w:tr w:rsidR="00FD2E14" w14:paraId="1D7D761C" w14:textId="77777777" w:rsidTr="00FD2E14">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399" w:type="dxa"/>
            <w:tcBorders>
              <w:left w:val="nil"/>
            </w:tcBorders>
            <w:vAlign w:val="center"/>
          </w:tcPr>
          <w:p w14:paraId="4CB8E580" w14:textId="77777777" w:rsidR="00FD2E14" w:rsidRDefault="00000000">
            <w:pPr>
              <w:rPr>
                <w:rFonts w:ascii="Open Sans" w:eastAsia="Open Sans" w:hAnsi="Open Sans" w:cs="Open Sans"/>
                <w:sz w:val="22"/>
                <w:szCs w:val="22"/>
              </w:rPr>
            </w:pPr>
            <w:r>
              <w:rPr>
                <w:rFonts w:ascii="Open Sans" w:eastAsia="Open Sans" w:hAnsi="Open Sans" w:cs="Open Sans"/>
                <w:b w:val="0"/>
                <w:sz w:val="22"/>
                <w:szCs w:val="22"/>
              </w:rPr>
              <w:t xml:space="preserve"> Baleares </w:t>
            </w:r>
          </w:p>
        </w:tc>
        <w:tc>
          <w:tcPr>
            <w:tcW w:w="1429" w:type="dxa"/>
            <w:vAlign w:val="center"/>
          </w:tcPr>
          <w:p w14:paraId="6C49391D" w14:textId="77777777" w:rsidR="00FD2E1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4.485 €</w:t>
            </w:r>
          </w:p>
        </w:tc>
        <w:tc>
          <w:tcPr>
            <w:tcW w:w="1422" w:type="dxa"/>
            <w:vAlign w:val="center"/>
          </w:tcPr>
          <w:p w14:paraId="5020F0AA" w14:textId="77777777" w:rsidR="00FD2E1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5.198 €</w:t>
            </w:r>
          </w:p>
        </w:tc>
        <w:tc>
          <w:tcPr>
            <w:tcW w:w="1276" w:type="dxa"/>
            <w:vAlign w:val="center"/>
          </w:tcPr>
          <w:p w14:paraId="1ABD8F97" w14:textId="77777777" w:rsidR="00FD2E1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15,9%</w:t>
            </w:r>
          </w:p>
        </w:tc>
        <w:tc>
          <w:tcPr>
            <w:tcW w:w="1415" w:type="dxa"/>
            <w:vAlign w:val="center"/>
          </w:tcPr>
          <w:p w14:paraId="753A418F" w14:textId="77777777" w:rsidR="00FD2E1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25,8%</w:t>
            </w:r>
          </w:p>
        </w:tc>
        <w:tc>
          <w:tcPr>
            <w:tcW w:w="1386" w:type="dxa"/>
            <w:vAlign w:val="center"/>
          </w:tcPr>
          <w:p w14:paraId="56F20382" w14:textId="77777777" w:rsidR="00FD2E1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feb.-25</w:t>
            </w:r>
          </w:p>
        </w:tc>
      </w:tr>
      <w:tr w:rsidR="00FD2E14" w14:paraId="687578A5" w14:textId="77777777" w:rsidTr="00FD2E14">
        <w:trPr>
          <w:trHeight w:val="408"/>
        </w:trPr>
        <w:tc>
          <w:tcPr>
            <w:cnfStyle w:val="001000000000" w:firstRow="0" w:lastRow="0" w:firstColumn="1" w:lastColumn="0" w:oddVBand="0" w:evenVBand="0" w:oddHBand="0" w:evenHBand="0" w:firstRowFirstColumn="0" w:firstRowLastColumn="0" w:lastRowFirstColumn="0" w:lastRowLastColumn="0"/>
            <w:tcW w:w="2399" w:type="dxa"/>
            <w:tcBorders>
              <w:left w:val="nil"/>
            </w:tcBorders>
            <w:vAlign w:val="center"/>
          </w:tcPr>
          <w:p w14:paraId="7128C884" w14:textId="77777777" w:rsidR="00FD2E14"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 xml:space="preserve"> Canarias </w:t>
            </w:r>
          </w:p>
        </w:tc>
        <w:tc>
          <w:tcPr>
            <w:tcW w:w="1429" w:type="dxa"/>
            <w:vAlign w:val="center"/>
          </w:tcPr>
          <w:p w14:paraId="44A16092" w14:textId="77777777" w:rsidR="00FD2E1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2.714 €</w:t>
            </w:r>
          </w:p>
        </w:tc>
        <w:tc>
          <w:tcPr>
            <w:tcW w:w="1422" w:type="dxa"/>
            <w:vAlign w:val="center"/>
          </w:tcPr>
          <w:p w14:paraId="7E029B2D" w14:textId="77777777" w:rsidR="00FD2E1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3.202 €</w:t>
            </w:r>
          </w:p>
        </w:tc>
        <w:tc>
          <w:tcPr>
            <w:tcW w:w="1276" w:type="dxa"/>
            <w:vAlign w:val="center"/>
          </w:tcPr>
          <w:p w14:paraId="4507FAE5" w14:textId="77777777" w:rsidR="00FD2E1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18,0%</w:t>
            </w:r>
          </w:p>
        </w:tc>
        <w:tc>
          <w:tcPr>
            <w:tcW w:w="1415" w:type="dxa"/>
            <w:vAlign w:val="center"/>
          </w:tcPr>
          <w:p w14:paraId="5E30EC3F" w14:textId="77777777" w:rsidR="00FD2E1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25,4%</w:t>
            </w:r>
          </w:p>
        </w:tc>
        <w:tc>
          <w:tcPr>
            <w:tcW w:w="1386" w:type="dxa"/>
            <w:vAlign w:val="center"/>
          </w:tcPr>
          <w:p w14:paraId="15E40A8D" w14:textId="77777777" w:rsidR="00FD2E1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oct.-23</w:t>
            </w:r>
          </w:p>
        </w:tc>
      </w:tr>
      <w:tr w:rsidR="00FD2E14" w14:paraId="55EC8E75" w14:textId="77777777" w:rsidTr="00FD2E14">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399" w:type="dxa"/>
            <w:tcBorders>
              <w:left w:val="nil"/>
            </w:tcBorders>
            <w:vAlign w:val="center"/>
          </w:tcPr>
          <w:p w14:paraId="7DA23F55" w14:textId="77777777" w:rsidR="00FD2E14" w:rsidRDefault="00000000">
            <w:pPr>
              <w:rPr>
                <w:rFonts w:ascii="Open Sans" w:eastAsia="Open Sans" w:hAnsi="Open Sans" w:cs="Open Sans"/>
                <w:sz w:val="22"/>
                <w:szCs w:val="22"/>
              </w:rPr>
            </w:pPr>
            <w:r>
              <w:rPr>
                <w:rFonts w:ascii="Open Sans" w:eastAsia="Open Sans" w:hAnsi="Open Sans" w:cs="Open Sans"/>
                <w:b w:val="0"/>
                <w:sz w:val="22"/>
                <w:szCs w:val="22"/>
              </w:rPr>
              <w:t xml:space="preserve"> Región de Murcia </w:t>
            </w:r>
          </w:p>
        </w:tc>
        <w:tc>
          <w:tcPr>
            <w:tcW w:w="1429" w:type="dxa"/>
            <w:vAlign w:val="center"/>
          </w:tcPr>
          <w:p w14:paraId="5464A793" w14:textId="77777777" w:rsidR="00FD2E1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1.458 €</w:t>
            </w:r>
          </w:p>
        </w:tc>
        <w:tc>
          <w:tcPr>
            <w:tcW w:w="1422" w:type="dxa"/>
            <w:vAlign w:val="center"/>
          </w:tcPr>
          <w:p w14:paraId="347D8A72" w14:textId="77777777" w:rsidR="00FD2E1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1.767 €</w:t>
            </w:r>
          </w:p>
        </w:tc>
        <w:tc>
          <w:tcPr>
            <w:tcW w:w="1276" w:type="dxa"/>
            <w:vAlign w:val="center"/>
          </w:tcPr>
          <w:p w14:paraId="4F34FB4C" w14:textId="77777777" w:rsidR="00FD2E1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21,2%</w:t>
            </w:r>
          </w:p>
        </w:tc>
        <w:tc>
          <w:tcPr>
            <w:tcW w:w="1415" w:type="dxa"/>
            <w:vAlign w:val="center"/>
          </w:tcPr>
          <w:p w14:paraId="3E99822E" w14:textId="77777777" w:rsidR="00FD2E1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24,9%</w:t>
            </w:r>
          </w:p>
        </w:tc>
        <w:tc>
          <w:tcPr>
            <w:tcW w:w="1386" w:type="dxa"/>
            <w:vAlign w:val="center"/>
          </w:tcPr>
          <w:p w14:paraId="2223E3F2" w14:textId="77777777" w:rsidR="00FD2E1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jul.-25</w:t>
            </w:r>
          </w:p>
        </w:tc>
      </w:tr>
      <w:tr w:rsidR="00FD2E14" w14:paraId="173C0A38" w14:textId="77777777" w:rsidTr="00FD2E14">
        <w:trPr>
          <w:trHeight w:val="408"/>
        </w:trPr>
        <w:tc>
          <w:tcPr>
            <w:cnfStyle w:val="001000000000" w:firstRow="0" w:lastRow="0" w:firstColumn="1" w:lastColumn="0" w:oddVBand="0" w:evenVBand="0" w:oddHBand="0" w:evenHBand="0" w:firstRowFirstColumn="0" w:firstRowLastColumn="0" w:lastRowFirstColumn="0" w:lastRowLastColumn="0"/>
            <w:tcW w:w="2399" w:type="dxa"/>
            <w:tcBorders>
              <w:left w:val="nil"/>
            </w:tcBorders>
            <w:vAlign w:val="center"/>
          </w:tcPr>
          <w:p w14:paraId="6F220CA5" w14:textId="77777777" w:rsidR="00FD2E14" w:rsidRDefault="00000000">
            <w:pPr>
              <w:rPr>
                <w:rFonts w:ascii="Open Sans" w:eastAsia="Open Sans" w:hAnsi="Open Sans" w:cs="Open Sans"/>
                <w:sz w:val="22"/>
                <w:szCs w:val="22"/>
              </w:rPr>
            </w:pPr>
            <w:r>
              <w:rPr>
                <w:rFonts w:ascii="Open Sans" w:eastAsia="Open Sans" w:hAnsi="Open Sans" w:cs="Open Sans"/>
                <w:b w:val="0"/>
                <w:sz w:val="22"/>
                <w:szCs w:val="22"/>
              </w:rPr>
              <w:t xml:space="preserve"> Andalucía </w:t>
            </w:r>
          </w:p>
        </w:tc>
        <w:tc>
          <w:tcPr>
            <w:tcW w:w="1429" w:type="dxa"/>
            <w:vAlign w:val="center"/>
          </w:tcPr>
          <w:p w14:paraId="084C1699" w14:textId="77777777" w:rsidR="00FD2E1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2.235 €</w:t>
            </w:r>
          </w:p>
        </w:tc>
        <w:tc>
          <w:tcPr>
            <w:tcW w:w="1422" w:type="dxa"/>
            <w:vAlign w:val="center"/>
          </w:tcPr>
          <w:p w14:paraId="6A0B9A69" w14:textId="77777777" w:rsidR="00FD2E1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2.687 €</w:t>
            </w:r>
          </w:p>
        </w:tc>
        <w:tc>
          <w:tcPr>
            <w:tcW w:w="1276" w:type="dxa"/>
            <w:vAlign w:val="center"/>
          </w:tcPr>
          <w:p w14:paraId="5A2F9C23" w14:textId="77777777" w:rsidR="00FD2E1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20,2%</w:t>
            </w:r>
          </w:p>
        </w:tc>
        <w:tc>
          <w:tcPr>
            <w:tcW w:w="1415" w:type="dxa"/>
            <w:vAlign w:val="center"/>
          </w:tcPr>
          <w:p w14:paraId="6F85DD6D" w14:textId="77777777" w:rsidR="00FD2E1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23,1%</w:t>
            </w:r>
          </w:p>
        </w:tc>
        <w:tc>
          <w:tcPr>
            <w:tcW w:w="1386" w:type="dxa"/>
            <w:vAlign w:val="center"/>
          </w:tcPr>
          <w:p w14:paraId="7D8CA251" w14:textId="77777777" w:rsidR="00FD2E1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ago.-25</w:t>
            </w:r>
          </w:p>
        </w:tc>
      </w:tr>
      <w:tr w:rsidR="00FD2E14" w14:paraId="29409497" w14:textId="77777777" w:rsidTr="00FD2E14">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399" w:type="dxa"/>
            <w:tcBorders>
              <w:left w:val="nil"/>
            </w:tcBorders>
            <w:vAlign w:val="center"/>
          </w:tcPr>
          <w:p w14:paraId="7560C581" w14:textId="77777777" w:rsidR="00FD2E14" w:rsidRDefault="00000000">
            <w:pPr>
              <w:rPr>
                <w:rFonts w:ascii="Open Sans" w:eastAsia="Open Sans" w:hAnsi="Open Sans" w:cs="Open Sans"/>
                <w:sz w:val="22"/>
                <w:szCs w:val="22"/>
              </w:rPr>
            </w:pPr>
            <w:r>
              <w:rPr>
                <w:rFonts w:ascii="Open Sans" w:eastAsia="Open Sans" w:hAnsi="Open Sans" w:cs="Open Sans"/>
                <w:b w:val="0"/>
                <w:sz w:val="22"/>
                <w:szCs w:val="22"/>
              </w:rPr>
              <w:t xml:space="preserve"> Asturias </w:t>
            </w:r>
          </w:p>
        </w:tc>
        <w:tc>
          <w:tcPr>
            <w:tcW w:w="1429" w:type="dxa"/>
            <w:vAlign w:val="center"/>
          </w:tcPr>
          <w:p w14:paraId="1C85EACA" w14:textId="77777777" w:rsidR="00FD2E1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1.801 €</w:t>
            </w:r>
          </w:p>
        </w:tc>
        <w:tc>
          <w:tcPr>
            <w:tcW w:w="1422" w:type="dxa"/>
            <w:vAlign w:val="center"/>
          </w:tcPr>
          <w:p w14:paraId="588D03D9" w14:textId="77777777" w:rsidR="00FD2E1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2.179 €</w:t>
            </w:r>
          </w:p>
        </w:tc>
        <w:tc>
          <w:tcPr>
            <w:tcW w:w="1276" w:type="dxa"/>
            <w:vAlign w:val="center"/>
          </w:tcPr>
          <w:p w14:paraId="34D98C13" w14:textId="77777777" w:rsidR="00FD2E1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21,0%</w:t>
            </w:r>
          </w:p>
        </w:tc>
        <w:tc>
          <w:tcPr>
            <w:tcW w:w="1415" w:type="dxa"/>
            <w:vAlign w:val="center"/>
          </w:tcPr>
          <w:p w14:paraId="18DF927E" w14:textId="77777777" w:rsidR="00FD2E1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23,0%</w:t>
            </w:r>
          </w:p>
        </w:tc>
        <w:tc>
          <w:tcPr>
            <w:tcW w:w="1386" w:type="dxa"/>
            <w:vAlign w:val="center"/>
          </w:tcPr>
          <w:p w14:paraId="54039A3A" w14:textId="77777777" w:rsidR="00FD2E1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feb.-07</w:t>
            </w:r>
          </w:p>
        </w:tc>
      </w:tr>
      <w:tr w:rsidR="00FD2E14" w14:paraId="7DE6311B" w14:textId="77777777" w:rsidTr="00FD2E14">
        <w:trPr>
          <w:trHeight w:val="408"/>
        </w:trPr>
        <w:tc>
          <w:tcPr>
            <w:cnfStyle w:val="001000000000" w:firstRow="0" w:lastRow="0" w:firstColumn="1" w:lastColumn="0" w:oddVBand="0" w:evenVBand="0" w:oddHBand="0" w:evenHBand="0" w:firstRowFirstColumn="0" w:firstRowLastColumn="0" w:lastRowFirstColumn="0" w:lastRowLastColumn="0"/>
            <w:tcW w:w="2399" w:type="dxa"/>
            <w:tcBorders>
              <w:left w:val="nil"/>
            </w:tcBorders>
            <w:vAlign w:val="center"/>
          </w:tcPr>
          <w:p w14:paraId="2D911F73" w14:textId="77777777" w:rsidR="00FD2E14" w:rsidRDefault="00000000">
            <w:pPr>
              <w:rPr>
                <w:rFonts w:ascii="Open Sans" w:eastAsia="Open Sans" w:hAnsi="Open Sans" w:cs="Open Sans"/>
                <w:sz w:val="22"/>
                <w:szCs w:val="22"/>
              </w:rPr>
            </w:pPr>
            <w:r>
              <w:rPr>
                <w:rFonts w:ascii="Open Sans" w:eastAsia="Open Sans" w:hAnsi="Open Sans" w:cs="Open Sans"/>
                <w:b w:val="0"/>
                <w:sz w:val="22"/>
                <w:szCs w:val="22"/>
              </w:rPr>
              <w:t xml:space="preserve"> Madrid </w:t>
            </w:r>
          </w:p>
        </w:tc>
        <w:tc>
          <w:tcPr>
            <w:tcW w:w="1429" w:type="dxa"/>
            <w:vAlign w:val="center"/>
          </w:tcPr>
          <w:p w14:paraId="33705A44" w14:textId="77777777" w:rsidR="00FD2E1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4.281 €</w:t>
            </w:r>
          </w:p>
        </w:tc>
        <w:tc>
          <w:tcPr>
            <w:tcW w:w="1422" w:type="dxa"/>
            <w:vAlign w:val="center"/>
          </w:tcPr>
          <w:p w14:paraId="7843B439" w14:textId="77777777" w:rsidR="00FD2E1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5.089 €</w:t>
            </w:r>
          </w:p>
        </w:tc>
        <w:tc>
          <w:tcPr>
            <w:tcW w:w="1276" w:type="dxa"/>
            <w:vAlign w:val="center"/>
          </w:tcPr>
          <w:p w14:paraId="5865E086" w14:textId="77777777" w:rsidR="00FD2E1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18,9%</w:t>
            </w:r>
          </w:p>
        </w:tc>
        <w:tc>
          <w:tcPr>
            <w:tcW w:w="1415" w:type="dxa"/>
            <w:vAlign w:val="center"/>
          </w:tcPr>
          <w:p w14:paraId="57634B39" w14:textId="77777777" w:rsidR="00FD2E1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21,7%</w:t>
            </w:r>
          </w:p>
        </w:tc>
        <w:tc>
          <w:tcPr>
            <w:tcW w:w="1386" w:type="dxa"/>
            <w:vAlign w:val="center"/>
          </w:tcPr>
          <w:p w14:paraId="17499BAE" w14:textId="77777777" w:rsidR="00FD2E1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jul.-24</w:t>
            </w:r>
          </w:p>
        </w:tc>
      </w:tr>
      <w:tr w:rsidR="00FD2E14" w14:paraId="7B6EACF2" w14:textId="77777777" w:rsidTr="00FD2E14">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399" w:type="dxa"/>
            <w:tcBorders>
              <w:left w:val="nil"/>
            </w:tcBorders>
            <w:vAlign w:val="center"/>
          </w:tcPr>
          <w:p w14:paraId="02F6E348" w14:textId="77777777" w:rsidR="00FD2E14" w:rsidRDefault="00000000">
            <w:pPr>
              <w:rPr>
                <w:rFonts w:ascii="Open Sans" w:eastAsia="Open Sans" w:hAnsi="Open Sans" w:cs="Open Sans"/>
                <w:sz w:val="22"/>
                <w:szCs w:val="22"/>
              </w:rPr>
            </w:pPr>
            <w:r>
              <w:rPr>
                <w:rFonts w:ascii="Open Sans" w:eastAsia="Open Sans" w:hAnsi="Open Sans" w:cs="Open Sans"/>
                <w:b w:val="0"/>
                <w:sz w:val="22"/>
                <w:szCs w:val="22"/>
              </w:rPr>
              <w:t xml:space="preserve"> Navarra </w:t>
            </w:r>
          </w:p>
        </w:tc>
        <w:tc>
          <w:tcPr>
            <w:tcW w:w="1429" w:type="dxa"/>
            <w:vAlign w:val="center"/>
          </w:tcPr>
          <w:p w14:paraId="5479E80B" w14:textId="77777777" w:rsidR="00FD2E1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2.084 €</w:t>
            </w:r>
          </w:p>
        </w:tc>
        <w:tc>
          <w:tcPr>
            <w:tcW w:w="1422" w:type="dxa"/>
            <w:vAlign w:val="center"/>
          </w:tcPr>
          <w:p w14:paraId="63C7D240" w14:textId="77777777" w:rsidR="00FD2E1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2.124 €</w:t>
            </w:r>
          </w:p>
        </w:tc>
        <w:tc>
          <w:tcPr>
            <w:tcW w:w="1276" w:type="dxa"/>
            <w:vAlign w:val="center"/>
          </w:tcPr>
          <w:p w14:paraId="03D9D372" w14:textId="77777777" w:rsidR="00FD2E1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1,9%</w:t>
            </w:r>
          </w:p>
        </w:tc>
        <w:tc>
          <w:tcPr>
            <w:tcW w:w="1415" w:type="dxa"/>
            <w:vAlign w:val="center"/>
          </w:tcPr>
          <w:p w14:paraId="569168FF" w14:textId="77777777" w:rsidR="00FD2E1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21,5%</w:t>
            </w:r>
          </w:p>
        </w:tc>
        <w:tc>
          <w:tcPr>
            <w:tcW w:w="1386" w:type="dxa"/>
            <w:vAlign w:val="center"/>
          </w:tcPr>
          <w:p w14:paraId="2375DB66" w14:textId="77777777" w:rsidR="00FD2E1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jun.-23</w:t>
            </w:r>
          </w:p>
        </w:tc>
      </w:tr>
      <w:tr w:rsidR="00FD2E14" w14:paraId="685FDB44" w14:textId="77777777" w:rsidTr="00FD2E14">
        <w:trPr>
          <w:trHeight w:val="408"/>
        </w:trPr>
        <w:tc>
          <w:tcPr>
            <w:cnfStyle w:val="001000000000" w:firstRow="0" w:lastRow="0" w:firstColumn="1" w:lastColumn="0" w:oddVBand="0" w:evenVBand="0" w:oddHBand="0" w:evenHBand="0" w:firstRowFirstColumn="0" w:firstRowLastColumn="0" w:lastRowFirstColumn="0" w:lastRowLastColumn="0"/>
            <w:tcW w:w="2399" w:type="dxa"/>
            <w:tcBorders>
              <w:left w:val="nil"/>
            </w:tcBorders>
            <w:vAlign w:val="center"/>
          </w:tcPr>
          <w:p w14:paraId="5FEDB866" w14:textId="77777777" w:rsidR="00FD2E14" w:rsidRDefault="00000000">
            <w:pPr>
              <w:rPr>
                <w:rFonts w:ascii="Open Sans" w:eastAsia="Open Sans" w:hAnsi="Open Sans" w:cs="Open Sans"/>
                <w:sz w:val="22"/>
                <w:szCs w:val="22"/>
              </w:rPr>
            </w:pPr>
            <w:r>
              <w:rPr>
                <w:rFonts w:ascii="Open Sans" w:eastAsia="Open Sans" w:hAnsi="Open Sans" w:cs="Open Sans"/>
                <w:b w:val="0"/>
                <w:sz w:val="22"/>
                <w:szCs w:val="22"/>
              </w:rPr>
              <w:t xml:space="preserve"> Cantabria </w:t>
            </w:r>
          </w:p>
        </w:tc>
        <w:tc>
          <w:tcPr>
            <w:tcW w:w="1429" w:type="dxa"/>
            <w:vAlign w:val="center"/>
          </w:tcPr>
          <w:p w14:paraId="3DC7FDE4" w14:textId="77777777" w:rsidR="00FD2E1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2.085 €</w:t>
            </w:r>
          </w:p>
        </w:tc>
        <w:tc>
          <w:tcPr>
            <w:tcW w:w="1422" w:type="dxa"/>
            <w:vAlign w:val="center"/>
          </w:tcPr>
          <w:p w14:paraId="3C63EFB1" w14:textId="77777777" w:rsidR="00FD2E1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2.421 €</w:t>
            </w:r>
          </w:p>
        </w:tc>
        <w:tc>
          <w:tcPr>
            <w:tcW w:w="1276" w:type="dxa"/>
            <w:vAlign w:val="center"/>
          </w:tcPr>
          <w:p w14:paraId="60EF274D" w14:textId="77777777" w:rsidR="00FD2E1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16,1%</w:t>
            </w:r>
          </w:p>
        </w:tc>
        <w:tc>
          <w:tcPr>
            <w:tcW w:w="1415" w:type="dxa"/>
            <w:vAlign w:val="center"/>
          </w:tcPr>
          <w:p w14:paraId="51C3922F" w14:textId="77777777" w:rsidR="00FD2E1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19,5%</w:t>
            </w:r>
          </w:p>
        </w:tc>
        <w:tc>
          <w:tcPr>
            <w:tcW w:w="1386" w:type="dxa"/>
            <w:vAlign w:val="center"/>
          </w:tcPr>
          <w:p w14:paraId="56CBED6A" w14:textId="77777777" w:rsidR="00FD2E1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sep.-06</w:t>
            </w:r>
          </w:p>
        </w:tc>
      </w:tr>
      <w:tr w:rsidR="00FD2E14" w14:paraId="1745D1D6" w14:textId="77777777" w:rsidTr="00FD2E14">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399" w:type="dxa"/>
            <w:tcBorders>
              <w:left w:val="nil"/>
            </w:tcBorders>
            <w:vAlign w:val="center"/>
          </w:tcPr>
          <w:p w14:paraId="406B9ECA" w14:textId="77777777" w:rsidR="00FD2E14" w:rsidRDefault="00000000">
            <w:pPr>
              <w:rPr>
                <w:rFonts w:ascii="Open Sans" w:eastAsia="Open Sans" w:hAnsi="Open Sans" w:cs="Open Sans"/>
                <w:sz w:val="22"/>
                <w:szCs w:val="22"/>
              </w:rPr>
            </w:pPr>
            <w:r>
              <w:rPr>
                <w:rFonts w:ascii="Open Sans" w:eastAsia="Open Sans" w:hAnsi="Open Sans" w:cs="Open Sans"/>
                <w:b w:val="0"/>
                <w:sz w:val="22"/>
                <w:szCs w:val="22"/>
              </w:rPr>
              <w:t xml:space="preserve"> Cataluña </w:t>
            </w:r>
          </w:p>
        </w:tc>
        <w:tc>
          <w:tcPr>
            <w:tcW w:w="1429" w:type="dxa"/>
            <w:vAlign w:val="center"/>
          </w:tcPr>
          <w:p w14:paraId="7BB7721D" w14:textId="77777777" w:rsidR="00FD2E1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2.807 €</w:t>
            </w:r>
          </w:p>
        </w:tc>
        <w:tc>
          <w:tcPr>
            <w:tcW w:w="1422" w:type="dxa"/>
            <w:vAlign w:val="center"/>
          </w:tcPr>
          <w:p w14:paraId="47A1AE5B" w14:textId="77777777" w:rsidR="00FD2E1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3.158 €</w:t>
            </w:r>
          </w:p>
        </w:tc>
        <w:tc>
          <w:tcPr>
            <w:tcW w:w="1276" w:type="dxa"/>
            <w:vAlign w:val="center"/>
          </w:tcPr>
          <w:p w14:paraId="20AAC196" w14:textId="77777777" w:rsidR="00FD2E1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12,5%</w:t>
            </w:r>
          </w:p>
        </w:tc>
        <w:tc>
          <w:tcPr>
            <w:tcW w:w="1415" w:type="dxa"/>
            <w:vAlign w:val="center"/>
          </w:tcPr>
          <w:p w14:paraId="51D159E1" w14:textId="77777777" w:rsidR="00FD2E1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19,5%</w:t>
            </w:r>
          </w:p>
        </w:tc>
        <w:tc>
          <w:tcPr>
            <w:tcW w:w="1386" w:type="dxa"/>
            <w:vAlign w:val="center"/>
          </w:tcPr>
          <w:p w14:paraId="6771E407" w14:textId="77777777" w:rsidR="00FD2E1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ene.-06</w:t>
            </w:r>
          </w:p>
        </w:tc>
      </w:tr>
      <w:tr w:rsidR="00FD2E14" w14:paraId="010B496A" w14:textId="77777777" w:rsidTr="00FD2E14">
        <w:trPr>
          <w:trHeight w:val="408"/>
        </w:trPr>
        <w:tc>
          <w:tcPr>
            <w:cnfStyle w:val="001000000000" w:firstRow="0" w:lastRow="0" w:firstColumn="1" w:lastColumn="0" w:oddVBand="0" w:evenVBand="0" w:oddHBand="0" w:evenHBand="0" w:firstRowFirstColumn="0" w:firstRowLastColumn="0" w:lastRowFirstColumn="0" w:lastRowLastColumn="0"/>
            <w:tcW w:w="2399" w:type="dxa"/>
            <w:tcBorders>
              <w:left w:val="nil"/>
            </w:tcBorders>
            <w:vAlign w:val="center"/>
          </w:tcPr>
          <w:p w14:paraId="6C8FCACB" w14:textId="77777777" w:rsidR="00FD2E14" w:rsidRDefault="00000000">
            <w:pPr>
              <w:rPr>
                <w:rFonts w:ascii="Open Sans" w:eastAsia="Open Sans" w:hAnsi="Open Sans" w:cs="Open Sans"/>
                <w:sz w:val="22"/>
                <w:szCs w:val="22"/>
              </w:rPr>
            </w:pPr>
            <w:r>
              <w:rPr>
                <w:rFonts w:ascii="Open Sans" w:eastAsia="Open Sans" w:hAnsi="Open Sans" w:cs="Open Sans"/>
                <w:b w:val="0"/>
                <w:sz w:val="22"/>
                <w:szCs w:val="22"/>
              </w:rPr>
              <w:t xml:space="preserve"> Castilla-La Mancha </w:t>
            </w:r>
          </w:p>
        </w:tc>
        <w:tc>
          <w:tcPr>
            <w:tcW w:w="1429" w:type="dxa"/>
            <w:vAlign w:val="center"/>
          </w:tcPr>
          <w:p w14:paraId="6363B598" w14:textId="77777777" w:rsidR="00FD2E1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1.231 €</w:t>
            </w:r>
          </w:p>
        </w:tc>
        <w:tc>
          <w:tcPr>
            <w:tcW w:w="1422" w:type="dxa"/>
            <w:vAlign w:val="center"/>
          </w:tcPr>
          <w:p w14:paraId="033A7F22" w14:textId="77777777" w:rsidR="00FD2E1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1.278 €</w:t>
            </w:r>
          </w:p>
        </w:tc>
        <w:tc>
          <w:tcPr>
            <w:tcW w:w="1276" w:type="dxa"/>
            <w:vAlign w:val="center"/>
          </w:tcPr>
          <w:p w14:paraId="762BF8F1" w14:textId="77777777" w:rsidR="00FD2E1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3,8%</w:t>
            </w:r>
          </w:p>
        </w:tc>
        <w:tc>
          <w:tcPr>
            <w:tcW w:w="1415" w:type="dxa"/>
            <w:vAlign w:val="center"/>
          </w:tcPr>
          <w:p w14:paraId="0FFA1B3C" w14:textId="77777777" w:rsidR="00FD2E1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19,1%</w:t>
            </w:r>
          </w:p>
        </w:tc>
        <w:tc>
          <w:tcPr>
            <w:tcW w:w="1386" w:type="dxa"/>
            <w:vAlign w:val="center"/>
          </w:tcPr>
          <w:p w14:paraId="08F38393" w14:textId="77777777" w:rsidR="00FD2E1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may.-07</w:t>
            </w:r>
          </w:p>
        </w:tc>
      </w:tr>
      <w:tr w:rsidR="00FD2E14" w14:paraId="00CE4ACC" w14:textId="77777777" w:rsidTr="00FD2E14">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399" w:type="dxa"/>
            <w:tcBorders>
              <w:left w:val="nil"/>
            </w:tcBorders>
            <w:shd w:val="clear" w:color="auto" w:fill="FFC000"/>
            <w:vAlign w:val="center"/>
          </w:tcPr>
          <w:p w14:paraId="290C2507" w14:textId="77777777" w:rsidR="00FD2E14" w:rsidRDefault="00000000">
            <w:pPr>
              <w:rPr>
                <w:rFonts w:ascii="Open Sans" w:eastAsia="Open Sans" w:hAnsi="Open Sans" w:cs="Open Sans"/>
                <w:sz w:val="22"/>
                <w:szCs w:val="22"/>
              </w:rPr>
            </w:pPr>
            <w:r>
              <w:rPr>
                <w:rFonts w:ascii="Open Sans" w:eastAsia="Open Sans" w:hAnsi="Open Sans" w:cs="Open Sans"/>
                <w:b w:val="0"/>
                <w:color w:val="000000"/>
                <w:sz w:val="22"/>
                <w:szCs w:val="22"/>
              </w:rPr>
              <w:t xml:space="preserve"> España </w:t>
            </w:r>
          </w:p>
        </w:tc>
        <w:tc>
          <w:tcPr>
            <w:tcW w:w="1429" w:type="dxa"/>
            <w:shd w:val="clear" w:color="auto" w:fill="FFC000"/>
            <w:vAlign w:val="center"/>
          </w:tcPr>
          <w:p w14:paraId="51F535E4" w14:textId="77777777" w:rsidR="00FD2E1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2.363 €</w:t>
            </w:r>
          </w:p>
        </w:tc>
        <w:tc>
          <w:tcPr>
            <w:tcW w:w="1422" w:type="dxa"/>
            <w:shd w:val="clear" w:color="auto" w:fill="FFC000"/>
            <w:vAlign w:val="center"/>
          </w:tcPr>
          <w:p w14:paraId="47214195" w14:textId="77777777" w:rsidR="00FD2E1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2.789 €</w:t>
            </w:r>
          </w:p>
        </w:tc>
        <w:tc>
          <w:tcPr>
            <w:tcW w:w="1276" w:type="dxa"/>
            <w:shd w:val="clear" w:color="auto" w:fill="FFC000"/>
            <w:vAlign w:val="center"/>
          </w:tcPr>
          <w:p w14:paraId="61DDD9E0" w14:textId="77777777" w:rsidR="00FD2E1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18,0%</w:t>
            </w:r>
          </w:p>
        </w:tc>
        <w:tc>
          <w:tcPr>
            <w:tcW w:w="1415" w:type="dxa"/>
            <w:shd w:val="clear" w:color="auto" w:fill="FFC000"/>
            <w:vAlign w:val="center"/>
          </w:tcPr>
          <w:p w14:paraId="16FC6408" w14:textId="77777777" w:rsidR="00FD2E1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18,0%</w:t>
            </w:r>
          </w:p>
        </w:tc>
        <w:tc>
          <w:tcPr>
            <w:tcW w:w="1386" w:type="dxa"/>
            <w:shd w:val="clear" w:color="auto" w:fill="FFC000"/>
            <w:vAlign w:val="center"/>
          </w:tcPr>
          <w:p w14:paraId="6B9651D5" w14:textId="77777777" w:rsidR="00FD2E1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oct.-25</w:t>
            </w:r>
          </w:p>
        </w:tc>
      </w:tr>
      <w:tr w:rsidR="00FD2E14" w14:paraId="1451581A" w14:textId="77777777" w:rsidTr="00FD2E14">
        <w:trPr>
          <w:trHeight w:val="408"/>
        </w:trPr>
        <w:tc>
          <w:tcPr>
            <w:cnfStyle w:val="001000000000" w:firstRow="0" w:lastRow="0" w:firstColumn="1" w:lastColumn="0" w:oddVBand="0" w:evenVBand="0" w:oddHBand="0" w:evenHBand="0" w:firstRowFirstColumn="0" w:firstRowLastColumn="0" w:lastRowFirstColumn="0" w:lastRowLastColumn="0"/>
            <w:tcW w:w="2399" w:type="dxa"/>
            <w:tcBorders>
              <w:left w:val="nil"/>
            </w:tcBorders>
            <w:vAlign w:val="center"/>
          </w:tcPr>
          <w:p w14:paraId="051835AD" w14:textId="77777777" w:rsidR="00FD2E14" w:rsidRDefault="00000000">
            <w:pPr>
              <w:rPr>
                <w:rFonts w:ascii="Open Sans" w:eastAsia="Open Sans" w:hAnsi="Open Sans" w:cs="Open Sans"/>
                <w:sz w:val="22"/>
                <w:szCs w:val="22"/>
              </w:rPr>
            </w:pPr>
            <w:r>
              <w:rPr>
                <w:rFonts w:ascii="Open Sans" w:eastAsia="Open Sans" w:hAnsi="Open Sans" w:cs="Open Sans"/>
                <w:b w:val="0"/>
                <w:sz w:val="22"/>
                <w:szCs w:val="22"/>
              </w:rPr>
              <w:t xml:space="preserve"> Castilla y León </w:t>
            </w:r>
          </w:p>
        </w:tc>
        <w:tc>
          <w:tcPr>
            <w:tcW w:w="1429" w:type="dxa"/>
            <w:vAlign w:val="center"/>
          </w:tcPr>
          <w:p w14:paraId="0CCFDEDB" w14:textId="77777777" w:rsidR="00FD2E1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1.534 €</w:t>
            </w:r>
          </w:p>
        </w:tc>
        <w:tc>
          <w:tcPr>
            <w:tcW w:w="1422" w:type="dxa"/>
            <w:vAlign w:val="center"/>
          </w:tcPr>
          <w:p w14:paraId="1DA52E97" w14:textId="77777777" w:rsidR="00FD2E1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1.644 €</w:t>
            </w:r>
          </w:p>
        </w:tc>
        <w:tc>
          <w:tcPr>
            <w:tcW w:w="1276" w:type="dxa"/>
            <w:vAlign w:val="center"/>
          </w:tcPr>
          <w:p w14:paraId="64F925CF" w14:textId="77777777" w:rsidR="00FD2E1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7,2%</w:t>
            </w:r>
          </w:p>
        </w:tc>
        <w:tc>
          <w:tcPr>
            <w:tcW w:w="1415" w:type="dxa"/>
            <w:vAlign w:val="center"/>
          </w:tcPr>
          <w:p w14:paraId="452C6924" w14:textId="77777777" w:rsidR="00FD2E1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15,9%</w:t>
            </w:r>
          </w:p>
        </w:tc>
        <w:tc>
          <w:tcPr>
            <w:tcW w:w="1386" w:type="dxa"/>
            <w:vAlign w:val="center"/>
          </w:tcPr>
          <w:p w14:paraId="53CA55FB" w14:textId="77777777" w:rsidR="00FD2E1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ene.-06</w:t>
            </w:r>
          </w:p>
        </w:tc>
      </w:tr>
      <w:tr w:rsidR="00FD2E14" w14:paraId="62D5ECD2" w14:textId="77777777" w:rsidTr="00FD2E14">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399" w:type="dxa"/>
            <w:tcBorders>
              <w:left w:val="nil"/>
            </w:tcBorders>
            <w:vAlign w:val="center"/>
          </w:tcPr>
          <w:p w14:paraId="0FAD8FBA" w14:textId="77777777" w:rsidR="00FD2E14" w:rsidRDefault="00000000">
            <w:pPr>
              <w:rPr>
                <w:rFonts w:ascii="Open Sans" w:eastAsia="Open Sans" w:hAnsi="Open Sans" w:cs="Open Sans"/>
                <w:sz w:val="22"/>
                <w:szCs w:val="22"/>
              </w:rPr>
            </w:pPr>
            <w:r>
              <w:rPr>
                <w:rFonts w:ascii="Open Sans" w:eastAsia="Open Sans" w:hAnsi="Open Sans" w:cs="Open Sans"/>
                <w:b w:val="0"/>
                <w:sz w:val="22"/>
                <w:szCs w:val="22"/>
              </w:rPr>
              <w:t xml:space="preserve"> Aragón </w:t>
            </w:r>
          </w:p>
        </w:tc>
        <w:tc>
          <w:tcPr>
            <w:tcW w:w="1429" w:type="dxa"/>
            <w:vAlign w:val="center"/>
          </w:tcPr>
          <w:p w14:paraId="106F817B" w14:textId="77777777" w:rsidR="00FD2E1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1.770 €</w:t>
            </w:r>
          </w:p>
        </w:tc>
        <w:tc>
          <w:tcPr>
            <w:tcW w:w="1422" w:type="dxa"/>
            <w:vAlign w:val="center"/>
          </w:tcPr>
          <w:p w14:paraId="20C6F3EC" w14:textId="77777777" w:rsidR="00FD2E1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1.842 €</w:t>
            </w:r>
          </w:p>
        </w:tc>
        <w:tc>
          <w:tcPr>
            <w:tcW w:w="1276" w:type="dxa"/>
            <w:vAlign w:val="center"/>
          </w:tcPr>
          <w:p w14:paraId="0B886CF8" w14:textId="77777777" w:rsidR="00FD2E1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4,1%</w:t>
            </w:r>
          </w:p>
        </w:tc>
        <w:tc>
          <w:tcPr>
            <w:tcW w:w="1415" w:type="dxa"/>
            <w:vAlign w:val="center"/>
          </w:tcPr>
          <w:p w14:paraId="0BC91D78" w14:textId="77777777" w:rsidR="00FD2E1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14,6%</w:t>
            </w:r>
          </w:p>
        </w:tc>
        <w:tc>
          <w:tcPr>
            <w:tcW w:w="1386" w:type="dxa"/>
            <w:vAlign w:val="center"/>
          </w:tcPr>
          <w:p w14:paraId="3D7C40FD" w14:textId="77777777" w:rsidR="00FD2E1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abr.-06</w:t>
            </w:r>
          </w:p>
        </w:tc>
      </w:tr>
      <w:tr w:rsidR="00FD2E14" w14:paraId="67EA09AF" w14:textId="77777777" w:rsidTr="00FD2E14">
        <w:trPr>
          <w:trHeight w:val="375"/>
        </w:trPr>
        <w:tc>
          <w:tcPr>
            <w:cnfStyle w:val="001000000000" w:firstRow="0" w:lastRow="0" w:firstColumn="1" w:lastColumn="0" w:oddVBand="0" w:evenVBand="0" w:oddHBand="0" w:evenHBand="0" w:firstRowFirstColumn="0" w:firstRowLastColumn="0" w:lastRowFirstColumn="0" w:lastRowLastColumn="0"/>
            <w:tcW w:w="2399" w:type="dxa"/>
            <w:tcBorders>
              <w:left w:val="nil"/>
              <w:bottom w:val="nil"/>
            </w:tcBorders>
            <w:vAlign w:val="center"/>
          </w:tcPr>
          <w:p w14:paraId="43EB15FF" w14:textId="77777777" w:rsidR="00FD2E14" w:rsidRDefault="00000000">
            <w:pPr>
              <w:rPr>
                <w:rFonts w:ascii="Open Sans" w:eastAsia="Open Sans" w:hAnsi="Open Sans" w:cs="Open Sans"/>
                <w:sz w:val="22"/>
                <w:szCs w:val="22"/>
              </w:rPr>
            </w:pPr>
            <w:r>
              <w:rPr>
                <w:rFonts w:ascii="Open Sans" w:eastAsia="Open Sans" w:hAnsi="Open Sans" w:cs="Open Sans"/>
                <w:b w:val="0"/>
                <w:sz w:val="22"/>
                <w:szCs w:val="22"/>
              </w:rPr>
              <w:t xml:space="preserve"> País Vasco </w:t>
            </w:r>
          </w:p>
        </w:tc>
        <w:tc>
          <w:tcPr>
            <w:tcW w:w="1429" w:type="dxa"/>
            <w:vAlign w:val="center"/>
          </w:tcPr>
          <w:p w14:paraId="2CB7AC15" w14:textId="77777777" w:rsidR="00FD2E1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3.220 €</w:t>
            </w:r>
          </w:p>
        </w:tc>
        <w:tc>
          <w:tcPr>
            <w:tcW w:w="1422" w:type="dxa"/>
            <w:vAlign w:val="center"/>
          </w:tcPr>
          <w:p w14:paraId="1D51704E" w14:textId="77777777" w:rsidR="00FD2E1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3.626 €</w:t>
            </w:r>
          </w:p>
        </w:tc>
        <w:tc>
          <w:tcPr>
            <w:tcW w:w="1276" w:type="dxa"/>
            <w:vAlign w:val="center"/>
          </w:tcPr>
          <w:p w14:paraId="584E2F89" w14:textId="77777777" w:rsidR="00FD2E1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12,6%</w:t>
            </w:r>
          </w:p>
        </w:tc>
        <w:tc>
          <w:tcPr>
            <w:tcW w:w="1415" w:type="dxa"/>
            <w:vAlign w:val="center"/>
          </w:tcPr>
          <w:p w14:paraId="4A827462" w14:textId="77777777" w:rsidR="00FD2E1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12,6%</w:t>
            </w:r>
          </w:p>
        </w:tc>
        <w:tc>
          <w:tcPr>
            <w:tcW w:w="1386" w:type="dxa"/>
            <w:vAlign w:val="center"/>
          </w:tcPr>
          <w:p w14:paraId="09B7B6BC" w14:textId="77777777" w:rsidR="00FD2E1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oct.-25</w:t>
            </w:r>
          </w:p>
        </w:tc>
      </w:tr>
    </w:tbl>
    <w:p w14:paraId="5F5DBFF3" w14:textId="77777777" w:rsidR="00FD2E14"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color w:val="303AB2"/>
          <w:sz w:val="28"/>
          <w:szCs w:val="28"/>
        </w:rPr>
        <w:t xml:space="preserve">Por comunidades autónomas </w:t>
      </w:r>
    </w:p>
    <w:p w14:paraId="2A99B0B5" w14:textId="77777777" w:rsidR="00FD2E14"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A lo largo de 2025, las cinco comunidades autónomas que han alcanzado máximos incrementos en el precio de la vivienda de segunda mano son: País Vasco, Andalucía, Región de Murcia, Comunitat Valenciana y Baleares.</w:t>
      </w:r>
    </w:p>
    <w:p w14:paraId="651CEB04" w14:textId="77777777" w:rsidR="00FD2E14"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b/>
          <w:color w:val="000000"/>
        </w:rPr>
        <w:t>País Vasco</w:t>
      </w:r>
      <w:r>
        <w:rPr>
          <w:rFonts w:ascii="Open Sans" w:eastAsia="Open Sans" w:hAnsi="Open Sans" w:cs="Open Sans"/>
          <w:color w:val="000000"/>
        </w:rPr>
        <w:t xml:space="preserve"> es la única comunidad que junto con España ha alcanzado su máximo valor en octubre de 2025. Sin embargo, no ha sido su único incremento este año, en mayo alcanzó su primer máximo interanual con un 9,8%, dato superado después de 19 años (9,7% de marzo de 2006). De la misma manera, le siguieron los máximos incrementos de junio (10,5%), agosto (10,8%), septiembre (11%) y octubre (12,6%) de 2025.  </w:t>
      </w:r>
    </w:p>
    <w:p w14:paraId="2170DB70" w14:textId="77777777" w:rsidR="00FD2E14"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b/>
          <w:color w:val="000000"/>
        </w:rPr>
        <w:t>Andalucía</w:t>
      </w:r>
      <w:r>
        <w:rPr>
          <w:rFonts w:ascii="Open Sans" w:eastAsia="Open Sans" w:hAnsi="Open Sans" w:cs="Open Sans"/>
          <w:color w:val="000000"/>
        </w:rPr>
        <w:t xml:space="preserve"> ha alcanzado su máximo valor en cinco ocasiones en 2025. El primer máximo incremento lo alcanzó en abril (15,4%), dato superado después de seis meses (15,2% de octubre de 2024). De la misma manera, le siguieron los máximos incrementos de mayo (18,5%), junio (19,5%), julio (21,6%) y agosto (23,1%) de 2025.  </w:t>
      </w:r>
    </w:p>
    <w:p w14:paraId="019F0925" w14:textId="77777777" w:rsidR="00FD2E14"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b/>
          <w:color w:val="000000"/>
        </w:rPr>
        <w:t>Región de Murcia</w:t>
      </w:r>
      <w:r>
        <w:rPr>
          <w:rFonts w:ascii="Open Sans" w:eastAsia="Open Sans" w:hAnsi="Open Sans" w:cs="Open Sans"/>
          <w:color w:val="000000"/>
        </w:rPr>
        <w:t xml:space="preserve"> ha alcanzado su máximo valor en cuatro ocasiones en 2025. El primer máximo incremento lo alcanzó en marzo (17,5%), dato superado después de cinco meses (15,8% de octubre de 2024). De la misma manera, le siguieron los máximos incrementos de abril (19,1%), mayo (24,1%) y julio (24,9%) de 2025.  </w:t>
      </w:r>
    </w:p>
    <w:p w14:paraId="4D2E7F6C" w14:textId="77777777" w:rsidR="00FD2E14"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b/>
          <w:color w:val="000000"/>
        </w:rPr>
        <w:lastRenderedPageBreak/>
        <w:t xml:space="preserve">Comunitat Valenciana </w:t>
      </w:r>
      <w:r>
        <w:rPr>
          <w:rFonts w:ascii="Open Sans" w:eastAsia="Open Sans" w:hAnsi="Open Sans" w:cs="Open Sans"/>
          <w:color w:val="000000"/>
        </w:rPr>
        <w:t xml:space="preserve">ha alcanzado su máximo valor en tres ocasiones en 2025. El primer máximo incremento lo alcanzó en febrero (22,9%), dato superado después de cuatro meses (20,5% de octubre de 2024). De la misma manera, le siguieron los máximos incrementos de abril (19,1%), mayo (24,1%) y julio (24,9%) de 2025.  </w:t>
      </w:r>
    </w:p>
    <w:p w14:paraId="0BDB27CF" w14:textId="77777777" w:rsidR="00FD2E14"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b/>
          <w:color w:val="000000"/>
        </w:rPr>
        <w:t>Baleares</w:t>
      </w:r>
      <w:r>
        <w:rPr>
          <w:rFonts w:ascii="Open Sans" w:eastAsia="Open Sans" w:hAnsi="Open Sans" w:cs="Open Sans"/>
          <w:color w:val="000000"/>
        </w:rPr>
        <w:t xml:space="preserve"> ha alcanzado su máximo valor en una ocasión en 2025. El máximo incremento lo alcanzó en febrero (25,8%), dato superado después de 31 meses (25,6% de enero de 2023). </w:t>
      </w:r>
    </w:p>
    <w:p w14:paraId="7192D968" w14:textId="27A23393" w:rsidR="00FD2E14"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rPr>
      </w:pPr>
      <w:r>
        <w:rPr>
          <w:rFonts w:ascii="Open Sans" w:eastAsia="Open Sans" w:hAnsi="Open Sans" w:cs="Open Sans"/>
          <w:color w:val="000000"/>
        </w:rPr>
        <w:t>El resto de las comunidades que no han alcanzado máximos este 2025, cuentan con la siguiente variación interanual en octubre: Madrid con 18,9% (</w:t>
      </w:r>
      <w:r w:rsidR="00BA5A73">
        <w:rPr>
          <w:rFonts w:ascii="Open Sans" w:eastAsia="Open Sans" w:hAnsi="Open Sans" w:cs="Open Sans"/>
          <w:color w:val="000000"/>
        </w:rPr>
        <w:t xml:space="preserve">y alcanzó máximos </w:t>
      </w:r>
      <w:r>
        <w:rPr>
          <w:rFonts w:ascii="Open Sans" w:eastAsia="Open Sans" w:hAnsi="Open Sans" w:cs="Open Sans"/>
          <w:color w:val="000000"/>
        </w:rPr>
        <w:t>21,7% en julio de 2024), Canarias con 18,0% (con un máximo de 25,4% en octubre de 2023), Navarra con 1,9% (con un máximo de 21,5% en junio 2023), Castilla-La Mancha con 3,8% (con un máximo de 19,1% en may.-07), Extremadura con 2,3% (con un máximo de 39,0% en marzo 2007), La Rioja con 6,0% (con un máximo de 30,7% en marzo 2007), Asturias con 21,0% (con un máximo de 23,0% en febrero 2007), Cantabria con 16,1% (con un máximo de 19,5% en septiembre 2006), Aragón con 4,1% (con un máximo de 14,6% en abril 2026), Galicia con 11,6% (con un máximo de 27,2% en febrero 2006), Cataluña con 12,5% (con un máximo de 19,5% en enero 2006) y Castilla y León con 7,2% (con un máximo de 15,9% en enero 2006).</w:t>
      </w:r>
    </w:p>
    <w:p w14:paraId="4B838ECC" w14:textId="77777777" w:rsidR="00BA5A73" w:rsidRDefault="00BA5A73" w:rsidP="00BA5A73">
      <w:pPr>
        <w:spacing w:line="276" w:lineRule="auto"/>
        <w:jc w:val="right"/>
        <w:rPr>
          <w:rFonts w:ascii="Open Sans Light" w:eastAsia="Open Sans Light" w:hAnsi="Open Sans Light" w:cs="Open Sans Light"/>
          <w:b/>
          <w:color w:val="303AB2"/>
        </w:rPr>
      </w:pPr>
    </w:p>
    <w:p w14:paraId="1366D4A6" w14:textId="6585726C" w:rsidR="00BA5A73" w:rsidRDefault="00BA5A73" w:rsidP="00BA5A73">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6AF8AF02" w14:textId="77777777" w:rsidR="00BA5A73" w:rsidRDefault="00BA5A73" w:rsidP="00BA5A73">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sz w:val="22"/>
          <w:szCs w:val="22"/>
        </w:rPr>
        <w:t>Fotocasa Group</w:t>
      </w:r>
      <w:r>
        <w:rPr>
          <w:rFonts w:ascii="Open Sans" w:eastAsia="Open Sans" w:hAnsi="Open Sans" w:cs="Open Sans"/>
          <w:sz w:val="22"/>
          <w:szCs w:val="22"/>
        </w:rPr>
        <w:t xml:space="preserve">. </w:t>
      </w:r>
    </w:p>
    <w:p w14:paraId="615EBD3C" w14:textId="77777777" w:rsidR="00BA5A73" w:rsidRDefault="00BA5A73" w:rsidP="00BA5A73">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2">
        <w:r>
          <w:rPr>
            <w:rFonts w:ascii="Open Sans" w:eastAsia="Open Sans" w:hAnsi="Open Sans" w:cs="Open Sans"/>
            <w:b/>
            <w:color w:val="0000FF"/>
            <w:sz w:val="22"/>
            <w:szCs w:val="22"/>
            <w:u w:val="single"/>
          </w:rPr>
          <w:t>Índice inmobiliario Fotocasa</w:t>
        </w:r>
      </w:hyperlink>
      <w:r>
        <w:rPr>
          <w:rFonts w:ascii="Open Sans" w:eastAsia="Open Sans" w:hAnsi="Open Sans" w:cs="Open Sans"/>
          <w:sz w:val="22"/>
          <w:szCs w:val="22"/>
        </w:rPr>
        <w:t>, un informe de referencia que analiza la evolución del precio medio de la vivienda en España, tanto en venta como en alquiler.</w:t>
      </w:r>
    </w:p>
    <w:p w14:paraId="0A8E9B04" w14:textId="77777777" w:rsidR="00BA5A73" w:rsidRDefault="00BA5A73" w:rsidP="00BA5A73">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Desde 2017, desarrolla además estudios sociológicos bajo el sello </w:t>
      </w:r>
      <w:hyperlink r:id="rId13">
        <w:r>
          <w:rPr>
            <w:rFonts w:ascii="Open Sans" w:eastAsia="Open Sans" w:hAnsi="Open Sans" w:cs="Open Sans"/>
            <w:b/>
            <w:color w:val="0000FF"/>
            <w:sz w:val="22"/>
            <w:szCs w:val="22"/>
            <w:u w:val="single"/>
          </w:rPr>
          <w:t>Fotocasa Research</w:t>
        </w:r>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1BDD915E" w14:textId="77777777" w:rsidR="00BA5A73" w:rsidRDefault="00BA5A73" w:rsidP="00BA5A73">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4">
        <w:r>
          <w:rPr>
            <w:rFonts w:ascii="Open Sans" w:eastAsia="Open Sans" w:hAnsi="Open Sans" w:cs="Open Sans"/>
            <w:b/>
            <w:color w:val="0000FF"/>
            <w:sz w:val="22"/>
            <w:szCs w:val="22"/>
            <w:u w:val="single"/>
          </w:rPr>
          <w:t>Sala de Prensa</w:t>
        </w:r>
      </w:hyperlink>
    </w:p>
    <w:p w14:paraId="5F750AA8" w14:textId="77777777" w:rsidR="00BA5A73" w:rsidRDefault="00BA5A73" w:rsidP="00BA5A73">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 Group</w:t>
      </w:r>
    </w:p>
    <w:p w14:paraId="2826BEFA" w14:textId="77777777" w:rsidR="00BA5A73" w:rsidRDefault="00BA5A73" w:rsidP="00BA5A73">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71793E88" w14:textId="77777777" w:rsidR="00BA5A73" w:rsidRDefault="00BA5A73" w:rsidP="00BA5A73">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5">
        <w:r>
          <w:rPr>
            <w:rFonts w:ascii="Open Sans" w:eastAsia="Open Sans" w:hAnsi="Open Sans" w:cs="Open Sans"/>
            <w:b/>
            <w:color w:val="0000FF"/>
            <w:sz w:val="22"/>
            <w:szCs w:val="22"/>
            <w:u w:val="single"/>
          </w:rPr>
          <w:t>Fotocasa</w:t>
        </w:r>
      </w:hyperlink>
      <w:r>
        <w:rPr>
          <w:rFonts w:ascii="Open Sans" w:eastAsia="Open Sans" w:hAnsi="Open Sans" w:cs="Open Sans"/>
          <w:sz w:val="22"/>
          <w:szCs w:val="22"/>
        </w:rPr>
        <w:t xml:space="preserve">, </w:t>
      </w:r>
      <w:hyperlink r:id="rId16">
        <w:r>
          <w:rPr>
            <w:rFonts w:ascii="Open Sans" w:eastAsia="Open Sans" w:hAnsi="Open Sans" w:cs="Open Sans"/>
            <w:b/>
            <w:color w:val="0000FF"/>
            <w:sz w:val="22"/>
            <w:szCs w:val="22"/>
            <w:u w:val="single"/>
          </w:rPr>
          <w:t>habitaclia</w:t>
        </w:r>
      </w:hyperlink>
      <w:r>
        <w:rPr>
          <w:rFonts w:ascii="Open Sans" w:eastAsia="Open Sans" w:hAnsi="Open Sans" w:cs="Open Sans"/>
          <w:sz w:val="22"/>
          <w:szCs w:val="22"/>
        </w:rPr>
        <w:t xml:space="preserve">, </w:t>
      </w:r>
      <w:hyperlink r:id="rId17">
        <w:r>
          <w:rPr>
            <w:rFonts w:ascii="Open Sans" w:eastAsia="Open Sans" w:hAnsi="Open Sans" w:cs="Open Sans"/>
            <w:b/>
            <w:color w:val="0000FF"/>
            <w:sz w:val="22"/>
            <w:szCs w:val="22"/>
            <w:u w:val="single"/>
          </w:rPr>
          <w:t>Fotocasa Pro</w:t>
        </w:r>
      </w:hyperlink>
      <w:r>
        <w:rPr>
          <w:rFonts w:ascii="Open Sans" w:eastAsia="Open Sans" w:hAnsi="Open Sans" w:cs="Open Sans"/>
          <w:sz w:val="22"/>
          <w:szCs w:val="22"/>
        </w:rPr>
        <w:t xml:space="preserve">, </w:t>
      </w:r>
      <w:hyperlink r:id="rId18">
        <w:r>
          <w:rPr>
            <w:rFonts w:ascii="Open Sans" w:eastAsia="Open Sans" w:hAnsi="Open Sans" w:cs="Open Sans"/>
            <w:b/>
            <w:color w:val="0000FF"/>
            <w:sz w:val="22"/>
            <w:szCs w:val="22"/>
            <w:u w:val="single"/>
          </w:rPr>
          <w:t>Datavenues</w:t>
        </w:r>
      </w:hyperlink>
      <w:r>
        <w:rPr>
          <w:rFonts w:ascii="Open Sans" w:eastAsia="Open Sans" w:hAnsi="Open Sans" w:cs="Open Sans"/>
          <w:sz w:val="22"/>
          <w:szCs w:val="22"/>
        </w:rPr>
        <w:t xml:space="preserve">, </w:t>
      </w:r>
      <w:hyperlink r:id="rId19">
        <w:r>
          <w:rPr>
            <w:rFonts w:ascii="Open Sans" w:eastAsia="Open Sans" w:hAnsi="Open Sans" w:cs="Open Sans"/>
            <w:b/>
            <w:color w:val="0000FF"/>
            <w:sz w:val="22"/>
            <w:szCs w:val="22"/>
            <w:u w:val="single"/>
          </w:rPr>
          <w:t>Witei</w:t>
        </w:r>
      </w:hyperlink>
      <w:r>
        <w:rPr>
          <w:rFonts w:ascii="Open Sans" w:eastAsia="Open Sans" w:hAnsi="Open Sans" w:cs="Open Sans"/>
          <w:sz w:val="22"/>
          <w:szCs w:val="22"/>
        </w:rPr>
        <w:t xml:space="preserve"> e </w:t>
      </w:r>
      <w:hyperlink r:id="rId20">
        <w:r>
          <w:rPr>
            <w:rFonts w:ascii="Open Sans" w:eastAsia="Open Sans" w:hAnsi="Open Sans" w:cs="Open Sans"/>
            <w:b/>
            <w:color w:val="0000FF"/>
            <w:sz w:val="22"/>
            <w:szCs w:val="22"/>
          </w:rPr>
          <w:t>Inmoweb</w:t>
        </w:r>
      </w:hyperlink>
      <w:r>
        <w:rPr>
          <w:rFonts w:ascii="Open Sans" w:eastAsia="Open Sans" w:hAnsi="Open Sans" w:cs="Open Sans"/>
          <w:sz w:val="22"/>
          <w:szCs w:val="22"/>
        </w:rPr>
        <w:t xml:space="preserve">— que ofrecen soluciones integrales tanto </w:t>
      </w:r>
      <w:r>
        <w:rPr>
          <w:rFonts w:ascii="Open Sans" w:eastAsia="Open Sans" w:hAnsi="Open Sans" w:cs="Open Sans"/>
          <w:b/>
          <w:sz w:val="22"/>
          <w:szCs w:val="22"/>
        </w:rPr>
        <w:t>para particulares como para profesionales del sector</w:t>
      </w:r>
      <w:r>
        <w:rPr>
          <w:rFonts w:ascii="Open Sans" w:eastAsia="Open Sans" w:hAnsi="Open Sans" w:cs="Open Sans"/>
          <w:sz w:val="22"/>
          <w:szCs w:val="22"/>
        </w:rPr>
        <w:t>.</w:t>
      </w:r>
    </w:p>
    <w:p w14:paraId="5360CCB5" w14:textId="77777777" w:rsidR="00BA5A73" w:rsidRDefault="00BA5A73" w:rsidP="00BA5A73">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sz w:val="22"/>
          <w:szCs w:val="22"/>
        </w:rPr>
        <w:t>referente del mercado inmobiliario</w:t>
      </w:r>
      <w:r>
        <w:rPr>
          <w:rFonts w:ascii="Open Sans" w:eastAsia="Open Sans" w:hAnsi="Open Sans" w:cs="Open Sans"/>
          <w:sz w:val="22"/>
          <w:szCs w:val="22"/>
        </w:rPr>
        <w:t>.</w:t>
      </w:r>
    </w:p>
    <w:p w14:paraId="439A2BC6" w14:textId="77777777" w:rsidR="00BA5A73" w:rsidRDefault="00BA5A73" w:rsidP="00BA5A73">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En Fotocasa Group, </w:t>
      </w:r>
      <w:r>
        <w:rPr>
          <w:rFonts w:ascii="Open Sans" w:eastAsia="Open Sans" w:hAnsi="Open Sans" w:cs="Open Sans"/>
          <w:b/>
          <w:sz w:val="22"/>
          <w:szCs w:val="22"/>
        </w:rPr>
        <w:t>unimos personas y propiedades</w:t>
      </w:r>
      <w:r>
        <w:rPr>
          <w:rFonts w:ascii="Open Sans" w:eastAsia="Open Sans" w:hAnsi="Open Sans" w:cs="Open Sans"/>
          <w:sz w:val="22"/>
          <w:szCs w:val="22"/>
        </w:rPr>
        <w:t> a través de una plataforma inteligente, diseñada para hacer que </w:t>
      </w:r>
      <w:r>
        <w:rPr>
          <w:rFonts w:ascii="Open Sans" w:eastAsia="Open Sans" w:hAnsi="Open Sans" w:cs="Open Sans"/>
          <w:b/>
          <w:sz w:val="22"/>
          <w:szCs w:val="22"/>
        </w:rPr>
        <w:t>buscar, comprar o alquilar vivienda</w:t>
      </w:r>
      <w:r>
        <w:rPr>
          <w:rFonts w:ascii="Open Sans" w:eastAsia="Open Sans" w:hAnsi="Open Sans" w:cs="Open Sans"/>
          <w:sz w:val="22"/>
          <w:szCs w:val="22"/>
        </w:rPr>
        <w:t> sea una experiencia más fácil, transparente y eficiente.</w:t>
      </w:r>
    </w:p>
    <w:p w14:paraId="0C8E139D" w14:textId="77777777" w:rsidR="00BA5A73" w:rsidRDefault="00BA5A73" w:rsidP="00BA5A73">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Nuestra visión es clara</w:t>
      </w:r>
      <w:r>
        <w:rPr>
          <w:rFonts w:ascii="Open Sans" w:eastAsia="Open Sans" w:hAnsi="Open Sans" w:cs="Open Sans"/>
          <w:b/>
          <w:sz w:val="22"/>
          <w:szCs w:val="22"/>
        </w:rPr>
        <w:t>: ser el lugar donde tu nuevo hogar te encuentra</w:t>
      </w:r>
      <w:r>
        <w:rPr>
          <w:rFonts w:ascii="Open Sans" w:eastAsia="Open Sans" w:hAnsi="Open Sans" w:cs="Open Sans"/>
          <w:sz w:val="22"/>
          <w:szCs w:val="22"/>
        </w:rPr>
        <w:t>.</w:t>
      </w:r>
    </w:p>
    <w:p w14:paraId="419328DB" w14:textId="77777777" w:rsidR="00BA5A73" w:rsidRDefault="00BA5A73" w:rsidP="00BA5A73">
      <w:pPr>
        <w:shd w:val="clear" w:color="auto" w:fill="FFFFFF"/>
        <w:spacing w:before="280" w:after="280" w:line="276" w:lineRule="auto"/>
        <w:jc w:val="both"/>
        <w:rPr>
          <w:rFonts w:ascii="Open Sans" w:eastAsia="Open Sans" w:hAnsi="Open Sans" w:cs="Open Sans"/>
          <w:sz w:val="22"/>
          <w:szCs w:val="22"/>
        </w:rPr>
      </w:pPr>
    </w:p>
    <w:p w14:paraId="45932396" w14:textId="77777777" w:rsidR="00BA5A73" w:rsidRDefault="00BA5A73" w:rsidP="00BA5A73">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 Group</w:t>
      </w:r>
    </w:p>
    <w:p w14:paraId="38C91D04" w14:textId="77777777" w:rsidR="00BA5A73" w:rsidRDefault="00BA5A73" w:rsidP="00BA5A73">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166AEF08" w14:textId="77777777" w:rsidR="00BA5A73" w:rsidRDefault="00BA5A73" w:rsidP="00BA5A73">
      <w:pPr>
        <w:shd w:val="clear" w:color="auto" w:fill="FFFFFF"/>
        <w:spacing w:line="276" w:lineRule="auto"/>
        <w:rPr>
          <w:rFonts w:ascii="Open Sans" w:eastAsia="Open Sans" w:hAnsi="Open Sans" w:cs="Open Sans"/>
          <w:color w:val="0000FF"/>
          <w:sz w:val="22"/>
          <w:szCs w:val="22"/>
          <w:u w:val="single"/>
        </w:rPr>
      </w:pPr>
      <w:hyperlink r:id="rId21">
        <w:r>
          <w:rPr>
            <w:rFonts w:ascii="Open Sans" w:eastAsia="Open Sans" w:hAnsi="Open Sans" w:cs="Open Sans"/>
            <w:color w:val="0000FF"/>
            <w:sz w:val="22"/>
            <w:szCs w:val="22"/>
            <w:u w:val="single"/>
          </w:rPr>
          <w:t>comunicacion@fotocasa.es</w:t>
        </w:r>
      </w:hyperlink>
    </w:p>
    <w:p w14:paraId="1F60D1D0" w14:textId="77777777" w:rsidR="00BA5A73" w:rsidRDefault="00BA5A73" w:rsidP="00BA5A73">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2F5CEEDF" w14:textId="77777777" w:rsidR="00FD2E14" w:rsidRDefault="00FD2E14">
      <w:pPr>
        <w:spacing w:line="276" w:lineRule="auto"/>
        <w:jc w:val="right"/>
        <w:rPr>
          <w:rFonts w:ascii="Open Sans" w:eastAsia="Open Sans" w:hAnsi="Open Sans" w:cs="Open Sans"/>
          <w:color w:val="000000"/>
          <w:sz w:val="21"/>
          <w:szCs w:val="21"/>
        </w:rPr>
      </w:pPr>
    </w:p>
    <w:sectPr w:rsidR="00FD2E14">
      <w:footerReference w:type="default" r:id="rId22"/>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3CF847" w14:textId="77777777" w:rsidR="00752916" w:rsidRDefault="00752916">
      <w:r>
        <w:separator/>
      </w:r>
    </w:p>
  </w:endnote>
  <w:endnote w:type="continuationSeparator" w:id="0">
    <w:p w14:paraId="4681321D" w14:textId="77777777" w:rsidR="00752916" w:rsidRDefault="0075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626348A-4022-417C-A60C-5CB6BBED380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580B7BC-0901-488A-94ED-CE1568928A62}"/>
    <w:embedBold r:id="rId3" w:fontKey="{F205D627-1862-4F48-A490-048149F3EC1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B646D579-3B17-44AF-BCE0-85384CA81793}"/>
    <w:embedItalic r:id="rId5" w:fontKey="{5BE4F477-B77C-4AA7-86F0-40C71495CDA5}"/>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4806C408-D1B2-4FF4-AC1C-D62BEAB96D92}"/>
    <w:embedBold r:id="rId7" w:fontKey="{4A5E2029-3FC7-4F04-BF95-8DC02EC69F29}"/>
  </w:font>
  <w:font w:name="Open Sans Light">
    <w:charset w:val="00"/>
    <w:family w:val="swiss"/>
    <w:pitch w:val="variable"/>
    <w:sig w:usb0="E00002EF" w:usb1="4000205B" w:usb2="00000028" w:usb3="00000000" w:csb0="0000019F" w:csb1="00000000"/>
    <w:embedRegular r:id="rId8" w:fontKey="{3FCB27A1-07AA-44FD-A65D-DD37B48BDB99}"/>
    <w:embedBold r:id="rId9" w:fontKey="{EDDBE260-DB08-4B4F-A991-CC0C0109041E}"/>
  </w:font>
  <w:font w:name="Calibri Light">
    <w:panose1 w:val="020F0302020204030204"/>
    <w:charset w:val="00"/>
    <w:family w:val="swiss"/>
    <w:pitch w:val="variable"/>
    <w:sig w:usb0="E4002EFF" w:usb1="C200247B" w:usb2="00000009" w:usb3="00000000" w:csb0="000001FF" w:csb1="00000000"/>
    <w:embedRegular r:id="rId10" w:fontKey="{406EEB34-F81E-4CEC-88A6-97BCAEF09A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9FEBA" w14:textId="77777777" w:rsidR="00FD2E14"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2FEA2023" wp14:editId="43DF999C">
          <wp:simplePos x="0" y="0"/>
          <wp:positionH relativeFrom="column">
            <wp:posOffset>-1191894</wp:posOffset>
          </wp:positionH>
          <wp:positionV relativeFrom="paragraph">
            <wp:posOffset>167970</wp:posOffset>
          </wp:positionV>
          <wp:extent cx="7670550" cy="451315"/>
          <wp:effectExtent l="0" t="0" r="0" b="0"/>
          <wp:wrapNone/>
          <wp:docPr id="13023010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F0C09" w14:textId="77777777" w:rsidR="00752916" w:rsidRDefault="00752916">
      <w:r>
        <w:separator/>
      </w:r>
    </w:p>
  </w:footnote>
  <w:footnote w:type="continuationSeparator" w:id="0">
    <w:p w14:paraId="2DB8D8E6" w14:textId="77777777" w:rsidR="00752916" w:rsidRDefault="007529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EA2177"/>
    <w:multiLevelType w:val="multilevel"/>
    <w:tmpl w:val="264A40B2"/>
    <w:lvl w:ilvl="0">
      <w:start w:val="1"/>
      <w:numFmt w:val="bullet"/>
      <w:lvlText w:val="●"/>
      <w:lvlJc w:val="left"/>
      <w:pPr>
        <w:ind w:left="720" w:hanging="360"/>
      </w:pPr>
      <w:rPr>
        <w:rFonts w:ascii="Noto Sans Symbols" w:eastAsia="Noto Sans Symbols" w:hAnsi="Noto Sans Symbols" w:cs="Noto Sans Symbols"/>
        <w:color w:val="303AB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763561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E14"/>
    <w:rsid w:val="005C40E1"/>
    <w:rsid w:val="00752916"/>
    <w:rsid w:val="00870EED"/>
    <w:rsid w:val="00954EAF"/>
    <w:rsid w:val="009A4355"/>
    <w:rsid w:val="00BA5A73"/>
    <w:rsid w:val="00FD2E1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FA93C"/>
  <w15:docId w15:val="{2CA76911-62C2-4B3C-83E7-34D1B013B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m6445620330082090912gmail-msohyperlink">
    <w:name w:val="m_6445620330082090912gmail-msohyperlink"/>
    <w:basedOn w:val="Fuentedeprrafopredeter"/>
    <w:rsid w:val="0059074E"/>
  </w:style>
  <w:style w:type="character" w:styleId="Mencinsinresolver">
    <w:name w:val="Unresolved Mention"/>
    <w:basedOn w:val="Fuentedeprrafopredeter"/>
    <w:uiPriority w:val="99"/>
    <w:semiHidden/>
    <w:unhideWhenUsed/>
    <w:rsid w:val="00990ADB"/>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search.fotocasa.es" TargetMode="External"/><Relationship Id="rId18" Type="http://schemas.openxmlformats.org/officeDocument/2006/relationships/hyperlink" Target="https://datavenues.com/" TargetMode="External"/><Relationship Id="rId3" Type="http://schemas.openxmlformats.org/officeDocument/2006/relationships/styles" Target="styles.xml"/><Relationship Id="rId21" Type="http://schemas.openxmlformats.org/officeDocument/2006/relationships/hyperlink" Target="mailto:comunicacion@fotocasa.es" TargetMode="External"/><Relationship Id="rId7" Type="http://schemas.openxmlformats.org/officeDocument/2006/relationships/endnotes" Target="endnotes.xml"/><Relationship Id="rId12" Type="http://schemas.openxmlformats.org/officeDocument/2006/relationships/hyperlink" Target="https://www.fotocasa.es/indice/" TargetMode="External"/><Relationship Id="rId17" Type="http://schemas.openxmlformats.org/officeDocument/2006/relationships/hyperlink" Target="https://profesionales.fotocasa.es/" TargetMode="External"/><Relationship Id="rId2" Type="http://schemas.openxmlformats.org/officeDocument/2006/relationships/numbering" Target="numbering.xml"/><Relationship Id="rId16" Type="http://schemas.openxmlformats.org/officeDocument/2006/relationships/hyperlink" Target="https://www.habitaclia.com/" TargetMode="External"/><Relationship Id="rId20" Type="http://schemas.openxmlformats.org/officeDocument/2006/relationships/hyperlink" Target="https://www.inmoweb.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otocasa.es" TargetMode="External"/><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https://get.witei.com/en/" TargetMode="Externa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prensa.fotocasa.e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prani\AppData\Roaming\Microsoft\Excel\Prensa%20m&#225;ximos%20octubre%20(version%201).xlsb"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[Prensa máximos octubre (version 1).xlsb]máximos!TablaDinámica1</c:name>
    <c:fmtId val="-1"/>
  </c:pivotSource>
  <c:chart>
    <c:autoTitleDeleted val="1"/>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38100" cap="flat" cmpd="dbl" algn="ctr">
            <a:solidFill>
              <a:schemeClr val="accent1"/>
            </a:solidFill>
            <a:miter lim="800000"/>
          </a:ln>
          <a:effectLst/>
        </c:spPr>
        <c:marker>
          <c:symbol val="circle"/>
          <c:size val="6"/>
          <c:spPr>
            <a:solidFill>
              <a:schemeClr val="accent1"/>
            </a:solidFill>
            <a:ln w="9525" cap="flat" cmpd="sng" algn="ctr">
              <a:solidFill>
                <a:schemeClr val="lt1"/>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38100" cap="flat" cmpd="dbl" algn="ctr">
            <a:solidFill>
              <a:schemeClr val="accent1"/>
            </a:solidFill>
            <a:miter lim="800000"/>
          </a:ln>
          <a:effectLst/>
        </c:spPr>
        <c:marker>
          <c:symbol val="circle"/>
          <c:size val="6"/>
          <c:spPr>
            <a:solidFill>
              <a:schemeClr val="accent1"/>
            </a:solidFill>
            <a:ln w="9525" cap="flat" cmpd="sng" algn="ctr">
              <a:solidFill>
                <a:schemeClr val="lt1"/>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38100" cap="flat" cmpd="dbl" algn="ctr">
            <a:solidFill>
              <a:schemeClr val="accent1"/>
            </a:solidFill>
            <a:miter lim="800000"/>
          </a:ln>
          <a:effectLst/>
        </c:spPr>
        <c:marker>
          <c:symbol val="circle"/>
          <c:size val="6"/>
          <c:spPr>
            <a:solidFill>
              <a:schemeClr val="accent1"/>
            </a:solidFill>
            <a:ln w="9525" cap="flat" cmpd="sng" algn="ctr">
              <a:solidFill>
                <a:schemeClr val="lt1"/>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7.1263696453866709E-2"/>
          <c:y val="3.3602751106300864E-2"/>
          <c:w val="0.89958000170626751"/>
          <c:h val="0.73770932654700794"/>
        </c:manualLayout>
      </c:layout>
      <c:lineChart>
        <c:grouping val="standard"/>
        <c:varyColors val="0"/>
        <c:ser>
          <c:idx val="0"/>
          <c:order val="0"/>
          <c:tx>
            <c:strRef>
              <c:f>máximos!$O$4:$O$5</c:f>
              <c:strCache>
                <c:ptCount val="1"/>
                <c:pt idx="0">
                  <c:v>Total</c:v>
                </c:pt>
              </c:strCache>
            </c:strRef>
          </c:tx>
          <c:spPr>
            <a:ln w="38100" cap="flat" cmpd="dbl" algn="ctr">
              <a:solidFill>
                <a:schemeClr val="accent1"/>
              </a:solidFill>
              <a:miter lim="800000"/>
            </a:ln>
            <a:effectLst/>
          </c:spPr>
          <c:marker>
            <c:symbol val="circle"/>
            <c:size val="6"/>
            <c:spPr>
              <a:solidFill>
                <a:schemeClr val="accent1"/>
              </a:solidFill>
              <a:ln w="9525" cap="flat" cmpd="sng" algn="ctr">
                <a:solidFill>
                  <a:schemeClr val="lt1"/>
                </a:solidFill>
                <a:round/>
              </a:ln>
              <a:effectLst/>
            </c:spPr>
          </c:marker>
          <c:dLbls>
            <c:dLbl>
              <c:idx val="237"/>
              <c:layout>
                <c:manualLayout>
                  <c:x val="-5.4383293452251631E-2"/>
                  <c:y val="-4.2034468263976461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36-47DD-97FE-F6B7B6691E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máximos!$M$6:$N$243</c:f>
              <c:multiLvlStrCache>
                <c:ptCount val="238"/>
                <c:lvl>
                  <c:pt idx="0">
                    <c:v>01/01/2006</c:v>
                  </c:pt>
                  <c:pt idx="1">
                    <c:v>01/02/2006</c:v>
                  </c:pt>
                  <c:pt idx="2">
                    <c:v>01/03/2006</c:v>
                  </c:pt>
                  <c:pt idx="3">
                    <c:v>01/04/2006</c:v>
                  </c:pt>
                  <c:pt idx="4">
                    <c:v>01/05/2006</c:v>
                  </c:pt>
                  <c:pt idx="5">
                    <c:v>01/06/2006</c:v>
                  </c:pt>
                  <c:pt idx="6">
                    <c:v>01/07/2006</c:v>
                  </c:pt>
                  <c:pt idx="7">
                    <c:v>01/08/2006</c:v>
                  </c:pt>
                  <c:pt idx="8">
                    <c:v>01/09/2006</c:v>
                  </c:pt>
                  <c:pt idx="9">
                    <c:v>01/10/2006</c:v>
                  </c:pt>
                  <c:pt idx="10">
                    <c:v>01/11/2006</c:v>
                  </c:pt>
                  <c:pt idx="11">
                    <c:v>01/12/2006</c:v>
                  </c:pt>
                  <c:pt idx="12">
                    <c:v>01/01/2007</c:v>
                  </c:pt>
                  <c:pt idx="13">
                    <c:v>01/02/2007</c:v>
                  </c:pt>
                  <c:pt idx="14">
                    <c:v>01/03/2007</c:v>
                  </c:pt>
                  <c:pt idx="15">
                    <c:v>01/04/2007</c:v>
                  </c:pt>
                  <c:pt idx="16">
                    <c:v>01/05/2007</c:v>
                  </c:pt>
                  <c:pt idx="17">
                    <c:v>01/06/2007</c:v>
                  </c:pt>
                  <c:pt idx="18">
                    <c:v>01/07/2007</c:v>
                  </c:pt>
                  <c:pt idx="19">
                    <c:v>01/08/2007</c:v>
                  </c:pt>
                  <c:pt idx="20">
                    <c:v>01/09/2007</c:v>
                  </c:pt>
                  <c:pt idx="21">
                    <c:v>01/10/2007</c:v>
                  </c:pt>
                  <c:pt idx="22">
                    <c:v>01/11/2007</c:v>
                  </c:pt>
                  <c:pt idx="23">
                    <c:v>01/12/2007</c:v>
                  </c:pt>
                  <c:pt idx="24">
                    <c:v>01/01/2008</c:v>
                  </c:pt>
                  <c:pt idx="25">
                    <c:v>01/02/2008</c:v>
                  </c:pt>
                  <c:pt idx="26">
                    <c:v>01/03/2008</c:v>
                  </c:pt>
                  <c:pt idx="27">
                    <c:v>01/04/2008</c:v>
                  </c:pt>
                  <c:pt idx="28">
                    <c:v>01/05/2008</c:v>
                  </c:pt>
                  <c:pt idx="29">
                    <c:v>01/06/2008</c:v>
                  </c:pt>
                  <c:pt idx="30">
                    <c:v>01/07/2008</c:v>
                  </c:pt>
                  <c:pt idx="31">
                    <c:v>01/08/2008</c:v>
                  </c:pt>
                  <c:pt idx="32">
                    <c:v>01/09/2008</c:v>
                  </c:pt>
                  <c:pt idx="33">
                    <c:v>01/10/2008</c:v>
                  </c:pt>
                  <c:pt idx="34">
                    <c:v>01/11/2008</c:v>
                  </c:pt>
                  <c:pt idx="35">
                    <c:v>01/12/2008</c:v>
                  </c:pt>
                  <c:pt idx="36">
                    <c:v>01/01/2009</c:v>
                  </c:pt>
                  <c:pt idx="37">
                    <c:v>01/02/2009</c:v>
                  </c:pt>
                  <c:pt idx="38">
                    <c:v>01/03/2009</c:v>
                  </c:pt>
                  <c:pt idx="39">
                    <c:v>01/04/2009</c:v>
                  </c:pt>
                  <c:pt idx="40">
                    <c:v>01/05/2009</c:v>
                  </c:pt>
                  <c:pt idx="41">
                    <c:v>01/06/2009</c:v>
                  </c:pt>
                  <c:pt idx="42">
                    <c:v>01/07/2009</c:v>
                  </c:pt>
                  <c:pt idx="43">
                    <c:v>01/08/2009</c:v>
                  </c:pt>
                  <c:pt idx="44">
                    <c:v>01/09/2009</c:v>
                  </c:pt>
                  <c:pt idx="45">
                    <c:v>01/10/2009</c:v>
                  </c:pt>
                  <c:pt idx="46">
                    <c:v>01/11/2009</c:v>
                  </c:pt>
                  <c:pt idx="47">
                    <c:v>01/12/2009</c:v>
                  </c:pt>
                  <c:pt idx="48">
                    <c:v>01/01/2010</c:v>
                  </c:pt>
                  <c:pt idx="49">
                    <c:v>01/02/2010</c:v>
                  </c:pt>
                  <c:pt idx="50">
                    <c:v>01/03/2010</c:v>
                  </c:pt>
                  <c:pt idx="51">
                    <c:v>01/04/2010</c:v>
                  </c:pt>
                  <c:pt idx="52">
                    <c:v>01/05/2010</c:v>
                  </c:pt>
                  <c:pt idx="53">
                    <c:v>01/06/2010</c:v>
                  </c:pt>
                  <c:pt idx="54">
                    <c:v>01/07/2010</c:v>
                  </c:pt>
                  <c:pt idx="55">
                    <c:v>01/08/2010</c:v>
                  </c:pt>
                  <c:pt idx="56">
                    <c:v>01/09/2010</c:v>
                  </c:pt>
                  <c:pt idx="57">
                    <c:v>01/10/2010</c:v>
                  </c:pt>
                  <c:pt idx="58">
                    <c:v>01/11/2010</c:v>
                  </c:pt>
                  <c:pt idx="59">
                    <c:v>01/12/2010</c:v>
                  </c:pt>
                  <c:pt idx="60">
                    <c:v>01/01/2011</c:v>
                  </c:pt>
                  <c:pt idx="61">
                    <c:v>01/02/2011</c:v>
                  </c:pt>
                  <c:pt idx="62">
                    <c:v>01/03/2011</c:v>
                  </c:pt>
                  <c:pt idx="63">
                    <c:v>01/04/2011</c:v>
                  </c:pt>
                  <c:pt idx="64">
                    <c:v>01/05/2011</c:v>
                  </c:pt>
                  <c:pt idx="65">
                    <c:v>01/06/2011</c:v>
                  </c:pt>
                  <c:pt idx="66">
                    <c:v>01/07/2011</c:v>
                  </c:pt>
                  <c:pt idx="67">
                    <c:v>01/08/2011</c:v>
                  </c:pt>
                  <c:pt idx="68">
                    <c:v>01/09/2011</c:v>
                  </c:pt>
                  <c:pt idx="69">
                    <c:v>01/10/2011</c:v>
                  </c:pt>
                  <c:pt idx="70">
                    <c:v>01/11/2011</c:v>
                  </c:pt>
                  <c:pt idx="71">
                    <c:v>01/12/2011</c:v>
                  </c:pt>
                  <c:pt idx="72">
                    <c:v>01/01/2012</c:v>
                  </c:pt>
                  <c:pt idx="73">
                    <c:v>01/02/2012</c:v>
                  </c:pt>
                  <c:pt idx="74">
                    <c:v>01/03/2012</c:v>
                  </c:pt>
                  <c:pt idx="75">
                    <c:v>01/04/2012</c:v>
                  </c:pt>
                  <c:pt idx="76">
                    <c:v>01/05/2012</c:v>
                  </c:pt>
                  <c:pt idx="77">
                    <c:v>01/06/2012</c:v>
                  </c:pt>
                  <c:pt idx="78">
                    <c:v>01/07/2012</c:v>
                  </c:pt>
                  <c:pt idx="79">
                    <c:v>01/08/2012</c:v>
                  </c:pt>
                  <c:pt idx="80">
                    <c:v>01/09/2012</c:v>
                  </c:pt>
                  <c:pt idx="81">
                    <c:v>01/10/2012</c:v>
                  </c:pt>
                  <c:pt idx="82">
                    <c:v>01/11/2012</c:v>
                  </c:pt>
                  <c:pt idx="83">
                    <c:v>01/12/2012</c:v>
                  </c:pt>
                  <c:pt idx="84">
                    <c:v>01/01/2013</c:v>
                  </c:pt>
                  <c:pt idx="85">
                    <c:v>01/02/2013</c:v>
                  </c:pt>
                  <c:pt idx="86">
                    <c:v>01/03/2013</c:v>
                  </c:pt>
                  <c:pt idx="87">
                    <c:v>01/04/2013</c:v>
                  </c:pt>
                  <c:pt idx="88">
                    <c:v>01/05/2013</c:v>
                  </c:pt>
                  <c:pt idx="89">
                    <c:v>01/06/2013</c:v>
                  </c:pt>
                  <c:pt idx="90">
                    <c:v>01/07/2013</c:v>
                  </c:pt>
                  <c:pt idx="91">
                    <c:v>01/08/2013</c:v>
                  </c:pt>
                  <c:pt idx="92">
                    <c:v>01/09/2013</c:v>
                  </c:pt>
                  <c:pt idx="93">
                    <c:v>01/10/2013</c:v>
                  </c:pt>
                  <c:pt idx="94">
                    <c:v>01/11/2013</c:v>
                  </c:pt>
                  <c:pt idx="95">
                    <c:v>01/12/2013</c:v>
                  </c:pt>
                  <c:pt idx="96">
                    <c:v>01/01/2014</c:v>
                  </c:pt>
                  <c:pt idx="97">
                    <c:v>01/02/2014</c:v>
                  </c:pt>
                  <c:pt idx="98">
                    <c:v>01/03/2014</c:v>
                  </c:pt>
                  <c:pt idx="99">
                    <c:v>01/04/2014</c:v>
                  </c:pt>
                  <c:pt idx="100">
                    <c:v>01/05/2014</c:v>
                  </c:pt>
                  <c:pt idx="101">
                    <c:v>01/06/2014</c:v>
                  </c:pt>
                  <c:pt idx="102">
                    <c:v>01/07/2014</c:v>
                  </c:pt>
                  <c:pt idx="103">
                    <c:v>01/08/2014</c:v>
                  </c:pt>
                  <c:pt idx="104">
                    <c:v>01/09/2014</c:v>
                  </c:pt>
                  <c:pt idx="105">
                    <c:v>01/10/2014</c:v>
                  </c:pt>
                  <c:pt idx="106">
                    <c:v>01/11/2014</c:v>
                  </c:pt>
                  <c:pt idx="107">
                    <c:v>01/12/2014</c:v>
                  </c:pt>
                  <c:pt idx="108">
                    <c:v>01/01/2015</c:v>
                  </c:pt>
                  <c:pt idx="109">
                    <c:v>01/02/2015</c:v>
                  </c:pt>
                  <c:pt idx="110">
                    <c:v>01/03/2015</c:v>
                  </c:pt>
                  <c:pt idx="111">
                    <c:v>01/04/2015</c:v>
                  </c:pt>
                  <c:pt idx="112">
                    <c:v>01/05/2015</c:v>
                  </c:pt>
                  <c:pt idx="113">
                    <c:v>01/06/2015</c:v>
                  </c:pt>
                  <c:pt idx="114">
                    <c:v>01/07/2015</c:v>
                  </c:pt>
                  <c:pt idx="115">
                    <c:v>01/08/2015</c:v>
                  </c:pt>
                  <c:pt idx="116">
                    <c:v>01/09/2015</c:v>
                  </c:pt>
                  <c:pt idx="117">
                    <c:v>01/10/2015</c:v>
                  </c:pt>
                  <c:pt idx="118">
                    <c:v>01/11/2015</c:v>
                  </c:pt>
                  <c:pt idx="119">
                    <c:v>01/12/2015</c:v>
                  </c:pt>
                  <c:pt idx="120">
                    <c:v>01/01/2016</c:v>
                  </c:pt>
                  <c:pt idx="121">
                    <c:v>01/02/2016</c:v>
                  </c:pt>
                  <c:pt idx="122">
                    <c:v>01/03/2016</c:v>
                  </c:pt>
                  <c:pt idx="123">
                    <c:v>01/04/2016</c:v>
                  </c:pt>
                  <c:pt idx="124">
                    <c:v>01/05/2016</c:v>
                  </c:pt>
                  <c:pt idx="125">
                    <c:v>01/06/2016</c:v>
                  </c:pt>
                  <c:pt idx="126">
                    <c:v>01/07/2016</c:v>
                  </c:pt>
                  <c:pt idx="127">
                    <c:v>01/08/2016</c:v>
                  </c:pt>
                  <c:pt idx="128">
                    <c:v>01/09/2016</c:v>
                  </c:pt>
                  <c:pt idx="129">
                    <c:v>01/10/2016</c:v>
                  </c:pt>
                  <c:pt idx="130">
                    <c:v>01/11/2016</c:v>
                  </c:pt>
                  <c:pt idx="131">
                    <c:v>01/12/2016</c:v>
                  </c:pt>
                  <c:pt idx="132">
                    <c:v>01/01/2017</c:v>
                  </c:pt>
                  <c:pt idx="133">
                    <c:v>01/02/2017</c:v>
                  </c:pt>
                  <c:pt idx="134">
                    <c:v>01/03/2017</c:v>
                  </c:pt>
                  <c:pt idx="135">
                    <c:v>01/04/2017</c:v>
                  </c:pt>
                  <c:pt idx="136">
                    <c:v>01/05/2017</c:v>
                  </c:pt>
                  <c:pt idx="137">
                    <c:v>01/06/2017</c:v>
                  </c:pt>
                  <c:pt idx="138">
                    <c:v>01/07/2017</c:v>
                  </c:pt>
                  <c:pt idx="139">
                    <c:v>01/08/2017</c:v>
                  </c:pt>
                  <c:pt idx="140">
                    <c:v>01/09/2017</c:v>
                  </c:pt>
                  <c:pt idx="141">
                    <c:v>01/10/2017</c:v>
                  </c:pt>
                  <c:pt idx="142">
                    <c:v>01/11/2017</c:v>
                  </c:pt>
                  <c:pt idx="143">
                    <c:v>01/12/2017</c:v>
                  </c:pt>
                  <c:pt idx="144">
                    <c:v>01/01/2018</c:v>
                  </c:pt>
                  <c:pt idx="145">
                    <c:v>01/02/2018</c:v>
                  </c:pt>
                  <c:pt idx="146">
                    <c:v>01/03/2018</c:v>
                  </c:pt>
                  <c:pt idx="147">
                    <c:v>01/04/2018</c:v>
                  </c:pt>
                  <c:pt idx="148">
                    <c:v>01/05/2018</c:v>
                  </c:pt>
                  <c:pt idx="149">
                    <c:v>01/06/2018</c:v>
                  </c:pt>
                  <c:pt idx="150">
                    <c:v>01/07/2018</c:v>
                  </c:pt>
                  <c:pt idx="151">
                    <c:v>01/08/2018</c:v>
                  </c:pt>
                  <c:pt idx="152">
                    <c:v>01/09/2018</c:v>
                  </c:pt>
                  <c:pt idx="153">
                    <c:v>01/10/2018</c:v>
                  </c:pt>
                  <c:pt idx="154">
                    <c:v>01/11/2018</c:v>
                  </c:pt>
                  <c:pt idx="155">
                    <c:v>01/12/2018</c:v>
                  </c:pt>
                  <c:pt idx="156">
                    <c:v>01/01/2019</c:v>
                  </c:pt>
                  <c:pt idx="157">
                    <c:v>01/02/2019</c:v>
                  </c:pt>
                  <c:pt idx="158">
                    <c:v>01/03/2019</c:v>
                  </c:pt>
                  <c:pt idx="159">
                    <c:v>01/04/2019</c:v>
                  </c:pt>
                  <c:pt idx="160">
                    <c:v>01/05/2019</c:v>
                  </c:pt>
                  <c:pt idx="161">
                    <c:v>01/06/2019</c:v>
                  </c:pt>
                  <c:pt idx="162">
                    <c:v>01/07/2019</c:v>
                  </c:pt>
                  <c:pt idx="163">
                    <c:v>01/08/2019</c:v>
                  </c:pt>
                  <c:pt idx="164">
                    <c:v>01/09/2019</c:v>
                  </c:pt>
                  <c:pt idx="165">
                    <c:v>01/10/2019</c:v>
                  </c:pt>
                  <c:pt idx="166">
                    <c:v>01/11/2019</c:v>
                  </c:pt>
                  <c:pt idx="167">
                    <c:v>01/12/2019</c:v>
                  </c:pt>
                  <c:pt idx="168">
                    <c:v>01/01/2020</c:v>
                  </c:pt>
                  <c:pt idx="169">
                    <c:v>01/02/2020</c:v>
                  </c:pt>
                  <c:pt idx="170">
                    <c:v>01/03/2020</c:v>
                  </c:pt>
                  <c:pt idx="171">
                    <c:v>01/04/2020</c:v>
                  </c:pt>
                  <c:pt idx="172">
                    <c:v>01/05/2020</c:v>
                  </c:pt>
                  <c:pt idx="173">
                    <c:v>01/06/2020</c:v>
                  </c:pt>
                  <c:pt idx="174">
                    <c:v>01/07/2020</c:v>
                  </c:pt>
                  <c:pt idx="175">
                    <c:v>01/08/2020</c:v>
                  </c:pt>
                  <c:pt idx="176">
                    <c:v>01/09/2020</c:v>
                  </c:pt>
                  <c:pt idx="177">
                    <c:v>01/10/2020</c:v>
                  </c:pt>
                  <c:pt idx="178">
                    <c:v>01/11/2020</c:v>
                  </c:pt>
                  <c:pt idx="179">
                    <c:v>01/12/2020</c:v>
                  </c:pt>
                  <c:pt idx="180">
                    <c:v>01/01/2021</c:v>
                  </c:pt>
                  <c:pt idx="181">
                    <c:v>01/02/2021</c:v>
                  </c:pt>
                  <c:pt idx="182">
                    <c:v>01/03/2021</c:v>
                  </c:pt>
                  <c:pt idx="183">
                    <c:v>01/04/2021</c:v>
                  </c:pt>
                  <c:pt idx="184">
                    <c:v>01/05/2021</c:v>
                  </c:pt>
                  <c:pt idx="185">
                    <c:v>01/06/2021</c:v>
                  </c:pt>
                  <c:pt idx="186">
                    <c:v>01/07/2021</c:v>
                  </c:pt>
                  <c:pt idx="187">
                    <c:v>01/08/2021</c:v>
                  </c:pt>
                  <c:pt idx="188">
                    <c:v>01/09/2021</c:v>
                  </c:pt>
                  <c:pt idx="189">
                    <c:v>01/10/2021</c:v>
                  </c:pt>
                  <c:pt idx="190">
                    <c:v>01/11/2021</c:v>
                  </c:pt>
                  <c:pt idx="191">
                    <c:v>01/12/2021</c:v>
                  </c:pt>
                  <c:pt idx="192">
                    <c:v>01/01/2022</c:v>
                  </c:pt>
                  <c:pt idx="193">
                    <c:v>01/02/2022</c:v>
                  </c:pt>
                  <c:pt idx="194">
                    <c:v>01/03/2022</c:v>
                  </c:pt>
                  <c:pt idx="195">
                    <c:v>01/04/2022</c:v>
                  </c:pt>
                  <c:pt idx="196">
                    <c:v>01/05/2022</c:v>
                  </c:pt>
                  <c:pt idx="197">
                    <c:v>01/06/2022</c:v>
                  </c:pt>
                  <c:pt idx="198">
                    <c:v>01/07/2022</c:v>
                  </c:pt>
                  <c:pt idx="199">
                    <c:v>01/08/2022</c:v>
                  </c:pt>
                  <c:pt idx="200">
                    <c:v>01/09/2022</c:v>
                  </c:pt>
                  <c:pt idx="201">
                    <c:v>01/10/2022</c:v>
                  </c:pt>
                  <c:pt idx="202">
                    <c:v>01/11/2022</c:v>
                  </c:pt>
                  <c:pt idx="203">
                    <c:v>01/12/2022</c:v>
                  </c:pt>
                  <c:pt idx="204">
                    <c:v>01/01/2023</c:v>
                  </c:pt>
                  <c:pt idx="205">
                    <c:v>01/02/2023</c:v>
                  </c:pt>
                  <c:pt idx="206">
                    <c:v>01/03/2023</c:v>
                  </c:pt>
                  <c:pt idx="207">
                    <c:v>01/04/2023</c:v>
                  </c:pt>
                  <c:pt idx="208">
                    <c:v>01/05/2023</c:v>
                  </c:pt>
                  <c:pt idx="209">
                    <c:v>01/06/2023</c:v>
                  </c:pt>
                  <c:pt idx="210">
                    <c:v>01/07/2023</c:v>
                  </c:pt>
                  <c:pt idx="211">
                    <c:v>01/08/2023</c:v>
                  </c:pt>
                  <c:pt idx="212">
                    <c:v>01/09/2023</c:v>
                  </c:pt>
                  <c:pt idx="213">
                    <c:v>01/10/2023</c:v>
                  </c:pt>
                  <c:pt idx="214">
                    <c:v>01/11/2023</c:v>
                  </c:pt>
                  <c:pt idx="215">
                    <c:v>01/12/2023</c:v>
                  </c:pt>
                  <c:pt idx="216">
                    <c:v>01/01/2024</c:v>
                  </c:pt>
                  <c:pt idx="217">
                    <c:v>01/02/2024</c:v>
                  </c:pt>
                  <c:pt idx="218">
                    <c:v>01/03/2024</c:v>
                  </c:pt>
                  <c:pt idx="219">
                    <c:v>01/04/2024</c:v>
                  </c:pt>
                  <c:pt idx="220">
                    <c:v>01/05/2024</c:v>
                  </c:pt>
                  <c:pt idx="221">
                    <c:v>01/06/2024</c:v>
                  </c:pt>
                  <c:pt idx="222">
                    <c:v>01/07/2024</c:v>
                  </c:pt>
                  <c:pt idx="223">
                    <c:v>01/08/2024</c:v>
                  </c:pt>
                  <c:pt idx="224">
                    <c:v>01/09/2024</c:v>
                  </c:pt>
                  <c:pt idx="225">
                    <c:v>01/10/2024</c:v>
                  </c:pt>
                  <c:pt idx="226">
                    <c:v>01/11/2024</c:v>
                  </c:pt>
                  <c:pt idx="227">
                    <c:v>01/12/2024</c:v>
                  </c:pt>
                  <c:pt idx="228">
                    <c:v>01/01/2025</c:v>
                  </c:pt>
                  <c:pt idx="229">
                    <c:v>01/02/2025</c:v>
                  </c:pt>
                  <c:pt idx="230">
                    <c:v>01/03/2025</c:v>
                  </c:pt>
                  <c:pt idx="231">
                    <c:v>01/04/2025</c:v>
                  </c:pt>
                  <c:pt idx="232">
                    <c:v>01/05/2025</c:v>
                  </c:pt>
                  <c:pt idx="233">
                    <c:v>01/06/2025</c:v>
                  </c:pt>
                  <c:pt idx="234">
                    <c:v>01/07/2025</c:v>
                  </c:pt>
                  <c:pt idx="235">
                    <c:v>01/08/2025</c:v>
                  </c:pt>
                  <c:pt idx="236">
                    <c:v>01/09/2025</c:v>
                  </c:pt>
                  <c:pt idx="237">
                    <c:v>01/10/2025</c:v>
                  </c:pt>
                </c:lvl>
                <c:lvl>
                  <c:pt idx="0">
                    <c:v>2006</c:v>
                  </c:pt>
                  <c:pt idx="12">
                    <c:v>2007</c:v>
                  </c:pt>
                  <c:pt idx="24">
                    <c:v>2008</c:v>
                  </c:pt>
                  <c:pt idx="36">
                    <c:v>2009</c:v>
                  </c:pt>
                  <c:pt idx="48">
                    <c:v>2010</c:v>
                  </c:pt>
                  <c:pt idx="60">
                    <c:v>2011</c:v>
                  </c:pt>
                  <c:pt idx="72">
                    <c:v>2012</c:v>
                  </c:pt>
                  <c:pt idx="84">
                    <c:v>2013</c:v>
                  </c:pt>
                  <c:pt idx="96">
                    <c:v>2014</c:v>
                  </c:pt>
                  <c:pt idx="108">
                    <c:v>2015</c:v>
                  </c:pt>
                  <c:pt idx="120">
                    <c:v>2016</c:v>
                  </c:pt>
                  <c:pt idx="132">
                    <c:v>2017</c:v>
                  </c:pt>
                  <c:pt idx="144">
                    <c:v>2018</c:v>
                  </c:pt>
                  <c:pt idx="156">
                    <c:v>2019</c:v>
                  </c:pt>
                  <c:pt idx="168">
                    <c:v>2020</c:v>
                  </c:pt>
                  <c:pt idx="180">
                    <c:v>2021</c:v>
                  </c:pt>
                  <c:pt idx="192">
                    <c:v>2022</c:v>
                  </c:pt>
                  <c:pt idx="204">
                    <c:v>2023</c:v>
                  </c:pt>
                  <c:pt idx="216">
                    <c:v>2024</c:v>
                  </c:pt>
                  <c:pt idx="228">
                    <c:v>2025</c:v>
                  </c:pt>
                </c:lvl>
              </c:multiLvlStrCache>
            </c:multiLvlStrRef>
          </c:cat>
          <c:val>
            <c:numRef>
              <c:f>máximos!$O$6:$O$243</c:f>
              <c:numCache>
                <c:formatCode>#,##0.0"%"</c:formatCode>
                <c:ptCount val="238"/>
                <c:pt idx="0">
                  <c:v>12.224203564376278</c:v>
                </c:pt>
                <c:pt idx="1">
                  <c:v>10.726268396545002</c:v>
                </c:pt>
                <c:pt idx="2">
                  <c:v>11.079063090350871</c:v>
                </c:pt>
                <c:pt idx="3">
                  <c:v>12.708535642263175</c:v>
                </c:pt>
                <c:pt idx="4">
                  <c:v>10.78820999461465</c:v>
                </c:pt>
                <c:pt idx="5">
                  <c:v>11.199502431376175</c:v>
                </c:pt>
                <c:pt idx="6">
                  <c:v>11.039831801461242</c:v>
                </c:pt>
                <c:pt idx="7">
                  <c:v>10.185711912195705</c:v>
                </c:pt>
                <c:pt idx="8">
                  <c:v>9.8396917439716791</c:v>
                </c:pt>
                <c:pt idx="9">
                  <c:v>8.4804797179823375</c:v>
                </c:pt>
                <c:pt idx="10">
                  <c:v>8.3206082946205804</c:v>
                </c:pt>
                <c:pt idx="11">
                  <c:v>7.7390781682789234</c:v>
                </c:pt>
                <c:pt idx="12">
                  <c:v>7.7116946884179693</c:v>
                </c:pt>
                <c:pt idx="13">
                  <c:v>7.6964611313894871</c:v>
                </c:pt>
                <c:pt idx="14">
                  <c:v>7.3402189931792927</c:v>
                </c:pt>
                <c:pt idx="15">
                  <c:v>6.6235844845974778</c:v>
                </c:pt>
                <c:pt idx="16">
                  <c:v>5.4105750624500848</c:v>
                </c:pt>
                <c:pt idx="17">
                  <c:v>4.6832740110392734</c:v>
                </c:pt>
                <c:pt idx="18">
                  <c:v>3.215653393827389</c:v>
                </c:pt>
                <c:pt idx="19">
                  <c:v>2.7188994847137549</c:v>
                </c:pt>
                <c:pt idx="20">
                  <c:v>1.7189102498091691</c:v>
                </c:pt>
                <c:pt idx="21">
                  <c:v>1.1889658645771961</c:v>
                </c:pt>
                <c:pt idx="22">
                  <c:v>-0.71541366147283014</c:v>
                </c:pt>
                <c:pt idx="23">
                  <c:v>-1.0632025958751234</c:v>
                </c:pt>
                <c:pt idx="24">
                  <c:v>-2.656758013580407</c:v>
                </c:pt>
                <c:pt idx="25">
                  <c:v>-4.2565264722994156</c:v>
                </c:pt>
                <c:pt idx="26">
                  <c:v>-5.5830707963896327</c:v>
                </c:pt>
                <c:pt idx="27">
                  <c:v>-6.7364312012493706</c:v>
                </c:pt>
                <c:pt idx="28">
                  <c:v>-7.0772841121914514</c:v>
                </c:pt>
                <c:pt idx="29">
                  <c:v>-8.0005725995408117</c:v>
                </c:pt>
                <c:pt idx="30">
                  <c:v>-8.0731597953661911</c:v>
                </c:pt>
                <c:pt idx="31">
                  <c:v>-8.3733091251589222</c:v>
                </c:pt>
                <c:pt idx="32">
                  <c:v>-8.004193854900377</c:v>
                </c:pt>
                <c:pt idx="33">
                  <c:v>-8.3451894472865273</c:v>
                </c:pt>
                <c:pt idx="34">
                  <c:v>-7.8838102651512258</c:v>
                </c:pt>
                <c:pt idx="35">
                  <c:v>-8.6839090515904651</c:v>
                </c:pt>
                <c:pt idx="36">
                  <c:v>-10.013443501873276</c:v>
                </c:pt>
                <c:pt idx="37">
                  <c:v>-9.8105392181563893</c:v>
                </c:pt>
                <c:pt idx="38">
                  <c:v>-10.353596868449388</c:v>
                </c:pt>
                <c:pt idx="39">
                  <c:v>-10.477929447750245</c:v>
                </c:pt>
                <c:pt idx="40">
                  <c:v>-11.11407273854752</c:v>
                </c:pt>
                <c:pt idx="41">
                  <c:v>-10.870465809460095</c:v>
                </c:pt>
                <c:pt idx="42">
                  <c:v>-10.968903870474344</c:v>
                </c:pt>
                <c:pt idx="43">
                  <c:v>-10.884948995683319</c:v>
                </c:pt>
                <c:pt idx="44">
                  <c:v>-10.924944097534773</c:v>
                </c:pt>
                <c:pt idx="45">
                  <c:v>-10.608278168863293</c:v>
                </c:pt>
                <c:pt idx="46">
                  <c:v>-10.35812234293676</c:v>
                </c:pt>
                <c:pt idx="47">
                  <c:v>-10.012215323599216</c:v>
                </c:pt>
                <c:pt idx="48">
                  <c:v>-6.888884036332021</c:v>
                </c:pt>
                <c:pt idx="49">
                  <c:v>-6.4312474022458099</c:v>
                </c:pt>
                <c:pt idx="50">
                  <c:v>-5.5452149410105234</c:v>
                </c:pt>
                <c:pt idx="51">
                  <c:v>-4.9876956117640425</c:v>
                </c:pt>
                <c:pt idx="52">
                  <c:v>-4.037038733682607</c:v>
                </c:pt>
                <c:pt idx="53">
                  <c:v>-3.8616607334391206</c:v>
                </c:pt>
                <c:pt idx="54">
                  <c:v>-3.5370363331141408</c:v>
                </c:pt>
                <c:pt idx="55">
                  <c:v>-3.6450618985589323</c:v>
                </c:pt>
                <c:pt idx="56">
                  <c:v>-3.5791200942281387</c:v>
                </c:pt>
                <c:pt idx="57">
                  <c:v>-3.4615844756500813</c:v>
                </c:pt>
                <c:pt idx="58">
                  <c:v>-3.4098473084473779</c:v>
                </c:pt>
                <c:pt idx="59">
                  <c:v>-3.8230590429779832</c:v>
                </c:pt>
                <c:pt idx="60">
                  <c:v>-4.7008364149859538</c:v>
                </c:pt>
                <c:pt idx="61">
                  <c:v>-5.1544451069849835</c:v>
                </c:pt>
                <c:pt idx="62">
                  <c:v>-5.0812907230138649</c:v>
                </c:pt>
                <c:pt idx="63">
                  <c:v>-5.4231422925883566</c:v>
                </c:pt>
                <c:pt idx="64">
                  <c:v>-5.4863610316183919</c:v>
                </c:pt>
                <c:pt idx="65">
                  <c:v>-6.0429017475409967</c:v>
                </c:pt>
                <c:pt idx="66">
                  <c:v>-5.674513087493505</c:v>
                </c:pt>
                <c:pt idx="67">
                  <c:v>-5.8232908289493572</c:v>
                </c:pt>
                <c:pt idx="68">
                  <c:v>-5.9471427424756413</c:v>
                </c:pt>
                <c:pt idx="69">
                  <c:v>-6.4034578671860682</c:v>
                </c:pt>
                <c:pt idx="70">
                  <c:v>-6.739646999967297</c:v>
                </c:pt>
                <c:pt idx="71">
                  <c:v>-6.6119048129794411</c:v>
                </c:pt>
                <c:pt idx="72">
                  <c:v>-6.9372597186955982</c:v>
                </c:pt>
                <c:pt idx="73">
                  <c:v>-7.2201279108435878</c:v>
                </c:pt>
                <c:pt idx="74">
                  <c:v>-7.6367639677544226</c:v>
                </c:pt>
                <c:pt idx="75">
                  <c:v>-7.726687821857281</c:v>
                </c:pt>
                <c:pt idx="76">
                  <c:v>-8.4203682704569012</c:v>
                </c:pt>
                <c:pt idx="77">
                  <c:v>-8.358756841198689</c:v>
                </c:pt>
                <c:pt idx="78">
                  <c:v>-9.5529472931566772</c:v>
                </c:pt>
                <c:pt idx="79">
                  <c:v>-9.64388061112329</c:v>
                </c:pt>
                <c:pt idx="80">
                  <c:v>-9.7256050198439965</c:v>
                </c:pt>
                <c:pt idx="81">
                  <c:v>-9.871108791542083</c:v>
                </c:pt>
                <c:pt idx="82">
                  <c:v>-10.179270623442028</c:v>
                </c:pt>
                <c:pt idx="83">
                  <c:v>-10.487149620630898</c:v>
                </c:pt>
                <c:pt idx="84">
                  <c:v>-9.9235045608598966</c:v>
                </c:pt>
                <c:pt idx="85">
                  <c:v>-9.6729221313164082</c:v>
                </c:pt>
                <c:pt idx="86">
                  <c:v>-11.132758615344363</c:v>
                </c:pt>
                <c:pt idx="87">
                  <c:v>-11.469887716435444</c:v>
                </c:pt>
                <c:pt idx="88">
                  <c:v>-11.047178667650471</c:v>
                </c:pt>
                <c:pt idx="89">
                  <c:v>-11.837898412023407</c:v>
                </c:pt>
                <c:pt idx="90">
                  <c:v>-9.9877520019070474</c:v>
                </c:pt>
                <c:pt idx="91">
                  <c:v>-9.6867570648019434</c:v>
                </c:pt>
                <c:pt idx="92">
                  <c:v>-9.3553458685325612</c:v>
                </c:pt>
                <c:pt idx="93">
                  <c:v>-9.3503982882795711</c:v>
                </c:pt>
                <c:pt idx="94">
                  <c:v>-9.1339761482550621</c:v>
                </c:pt>
                <c:pt idx="95">
                  <c:v>-8.4690842844419301</c:v>
                </c:pt>
                <c:pt idx="96">
                  <c:v>-8.2617026951717687</c:v>
                </c:pt>
                <c:pt idx="97">
                  <c:v>-8.0596683805046041</c:v>
                </c:pt>
                <c:pt idx="98">
                  <c:v>-6.4571913415954585</c:v>
                </c:pt>
                <c:pt idx="99">
                  <c:v>-5.4865221363271655</c:v>
                </c:pt>
                <c:pt idx="100">
                  <c:v>-5.3361670578525029</c:v>
                </c:pt>
                <c:pt idx="101">
                  <c:v>-5.9773526250310631</c:v>
                </c:pt>
                <c:pt idx="102">
                  <c:v>-7.4833354932826834</c:v>
                </c:pt>
                <c:pt idx="103">
                  <c:v>-6.2525729153318776</c:v>
                </c:pt>
                <c:pt idx="104">
                  <c:v>-6.4839062644916234</c:v>
                </c:pt>
                <c:pt idx="105">
                  <c:v>-6.2326575760931258</c:v>
                </c:pt>
                <c:pt idx="106">
                  <c:v>-5.7111377237698768</c:v>
                </c:pt>
                <c:pt idx="107">
                  <c:v>-5.7154117655351495</c:v>
                </c:pt>
                <c:pt idx="108">
                  <c:v>-6.0704375550370004</c:v>
                </c:pt>
                <c:pt idx="109">
                  <c:v>-5.7405516324096624</c:v>
                </c:pt>
                <c:pt idx="110">
                  <c:v>-5.5047055998308059</c:v>
                </c:pt>
                <c:pt idx="111">
                  <c:v>-4.3402484687964815</c:v>
                </c:pt>
                <c:pt idx="112">
                  <c:v>-3.7726009677401362</c:v>
                </c:pt>
                <c:pt idx="113">
                  <c:v>-1.2677979499961078</c:v>
                </c:pt>
                <c:pt idx="114">
                  <c:v>0.14694690798966459</c:v>
                </c:pt>
                <c:pt idx="115">
                  <c:v>-0.60186387206609959</c:v>
                </c:pt>
                <c:pt idx="116">
                  <c:v>-9.0772266835870141E-2</c:v>
                </c:pt>
                <c:pt idx="117">
                  <c:v>0.13992841946686152</c:v>
                </c:pt>
                <c:pt idx="118">
                  <c:v>0.32588618005260361</c:v>
                </c:pt>
                <c:pt idx="119">
                  <c:v>-0.75204656470218012</c:v>
                </c:pt>
                <c:pt idx="120">
                  <c:v>-0.30737228017349016</c:v>
                </c:pt>
                <c:pt idx="121">
                  <c:v>-1.0748657639296333</c:v>
                </c:pt>
                <c:pt idx="122">
                  <c:v>0.62808660843864939</c:v>
                </c:pt>
                <c:pt idx="123">
                  <c:v>-0.70265015661110652</c:v>
                </c:pt>
                <c:pt idx="124">
                  <c:v>-0.88022634007061118</c:v>
                </c:pt>
                <c:pt idx="125">
                  <c:v>-0.85776079454706888</c:v>
                </c:pt>
                <c:pt idx="126">
                  <c:v>-0.97854740093639148</c:v>
                </c:pt>
                <c:pt idx="127">
                  <c:v>-1.1331373177630333</c:v>
                </c:pt>
                <c:pt idx="128">
                  <c:v>-0.58311942890555413</c:v>
                </c:pt>
                <c:pt idx="129">
                  <c:v>1.2295087466225763</c:v>
                </c:pt>
                <c:pt idx="130">
                  <c:v>0.98540787285061882</c:v>
                </c:pt>
                <c:pt idx="131">
                  <c:v>1.8558188866605763</c:v>
                </c:pt>
                <c:pt idx="132">
                  <c:v>1.5934690074247859</c:v>
                </c:pt>
                <c:pt idx="133">
                  <c:v>3.2276448084753273</c:v>
                </c:pt>
                <c:pt idx="134">
                  <c:v>2.2259939167604159</c:v>
                </c:pt>
                <c:pt idx="135">
                  <c:v>3.1451766414593019</c:v>
                </c:pt>
                <c:pt idx="136">
                  <c:v>3.6688731446047784</c:v>
                </c:pt>
                <c:pt idx="137">
                  <c:v>4.4985996298581021</c:v>
                </c:pt>
                <c:pt idx="138">
                  <c:v>4.4794468346650351</c:v>
                </c:pt>
                <c:pt idx="139">
                  <c:v>4.9328103629431075</c:v>
                </c:pt>
                <c:pt idx="140">
                  <c:v>4.8411522323903666</c:v>
                </c:pt>
                <c:pt idx="141">
                  <c:v>4.0524145677718337</c:v>
                </c:pt>
                <c:pt idx="142">
                  <c:v>4.76662527055145</c:v>
                </c:pt>
                <c:pt idx="143">
                  <c:v>5.0916983954652828</c:v>
                </c:pt>
                <c:pt idx="144">
                  <c:v>5.6126905513428804</c:v>
                </c:pt>
                <c:pt idx="145">
                  <c:v>5.1498908104103291</c:v>
                </c:pt>
                <c:pt idx="146">
                  <c:v>5.2914672258460804</c:v>
                </c:pt>
                <c:pt idx="147">
                  <c:v>5.3461154082511175</c:v>
                </c:pt>
                <c:pt idx="148">
                  <c:v>6.4284050256192105</c:v>
                </c:pt>
                <c:pt idx="149">
                  <c:v>6.5788554764288909</c:v>
                </c:pt>
                <c:pt idx="150">
                  <c:v>6.9575357233913948</c:v>
                </c:pt>
                <c:pt idx="151">
                  <c:v>7.4603674966047473</c:v>
                </c:pt>
                <c:pt idx="152">
                  <c:v>7.756844114775352</c:v>
                </c:pt>
                <c:pt idx="153">
                  <c:v>7.0373119636839565</c:v>
                </c:pt>
                <c:pt idx="154">
                  <c:v>7.3712825176408314</c:v>
                </c:pt>
                <c:pt idx="155">
                  <c:v>7.8397207719156592</c:v>
                </c:pt>
                <c:pt idx="156">
                  <c:v>7.685483785783398</c:v>
                </c:pt>
                <c:pt idx="157">
                  <c:v>7.9809092407654214</c:v>
                </c:pt>
                <c:pt idx="158">
                  <c:v>8.4475618773972805</c:v>
                </c:pt>
                <c:pt idx="159">
                  <c:v>7.1511444759206677</c:v>
                </c:pt>
                <c:pt idx="160">
                  <c:v>6.1817893371731936</c:v>
                </c:pt>
                <c:pt idx="161">
                  <c:v>5.7843990377558496</c:v>
                </c:pt>
                <c:pt idx="162">
                  <c:v>4.559573289426444</c:v>
                </c:pt>
                <c:pt idx="163">
                  <c:v>3.0478905979195448</c:v>
                </c:pt>
                <c:pt idx="164">
                  <c:v>2.2728000000000002</c:v>
                </c:pt>
                <c:pt idx="165">
                  <c:v>2.3555999999999999</c:v>
                </c:pt>
                <c:pt idx="166">
                  <c:v>0.14404460708488109</c:v>
                </c:pt>
                <c:pt idx="167">
                  <c:v>-1.2614646874092861</c:v>
                </c:pt>
                <c:pt idx="168">
                  <c:v>-1.8605254430531404</c:v>
                </c:pt>
                <c:pt idx="169">
                  <c:v>-2.3134483540373618</c:v>
                </c:pt>
                <c:pt idx="170">
                  <c:v>-2.9460909838051164</c:v>
                </c:pt>
                <c:pt idx="171">
                  <c:v>-1.9880154463444377</c:v>
                </c:pt>
                <c:pt idx="172">
                  <c:v>-1.0605431441696123</c:v>
                </c:pt>
                <c:pt idx="173">
                  <c:v>-1.8914307125737828</c:v>
                </c:pt>
                <c:pt idx="174">
                  <c:v>-0.70173314193738845</c:v>
                </c:pt>
                <c:pt idx="175">
                  <c:v>-0.75121819166216186</c:v>
                </c:pt>
                <c:pt idx="176">
                  <c:v>-2.3876150058407042</c:v>
                </c:pt>
                <c:pt idx="177">
                  <c:v>-1.7295082279115137</c:v>
                </c:pt>
                <c:pt idx="178">
                  <c:v>0.71838232532686064</c:v>
                </c:pt>
                <c:pt idx="179">
                  <c:v>1.6389800938417798</c:v>
                </c:pt>
                <c:pt idx="180">
                  <c:v>1.7768494720995509</c:v>
                </c:pt>
                <c:pt idx="181">
                  <c:v>2.1596162611507763</c:v>
                </c:pt>
                <c:pt idx="182">
                  <c:v>2.866345478918797</c:v>
                </c:pt>
                <c:pt idx="183">
                  <c:v>1.8693151778681694</c:v>
                </c:pt>
                <c:pt idx="184">
                  <c:v>0.77901608617632068</c:v>
                </c:pt>
                <c:pt idx="185">
                  <c:v>0.51556570794215606</c:v>
                </c:pt>
                <c:pt idx="186">
                  <c:v>0.32102388608419297</c:v>
                </c:pt>
                <c:pt idx="187">
                  <c:v>0.70000852369587196</c:v>
                </c:pt>
                <c:pt idx="188">
                  <c:v>2.5083041176502396</c:v>
                </c:pt>
                <c:pt idx="189">
                  <c:v>1.7941078400791621</c:v>
                </c:pt>
                <c:pt idx="190">
                  <c:v>1.7882064667341435</c:v>
                </c:pt>
                <c:pt idx="191">
                  <c:v>1.6701227670837149</c:v>
                </c:pt>
                <c:pt idx="192">
                  <c:v>0.95532971709209047</c:v>
                </c:pt>
                <c:pt idx="193">
                  <c:v>0.8142474717430126</c:v>
                </c:pt>
                <c:pt idx="194">
                  <c:v>0.84971351160449959</c:v>
                </c:pt>
                <c:pt idx="195">
                  <c:v>1.6994391691866007</c:v>
                </c:pt>
                <c:pt idx="196">
                  <c:v>2.1699847831600172</c:v>
                </c:pt>
                <c:pt idx="197">
                  <c:v>2.8019518618616956</c:v>
                </c:pt>
                <c:pt idx="198">
                  <c:v>3.4898641334480951</c:v>
                </c:pt>
                <c:pt idx="199">
                  <c:v>5.1765365611079917</c:v>
                </c:pt>
                <c:pt idx="200">
                  <c:v>6.2803949761069067</c:v>
                </c:pt>
                <c:pt idx="201">
                  <c:v>6.9696425363750647</c:v>
                </c:pt>
                <c:pt idx="202">
                  <c:v>7.0784511766891711</c:v>
                </c:pt>
                <c:pt idx="203">
                  <c:v>7.5281558692141592</c:v>
                </c:pt>
                <c:pt idx="204">
                  <c:v>8.997430664960838</c:v>
                </c:pt>
                <c:pt idx="205">
                  <c:v>9.887516134980622</c:v>
                </c:pt>
                <c:pt idx="206">
                  <c:v>9.8890358190076419</c:v>
                </c:pt>
                <c:pt idx="207">
                  <c:v>10.044470828386354</c:v>
                </c:pt>
                <c:pt idx="208">
                  <c:v>10.193876020706295</c:v>
                </c:pt>
                <c:pt idx="209">
                  <c:v>10.847580186973804</c:v>
                </c:pt>
                <c:pt idx="210">
                  <c:v>9.6945700203075802</c:v>
                </c:pt>
                <c:pt idx="211">
                  <c:v>7.8783367117513547</c:v>
                </c:pt>
                <c:pt idx="212">
                  <c:v>6.9970207453607713</c:v>
                </c:pt>
                <c:pt idx="213">
                  <c:v>6.6439472514446374</c:v>
                </c:pt>
                <c:pt idx="214">
                  <c:v>6.1599214126179636</c:v>
                </c:pt>
                <c:pt idx="215">
                  <c:v>7.4253225539052448</c:v>
                </c:pt>
                <c:pt idx="216">
                  <c:v>7.45199419904643</c:v>
                </c:pt>
                <c:pt idx="217">
                  <c:v>7.1184051550543748</c:v>
                </c:pt>
                <c:pt idx="218">
                  <c:v>7.4456700104165163</c:v>
                </c:pt>
                <c:pt idx="219">
                  <c:v>7.3701644386608312</c:v>
                </c:pt>
                <c:pt idx="220">
                  <c:v>7.6636803499106065</c:v>
                </c:pt>
                <c:pt idx="221">
                  <c:v>8.4440758205505784</c:v>
                </c:pt>
                <c:pt idx="222">
                  <c:v>9.0103541625966344</c:v>
                </c:pt>
                <c:pt idx="223">
                  <c:v>8.4872758469558107</c:v>
                </c:pt>
                <c:pt idx="224">
                  <c:v>9.4540383497966332</c:v>
                </c:pt>
                <c:pt idx="225">
                  <c:v>9.4501718213058528</c:v>
                </c:pt>
                <c:pt idx="226">
                  <c:v>9.5572630134842065</c:v>
                </c:pt>
                <c:pt idx="227">
                  <c:v>8.4349325949798057</c:v>
                </c:pt>
                <c:pt idx="228">
                  <c:v>8.5777996452059959</c:v>
                </c:pt>
                <c:pt idx="229">
                  <c:v>10.10119998746748</c:v>
                </c:pt>
                <c:pt idx="230">
                  <c:v>10.179418053360623</c:v>
                </c:pt>
                <c:pt idx="231">
                  <c:v>11.66460996033496</c:v>
                </c:pt>
                <c:pt idx="232">
                  <c:v>14.845714933329845</c:v>
                </c:pt>
                <c:pt idx="233">
                  <c:v>14.85000042967506</c:v>
                </c:pt>
                <c:pt idx="234">
                  <c:v>15.856151085736702</c:v>
                </c:pt>
                <c:pt idx="235">
                  <c:v>17.663112383260927</c:v>
                </c:pt>
                <c:pt idx="236">
                  <c:v>17.031550604553569</c:v>
                </c:pt>
                <c:pt idx="237">
                  <c:v>18.019100652908904</c:v>
                </c:pt>
              </c:numCache>
            </c:numRef>
          </c:val>
          <c:smooth val="0"/>
          <c:extLst>
            <c:ext xmlns:c16="http://schemas.microsoft.com/office/drawing/2014/chart" uri="{C3380CC4-5D6E-409C-BE32-E72D297353CC}">
              <c16:uniqueId val="{00000000-B136-47DD-97FE-F6B7B6691E95}"/>
            </c:ext>
          </c:extLst>
        </c:ser>
        <c:dLbls>
          <c:showLegendKey val="0"/>
          <c:showVal val="0"/>
          <c:showCatName val="0"/>
          <c:showSerName val="0"/>
          <c:showPercent val="0"/>
          <c:showBubbleSize val="0"/>
        </c:dLbls>
        <c:marker val="1"/>
        <c:smooth val="0"/>
        <c:axId val="1904317440"/>
        <c:axId val="1904308800"/>
      </c:lineChart>
      <c:catAx>
        <c:axId val="1904317440"/>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0"/>
        <c:majorTickMark val="none"/>
        <c:minorTickMark val="none"/>
        <c:tickLblPos val="low"/>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904308800"/>
        <c:crosses val="autoZero"/>
        <c:auto val="1"/>
        <c:lblAlgn val="ctr"/>
        <c:lblOffset val="100"/>
        <c:tickMarkSkip val="12"/>
        <c:noMultiLvlLbl val="0"/>
      </c:catAx>
      <c:valAx>
        <c:axId val="1904308800"/>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0.0&quot;%&quot;"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9043174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0f3P3SPlVMSsRcZGsH6ChSfjxQ==">CgMxLjAyDmgucDIxaWVndDI3bzByOAByITFpLUxoa3dvRkY3SGVWcWZYaDBmdkFVakVDU0VhMnppcA==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Pages>
  <Words>1340</Words>
  <Characters>7371</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Anaïs López García</cp:lastModifiedBy>
  <cp:revision>3</cp:revision>
  <dcterms:created xsi:type="dcterms:W3CDTF">2025-10-30T18:54:00Z</dcterms:created>
  <dcterms:modified xsi:type="dcterms:W3CDTF">2025-11-03T07:43:00Z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2024-01-26T14:32:01Z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14e205f0-437b-4ec9-a62f-b3b1d7a711e1</vt:lpwstr>
  </property>
  <property fmtid="{D5CDD505-2E9C-101B-9397-08002B2CF9AE}" pid="8" name="MSIP_Label_defa4170-0d19-0005-0004-bc88714345d2_ContentBits">
    <vt:lpwstr>0</vt:lpwstr>
  </property>
</Properties>
</file>