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505B3" w14:textId="77777777" w:rsidR="00324DB6" w:rsidRDefault="00000000">
      <w:r>
        <w:t xml:space="preserve"> </w:t>
      </w:r>
      <w:r>
        <w:rPr>
          <w:noProof/>
        </w:rPr>
        <w:drawing>
          <wp:anchor distT="0" distB="0" distL="114300" distR="114300" simplePos="0" relativeHeight="251658240" behindDoc="0" locked="0" layoutInCell="1" hidden="0" allowOverlap="1" wp14:anchorId="49D346E6" wp14:editId="4953B415">
            <wp:simplePos x="0" y="0"/>
            <wp:positionH relativeFrom="column">
              <wp:posOffset>-1080120</wp:posOffset>
            </wp:positionH>
            <wp:positionV relativeFrom="paragraph">
              <wp:posOffset>-654670</wp:posOffset>
            </wp:positionV>
            <wp:extent cx="7581265" cy="1019175"/>
            <wp:effectExtent l="0" t="0" r="0" b="0"/>
            <wp:wrapNone/>
            <wp:docPr id="2074542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F486271" w14:textId="77777777" w:rsidR="00324DB6" w:rsidRDefault="00324DB6"/>
    <w:p w14:paraId="56F56EA7" w14:textId="77777777" w:rsidR="00324DB6" w:rsidRDefault="00324DB6"/>
    <w:p w14:paraId="23CC76BA" w14:textId="77777777" w:rsidR="00324DB6" w:rsidRDefault="00324DB6">
      <w:pPr>
        <w:jc w:val="center"/>
        <w:rPr>
          <w:rFonts w:ascii="National" w:eastAsia="National" w:hAnsi="National" w:cs="National"/>
          <w:b/>
          <w:color w:val="1DBDC5"/>
          <w:sz w:val="30"/>
          <w:szCs w:val="30"/>
        </w:rPr>
      </w:pPr>
    </w:p>
    <w:p w14:paraId="75F379E2" w14:textId="77777777" w:rsidR="00324DB6" w:rsidRPr="00491209" w:rsidRDefault="00000000">
      <w:pPr>
        <w:jc w:val="center"/>
        <w:rPr>
          <w:rFonts w:ascii="National" w:eastAsia="National" w:hAnsi="National" w:cs="National"/>
          <w:b/>
          <w:color w:val="1DBDC5"/>
          <w:sz w:val="36"/>
          <w:szCs w:val="36"/>
        </w:rPr>
      </w:pPr>
      <w:r w:rsidRPr="00491209">
        <w:rPr>
          <w:rFonts w:ascii="National" w:eastAsia="National" w:hAnsi="National" w:cs="National"/>
          <w:b/>
          <w:color w:val="1DBDC5"/>
          <w:sz w:val="36"/>
          <w:szCs w:val="36"/>
        </w:rPr>
        <w:t>EXPERIENCIA EN COMPRAVENTA EN 2025</w:t>
      </w:r>
    </w:p>
    <w:p w14:paraId="1897DBC6" w14:textId="77777777" w:rsidR="00324DB6"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Sigue a la baja el margen de negociación de los compradores: solo la mitad intenta rebajar el precio de una vivienda</w:t>
      </w:r>
    </w:p>
    <w:p w14:paraId="14D6FA66" w14:textId="77777777" w:rsidR="00324DB6" w:rsidRDefault="00324DB6">
      <w:pPr>
        <w:jc w:val="center"/>
        <w:rPr>
          <w:rFonts w:ascii="Open Sans" w:eastAsia="Open Sans" w:hAnsi="Open Sans" w:cs="Open Sans"/>
          <w:color w:val="303AB2"/>
        </w:rPr>
      </w:pPr>
    </w:p>
    <w:p w14:paraId="1650C8C4" w14:textId="77777777" w:rsidR="00324DB6"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porcentaje de demandantes que intentan negociar el precio de un inmueble se ha reducido cinco puntos en los últimos tres años </w:t>
      </w:r>
    </w:p>
    <w:p w14:paraId="3432B30A" w14:textId="77777777" w:rsidR="00324DB6"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el lado de los vendedores ocurre el mismo fenómeno: quienes se abren a negociar caen del 60% al 57% en los últimos dos años</w:t>
      </w:r>
    </w:p>
    <w:p w14:paraId="180B4414" w14:textId="77777777" w:rsidR="00324DB6"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gran mayoría (77%) de los compradores que logran negociar no consiguen una rebaja superior al 10%</w:t>
      </w:r>
    </w:p>
    <w:p w14:paraId="033F64A6" w14:textId="77777777" w:rsidR="00324DB6" w:rsidRDefault="00324DB6">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204DC51" w14:textId="6F10C897" w:rsidR="00324DB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71335C">
        <w:rPr>
          <w:rFonts w:ascii="Open Sans Light" w:eastAsia="Open Sans Light" w:hAnsi="Open Sans Light" w:cs="Open Sans Light"/>
          <w:b/>
          <w:color w:val="303AB2"/>
        </w:rPr>
        <w:t>28 de noviembre</w:t>
      </w:r>
      <w:r>
        <w:rPr>
          <w:rFonts w:ascii="Open Sans Light" w:eastAsia="Open Sans Light" w:hAnsi="Open Sans Light" w:cs="Open Sans Light"/>
          <w:b/>
          <w:color w:val="303AB2"/>
        </w:rPr>
        <w:t xml:space="preserve"> de 2025</w:t>
      </w:r>
    </w:p>
    <w:p w14:paraId="7F84E91D"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171B0795" w14:textId="77777777" w:rsidR="00D503BB" w:rsidRDefault="00000000" w:rsidP="00D503BB">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demandantes españoles encuentran cada vez más dificultades para rebajar el precio de una vivienda durante el proceso de compra. Apenas la mitad (52%) de los compradores que adquirieron un inmueble en el último año intentó negociar a la baja el precio inicial. Este porcentaje refleja una reducción progresiva de esta capacidad de negociación de los demandantes de vivienda, ya que es un punto inferior al registrado el año pasado, y se encuentra cinco puntos por debajo de la tasa alcanzada en 2022 (57%) En el lado de los vendedores, la situación es la misma: cada vez negocian menos. La cifra de quienes entran en una concertación del precio de su vivienda ha caído del 60% en 2023, al 58% en 2024, y actualmente este porcentaje se reduce hasta el 57%, según las cifras del </w:t>
      </w:r>
      <w:r w:rsidR="00D503BB">
        <w:rPr>
          <w:rFonts w:ascii="Open Sans" w:eastAsia="Open Sans" w:hAnsi="Open Sans" w:cs="Open Sans"/>
          <w:b/>
        </w:rPr>
        <w:t>informe “</w:t>
      </w:r>
      <w:hyperlink r:id="rId9">
        <w:r w:rsidR="00D503BB">
          <w:rPr>
            <w:rFonts w:ascii="Open Sans" w:eastAsia="Open Sans" w:hAnsi="Open Sans" w:cs="Open Sans"/>
            <w:b/>
            <w:color w:val="0000FF"/>
            <w:u w:val="single"/>
          </w:rPr>
          <w:t>Experiencia en compraventa en 2025</w:t>
        </w:r>
      </w:hyperlink>
      <w:r w:rsidR="00D503BB">
        <w:rPr>
          <w:rFonts w:ascii="Open Sans" w:eastAsia="Open Sans" w:hAnsi="Open Sans" w:cs="Open Sans"/>
          <w:b/>
        </w:rPr>
        <w:t xml:space="preserve">”, elaborado por </w:t>
      </w:r>
      <w:hyperlink r:id="rId10">
        <w:r w:rsidR="00D503BB">
          <w:rPr>
            <w:rFonts w:ascii="Open Sans" w:eastAsia="Open Sans" w:hAnsi="Open Sans" w:cs="Open Sans"/>
            <w:b/>
            <w:color w:val="0000FF"/>
            <w:u w:val="single"/>
          </w:rPr>
          <w:t xml:space="preserve">Fotocasa </w:t>
        </w:r>
        <w:proofErr w:type="spellStart"/>
        <w:r w:rsidR="00D503BB">
          <w:rPr>
            <w:rFonts w:ascii="Open Sans" w:eastAsia="Open Sans" w:hAnsi="Open Sans" w:cs="Open Sans"/>
            <w:b/>
            <w:color w:val="0000FF"/>
            <w:u w:val="single"/>
          </w:rPr>
          <w:t>Research</w:t>
        </w:r>
        <w:proofErr w:type="spellEnd"/>
      </w:hyperlink>
      <w:r w:rsidR="00D503BB">
        <w:rPr>
          <w:rFonts w:ascii="Open Sans" w:eastAsia="Open Sans" w:hAnsi="Open Sans" w:cs="Open Sans"/>
        </w:rPr>
        <w:t>.</w:t>
      </w:r>
    </w:p>
    <w:p w14:paraId="1A088BDC" w14:textId="02FE9AC7" w:rsidR="00324DB6" w:rsidRDefault="00324DB6">
      <w:pPr>
        <w:pBdr>
          <w:top w:val="nil"/>
          <w:left w:val="nil"/>
          <w:bottom w:val="nil"/>
          <w:right w:val="nil"/>
          <w:between w:val="nil"/>
        </w:pBdr>
        <w:spacing w:line="276" w:lineRule="auto"/>
        <w:jc w:val="both"/>
        <w:rPr>
          <w:rFonts w:ascii="Open Sans" w:eastAsia="Open Sans" w:hAnsi="Open Sans" w:cs="Open Sans"/>
        </w:rPr>
      </w:pPr>
    </w:p>
    <w:p w14:paraId="54EA25D3" w14:textId="77777777" w:rsidR="00324DB6"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“Cada año observamos un retroceso en la capacidad de negociación de las partes. La negociación es un mecanismo fundamental de equilibrio que permite que el punto de encuentro entre oferta y demanda sea justo. Cuando una de las partes tiene un poder de negociación claramente superior, como ocurre en escenarios de escasez de oferta, la otra queda en desventaja y el mercado se desequilibra. En </w:t>
      </w:r>
      <w:r>
        <w:rPr>
          <w:rFonts w:ascii="Open Sans" w:eastAsia="Open Sans" w:hAnsi="Open Sans" w:cs="Open Sans"/>
        </w:rPr>
        <w:lastRenderedPageBreak/>
        <w:t xml:space="preserve">un mercado sano, la negociación debería actuar como regulador natural de precios. Sin embargo, la falta de oferta provoca que este mecanismo pierda efectividad, dificultando la accesibilidad de quien busca comprar”, </w:t>
      </w:r>
      <w:r>
        <w:rPr>
          <w:rFonts w:ascii="Open Sans" w:eastAsia="Open Sans" w:hAnsi="Open Sans" w:cs="Open Sans"/>
          <w:b/>
        </w:rPr>
        <w:t xml:space="preserve">explica María Matos, directora de Estudios y portavoz de </w:t>
      </w:r>
      <w:hyperlink r:id="rId11">
        <w:r w:rsidR="00324DB6">
          <w:rPr>
            <w:rFonts w:ascii="Open Sans" w:eastAsia="Open Sans" w:hAnsi="Open Sans" w:cs="Open Sans"/>
            <w:b/>
            <w:color w:val="0000FF"/>
            <w:u w:val="single"/>
          </w:rPr>
          <w:t>Fotocasa</w:t>
        </w:r>
      </w:hyperlink>
      <w:r>
        <w:rPr>
          <w:rFonts w:ascii="Open Sans" w:eastAsia="Open Sans" w:hAnsi="Open Sans" w:cs="Open Sans"/>
          <w:b/>
        </w:rPr>
        <w:t>.</w:t>
      </w:r>
    </w:p>
    <w:p w14:paraId="35BA049E"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3C4FE9A1" w14:textId="77777777" w:rsidR="00324DB6"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mayoría de los compradores no logra rebajas superiores al 10%</w:t>
      </w:r>
    </w:p>
    <w:p w14:paraId="60C2A339"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25FCA477" w14:textId="77777777" w:rsidR="00324DB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Pese a esta regresión, la negociación sigue teniendo resultados positivos para la gran mayoría de quienes la emprenden, aunque el importe que se ahorran se encuentra estancado. </w:t>
      </w:r>
      <w:r>
        <w:rPr>
          <w:rFonts w:ascii="Open Sans" w:eastAsia="Open Sans" w:hAnsi="Open Sans" w:cs="Open Sans"/>
          <w:b/>
        </w:rPr>
        <w:t>Ocho de cada diez compradores que negociaron (83%) consiguieron cerrar la operación con un descuento respecto al precio inicial</w:t>
      </w:r>
      <w:r>
        <w:rPr>
          <w:rFonts w:ascii="Open Sans" w:eastAsia="Open Sans" w:hAnsi="Open Sans" w:cs="Open Sans"/>
        </w:rPr>
        <w:t>, tres puntos más que en 2024. Por su parte, nueve de cada diez vendedores que aceptaron negociar (90%) admiten que la vivienda se vendió finalmente por debajo de la cantidad planteada al inicio. Por el contrario, los que lograron incrementar el precio de salida se redujeron casi a la mitad: del 9% en 2024 al 5% en 2025. En cuanto al alcance de la negociación, la mayoría de los compradores que negociaron (77%) logró variaciones inferiores al 10% del precio inicial, un dato prácticamente idéntico al del año anterior. Del mismo modo, dos de cada tres vendedores (66%) sitúan la diferencia pactada en el precio por debajo del 10%.</w:t>
      </w:r>
    </w:p>
    <w:p w14:paraId="683E2C24"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3A7EED77" w14:textId="77777777" w:rsidR="00324DB6"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2B3061E5" wp14:editId="4C6D8B3F">
            <wp:extent cx="5791200" cy="2895600"/>
            <wp:effectExtent l="0" t="0" r="0" b="0"/>
            <wp:docPr id="2074542826" name="image4.png" descr="Gráfico, Gráfico de proyección so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proyección solar&#10;&#10;El contenido generado por IA puede ser incorrecto."/>
                    <pic:cNvPicPr preferRelativeResize="0"/>
                  </pic:nvPicPr>
                  <pic:blipFill>
                    <a:blip r:embed="rId12"/>
                    <a:srcRect/>
                    <a:stretch>
                      <a:fillRect/>
                    </a:stretch>
                  </pic:blipFill>
                  <pic:spPr>
                    <a:xfrm>
                      <a:off x="0" y="0"/>
                      <a:ext cx="5791200" cy="2895600"/>
                    </a:xfrm>
                    <a:prstGeom prst="rect">
                      <a:avLst/>
                    </a:prstGeom>
                    <a:ln/>
                  </pic:spPr>
                </pic:pic>
              </a:graphicData>
            </a:graphic>
          </wp:inline>
        </w:drawing>
      </w:r>
    </w:p>
    <w:p w14:paraId="3268BCE8"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7723DF7A"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36414B4C" w14:textId="77777777" w:rsidR="00324DB6" w:rsidRDefault="00324DB6">
      <w:pPr>
        <w:pBdr>
          <w:top w:val="nil"/>
          <w:left w:val="nil"/>
          <w:bottom w:val="nil"/>
          <w:right w:val="nil"/>
          <w:between w:val="nil"/>
        </w:pBdr>
        <w:spacing w:line="276" w:lineRule="auto"/>
        <w:jc w:val="both"/>
        <w:rPr>
          <w:rFonts w:ascii="National" w:eastAsia="National" w:hAnsi="National" w:cs="National"/>
          <w:b/>
          <w:color w:val="303AB2"/>
          <w:sz w:val="32"/>
          <w:szCs w:val="32"/>
        </w:rPr>
      </w:pPr>
    </w:p>
    <w:p w14:paraId="01F285BE" w14:textId="77777777" w:rsidR="00324DB6" w:rsidRDefault="00324DB6">
      <w:pPr>
        <w:pBdr>
          <w:top w:val="nil"/>
          <w:left w:val="nil"/>
          <w:bottom w:val="nil"/>
          <w:right w:val="nil"/>
          <w:between w:val="nil"/>
        </w:pBdr>
        <w:spacing w:line="276" w:lineRule="auto"/>
        <w:jc w:val="both"/>
        <w:rPr>
          <w:rFonts w:ascii="National" w:eastAsia="National" w:hAnsi="National" w:cs="National"/>
          <w:b/>
          <w:color w:val="303AB2"/>
          <w:sz w:val="32"/>
          <w:szCs w:val="32"/>
        </w:rPr>
      </w:pPr>
    </w:p>
    <w:p w14:paraId="5001896A" w14:textId="77777777" w:rsidR="00324DB6"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Más de la mitad de los demandantes cierra la negociación en menos de un mes</w:t>
      </w:r>
    </w:p>
    <w:p w14:paraId="6601749C"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60E371FE" w14:textId="77777777" w:rsidR="00324DB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Respecto a los tiempos de negociación, se aprecian notables diferencias entre demandantes y oferentes de vivienda. Más de la mitad de los compradores (55%) cerraron el ajuste de precios en menos de un mes, el mismo porcentaje que en 2024. Por su lado, </w:t>
      </w:r>
      <w:r>
        <w:rPr>
          <w:rFonts w:ascii="Open Sans" w:eastAsia="Open Sans" w:hAnsi="Open Sans" w:cs="Open Sans"/>
          <w:b/>
        </w:rPr>
        <w:t>solo el 35% de los vendedores alcanzó un acuerdo en ese mismo plazo</w:t>
      </w:r>
      <w:r>
        <w:rPr>
          <w:rFonts w:ascii="Open Sans" w:eastAsia="Open Sans" w:hAnsi="Open Sans" w:cs="Open Sans"/>
        </w:rPr>
        <w:t xml:space="preserve">, aunque este último porcentaje es tres </w:t>
      </w:r>
      <w:proofErr w:type="gramStart"/>
      <w:r>
        <w:rPr>
          <w:rFonts w:ascii="Open Sans" w:eastAsia="Open Sans" w:hAnsi="Open Sans" w:cs="Open Sans"/>
        </w:rPr>
        <w:t>puntos superior</w:t>
      </w:r>
      <w:proofErr w:type="gramEnd"/>
      <w:r>
        <w:rPr>
          <w:rFonts w:ascii="Open Sans" w:eastAsia="Open Sans" w:hAnsi="Open Sans" w:cs="Open Sans"/>
        </w:rPr>
        <w:t xml:space="preserve"> en comparación con el año pasado.</w:t>
      </w:r>
    </w:p>
    <w:p w14:paraId="1098F7A4"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5761044D" w14:textId="77777777" w:rsidR="00324DB6"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7B038E63" wp14:editId="527A58AF">
            <wp:extent cx="5760720" cy="2473325"/>
            <wp:effectExtent l="0" t="0" r="0" b="0"/>
            <wp:docPr id="2074542824" name="image3.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10;&#10;El contenido generado por IA puede ser incorrecto."/>
                    <pic:cNvPicPr preferRelativeResize="0"/>
                  </pic:nvPicPr>
                  <pic:blipFill>
                    <a:blip r:embed="rId13"/>
                    <a:srcRect/>
                    <a:stretch>
                      <a:fillRect/>
                    </a:stretch>
                  </pic:blipFill>
                  <pic:spPr>
                    <a:xfrm>
                      <a:off x="0" y="0"/>
                      <a:ext cx="5760720" cy="2473325"/>
                    </a:xfrm>
                    <a:prstGeom prst="rect">
                      <a:avLst/>
                    </a:prstGeom>
                    <a:ln/>
                  </pic:spPr>
                </pic:pic>
              </a:graphicData>
            </a:graphic>
          </wp:inline>
        </w:drawing>
      </w:r>
    </w:p>
    <w:p w14:paraId="3FEEE0E1"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4A35E896" w14:textId="77777777" w:rsidR="00324DB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Finalmente, </w:t>
      </w:r>
      <w:r>
        <w:rPr>
          <w:rFonts w:ascii="Open Sans" w:eastAsia="Open Sans" w:hAnsi="Open Sans" w:cs="Open Sans"/>
          <w:b/>
        </w:rPr>
        <w:t>entre las principales razones que explican la modificación del precio, destaca el hecho de que era la única manera de llegar a un acuerdo</w:t>
      </w:r>
      <w:r>
        <w:rPr>
          <w:rFonts w:ascii="Open Sans" w:eastAsia="Open Sans" w:hAnsi="Open Sans" w:cs="Open Sans"/>
        </w:rPr>
        <w:t xml:space="preserve">. Este motivo ha seguido trayectorias divergentes, tras situarse en 2024 en el 43%, tanto en el caso de los demandantes como en el de los oferentes. Por el contrario, actualmente señalan esta razón el 41% de los compradores (dos puntos menos que en 2024) y el 47% de los vendedores (cuatro puntos más que el año pasado). </w:t>
      </w:r>
    </w:p>
    <w:p w14:paraId="11289BF6" w14:textId="77777777" w:rsidR="00324DB6" w:rsidRDefault="00324DB6">
      <w:pPr>
        <w:pBdr>
          <w:top w:val="nil"/>
          <w:left w:val="nil"/>
          <w:bottom w:val="nil"/>
          <w:right w:val="nil"/>
          <w:between w:val="nil"/>
        </w:pBdr>
        <w:spacing w:line="276" w:lineRule="auto"/>
        <w:jc w:val="both"/>
        <w:rPr>
          <w:rFonts w:ascii="Open Sans" w:eastAsia="Open Sans" w:hAnsi="Open Sans" w:cs="Open Sans"/>
        </w:rPr>
      </w:pPr>
    </w:p>
    <w:p w14:paraId="5DF3DB32" w14:textId="77777777" w:rsidR="00324DB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w:t>
      </w:r>
      <w:r>
        <w:rPr>
          <w:rFonts w:ascii="Open Sans" w:eastAsia="Open Sans" w:hAnsi="Open Sans" w:cs="Open Sans"/>
          <w:b/>
        </w:rPr>
        <w:t>entre los vendedores, existen otros factores destacables que llevaron a modificar el precio, como la urgencia de alguna de las partes (17%) o la escasez de interesados en el inmueble (16%)</w:t>
      </w:r>
      <w:r>
        <w:rPr>
          <w:rFonts w:ascii="Open Sans" w:eastAsia="Open Sans" w:hAnsi="Open Sans" w:cs="Open Sans"/>
        </w:rPr>
        <w:t>. En el caso de los compradores, el ajuste también se justificó por el estado de la vivienda (26%), la urgencia de las partes (23%) o la percepción de que el precio inicial no se correspondía con la realidad del mercado (19%).</w:t>
      </w:r>
    </w:p>
    <w:p w14:paraId="6F2CFB28" w14:textId="77777777" w:rsidR="00324DB6" w:rsidRDefault="00324DB6">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BAC203F" w14:textId="77777777" w:rsidR="00324DB6" w:rsidRDefault="00324DB6">
      <w:pPr>
        <w:spacing w:line="276" w:lineRule="auto"/>
        <w:jc w:val="right"/>
        <w:rPr>
          <w:rFonts w:ascii="Open Sans Light" w:eastAsia="Open Sans Light" w:hAnsi="Open Sans Light" w:cs="Open Sans Light"/>
          <w:b/>
          <w:color w:val="303AB2"/>
        </w:rPr>
      </w:pPr>
    </w:p>
    <w:p w14:paraId="3E246F03" w14:textId="77777777" w:rsidR="0071335C" w:rsidRDefault="0071335C" w:rsidP="0071335C">
      <w:pPr>
        <w:spacing w:line="276" w:lineRule="auto"/>
        <w:ind w:right="-1"/>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6C39C1C" w14:textId="77777777" w:rsidR="0071335C" w:rsidRPr="00413AF8"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Fotocasa es uno de los principales portales inmobiliarios de España, con una amplia oferta de viviendas de segund</w:t>
      </w:r>
      <w:r>
        <w:rPr>
          <w:rFonts w:ascii="Open Sans" w:eastAsia="Open Sans" w:hAnsi="Open Sans" w:cs="Open Sans"/>
          <w:sz w:val="22"/>
          <w:szCs w:val="22"/>
        </w:rPr>
        <w:t>a</w:t>
      </w:r>
      <w:r w:rsidRPr="00413AF8">
        <w:rPr>
          <w:rFonts w:ascii="Open Sans" w:eastAsia="Open Sans" w:hAnsi="Open Sans" w:cs="Open Sans"/>
          <w:sz w:val="22"/>
          <w:szCs w:val="22"/>
        </w:rPr>
        <w:t xml:space="preserve"> mano, promociones de obra nueva y alquileres</w:t>
      </w:r>
      <w:r>
        <w:rPr>
          <w:rFonts w:ascii="Open Sans" w:eastAsia="Open Sans" w:hAnsi="Open Sans" w:cs="Open Sans"/>
          <w:sz w:val="22"/>
          <w:szCs w:val="22"/>
        </w:rPr>
        <w:t xml:space="preserve"> que pertenece a </w:t>
      </w:r>
      <w:r w:rsidRPr="00413AF8">
        <w:rPr>
          <w:rFonts w:ascii="Open Sans" w:eastAsia="Open Sans" w:hAnsi="Open Sans" w:cs="Open Sans"/>
          <w:b/>
          <w:bCs/>
          <w:sz w:val="22"/>
          <w:szCs w:val="22"/>
        </w:rPr>
        <w:t xml:space="preserve">Fotocasa </w:t>
      </w:r>
      <w:proofErr w:type="spellStart"/>
      <w:r w:rsidRPr="00413AF8">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w:t>
      </w:r>
    </w:p>
    <w:p w14:paraId="6948A5BA" w14:textId="77777777" w:rsidR="0071335C" w:rsidRPr="00413AF8"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 xml:space="preserve">Mensualmente, elabora el </w:t>
      </w:r>
      <w:hyperlink r:id="rId14">
        <w:r w:rsidRPr="00413AF8">
          <w:rPr>
            <w:rFonts w:ascii="Open Sans" w:eastAsia="Open Sans" w:hAnsi="Open Sans" w:cs="Open Sans"/>
            <w:b/>
            <w:bCs/>
            <w:color w:val="0000FF"/>
            <w:sz w:val="22"/>
            <w:szCs w:val="22"/>
            <w:u w:val="single"/>
          </w:rPr>
          <w:t>Índice inmobiliario Fotocasa</w:t>
        </w:r>
      </w:hyperlink>
      <w:r w:rsidRPr="00413AF8">
        <w:rPr>
          <w:rFonts w:ascii="Open Sans" w:eastAsia="Open Sans" w:hAnsi="Open Sans" w:cs="Open Sans"/>
          <w:sz w:val="22"/>
          <w:szCs w:val="22"/>
        </w:rPr>
        <w:t>, un informe de referencia que analiza la evolución del precio medio de la vivienda en España, tanto en venta como en alquiler.</w:t>
      </w:r>
    </w:p>
    <w:p w14:paraId="230ABC52" w14:textId="77777777" w:rsidR="0071335C" w:rsidRPr="00413AF8"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Desde 2017, desarrolla además estudios sociológicos bajo el sell</w:t>
      </w:r>
      <w:r>
        <w:rPr>
          <w:rFonts w:ascii="Open Sans" w:eastAsia="Open Sans" w:hAnsi="Open Sans" w:cs="Open Sans"/>
          <w:sz w:val="22"/>
          <w:szCs w:val="22"/>
        </w:rPr>
        <w:t xml:space="preserve">o </w:t>
      </w:r>
      <w:hyperlink r:id="rId15" w:history="1">
        <w:r w:rsidRPr="00413AF8">
          <w:rPr>
            <w:rFonts w:ascii="Open Sans" w:hAnsi="Open Sans" w:cs="Open Sans"/>
            <w:b/>
            <w:bCs/>
            <w:color w:val="0000FF"/>
            <w:sz w:val="22"/>
            <w:szCs w:val="22"/>
            <w:u w:val="single"/>
          </w:rPr>
          <w:t xml:space="preserve">Fotocasa </w:t>
        </w:r>
        <w:proofErr w:type="spellStart"/>
        <w:r w:rsidRPr="00413AF8">
          <w:rPr>
            <w:rFonts w:ascii="Open Sans" w:hAnsi="Open Sans" w:cs="Open Sans"/>
            <w:b/>
            <w:bCs/>
            <w:color w:val="0000FF"/>
            <w:sz w:val="22"/>
            <w:szCs w:val="22"/>
            <w:u w:val="single"/>
          </w:rPr>
          <w:t>Research</w:t>
        </w:r>
        <w:proofErr w:type="spellEnd"/>
      </w:hyperlink>
      <w:r w:rsidRPr="00413AF8">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DE750E8" w14:textId="77777777" w:rsidR="0071335C"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Toda la información y los últimos comunicados están disponibles en su</w:t>
      </w:r>
      <w:r>
        <w:rPr>
          <w:rFonts w:ascii="Open Sans" w:eastAsia="Open Sans" w:hAnsi="Open Sans" w:cs="Open Sans"/>
          <w:sz w:val="22"/>
          <w:szCs w:val="22"/>
        </w:rPr>
        <w:t xml:space="preserve"> </w:t>
      </w:r>
      <w:hyperlink r:id="rId16">
        <w:r w:rsidRPr="00413AF8">
          <w:rPr>
            <w:rFonts w:ascii="Open Sans" w:eastAsia="Open Sans" w:hAnsi="Open Sans" w:cs="Open Sans"/>
            <w:b/>
            <w:bCs/>
            <w:color w:val="0000FF"/>
            <w:sz w:val="22"/>
            <w:szCs w:val="22"/>
            <w:u w:val="single"/>
          </w:rPr>
          <w:t>Sala de Prensa</w:t>
        </w:r>
      </w:hyperlink>
    </w:p>
    <w:p w14:paraId="5E17BA2F" w14:textId="77777777" w:rsidR="0071335C" w:rsidRDefault="0071335C" w:rsidP="0071335C">
      <w:pPr>
        <w:spacing w:line="276" w:lineRule="auto"/>
        <w:ind w:right="-1"/>
        <w:rPr>
          <w:rFonts w:ascii="Open Sans Light" w:eastAsia="Open Sans Light" w:hAnsi="Open Sans Light" w:cs="Open Sans Light"/>
          <w:b/>
          <w:color w:val="303AB2"/>
        </w:rPr>
      </w:pPr>
    </w:p>
    <w:p w14:paraId="4F4E781D" w14:textId="77777777" w:rsidR="0071335C" w:rsidRDefault="0071335C" w:rsidP="0071335C">
      <w:pPr>
        <w:spacing w:line="276" w:lineRule="auto"/>
        <w:ind w:right="-1"/>
        <w:rPr>
          <w:rFonts w:ascii="Open Sans Light" w:eastAsia="Open Sans Light" w:hAnsi="Open Sans Light" w:cs="Open Sans Light"/>
          <w:b/>
          <w:color w:val="303AB2"/>
        </w:rPr>
      </w:pPr>
    </w:p>
    <w:p w14:paraId="1062BE9D" w14:textId="77777777" w:rsidR="0071335C" w:rsidRDefault="0071335C" w:rsidP="0071335C">
      <w:pPr>
        <w:spacing w:line="276" w:lineRule="auto"/>
        <w:ind w:right="-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Fotocasa </w:t>
      </w:r>
      <w:proofErr w:type="spellStart"/>
      <w:r>
        <w:rPr>
          <w:rFonts w:ascii="Open Sans Light" w:eastAsia="Open Sans Light" w:hAnsi="Open Sans Light" w:cs="Open Sans Light"/>
          <w:b/>
          <w:color w:val="303AB2"/>
        </w:rPr>
        <w:t>Group</w:t>
      </w:r>
      <w:proofErr w:type="spellEnd"/>
    </w:p>
    <w:p w14:paraId="37374ADA" w14:textId="77777777" w:rsidR="0071335C"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AA07FC">
        <w:rPr>
          <w:rFonts w:ascii="Open Sans" w:eastAsia="Open Sans" w:hAnsi="Open Sans" w:cs="Open Sans"/>
          <w:b/>
          <w:bCs/>
          <w:sz w:val="22"/>
          <w:szCs w:val="22"/>
        </w:rPr>
        <w:t xml:space="preserve">Fotocasa </w:t>
      </w:r>
      <w:proofErr w:type="spellStart"/>
      <w:r w:rsidRPr="00AA07FC">
        <w:rPr>
          <w:rFonts w:ascii="Open Sans" w:eastAsia="Open Sans" w:hAnsi="Open Sans" w:cs="Open Sans"/>
          <w:b/>
          <w:bCs/>
          <w:sz w:val="22"/>
          <w:szCs w:val="22"/>
        </w:rPr>
        <w:t>Group</w:t>
      </w:r>
      <w:proofErr w:type="spellEnd"/>
      <w:r w:rsidRPr="00413AF8">
        <w:rPr>
          <w:rFonts w:ascii="Open Sans" w:eastAsia="Open Sans" w:hAnsi="Open Sans" w:cs="Open Sans"/>
          <w:sz w:val="22"/>
          <w:szCs w:val="22"/>
        </w:rPr>
        <w:t xml:space="preserve"> es un referente del sector inmobiliario en España, </w:t>
      </w:r>
      <w:r w:rsidRPr="00AA07FC">
        <w:rPr>
          <w:rFonts w:ascii="Open Sans" w:eastAsia="Open Sans" w:hAnsi="Open Sans" w:cs="Open Sans"/>
          <w:b/>
          <w:bCs/>
          <w:sz w:val="22"/>
          <w:szCs w:val="22"/>
        </w:rPr>
        <w:t>con más de 25 años de experiencia</w:t>
      </w:r>
      <w:r w:rsidRPr="00413AF8">
        <w:rPr>
          <w:rFonts w:ascii="Open Sans" w:eastAsia="Open Sans" w:hAnsi="Open Sans" w:cs="Open Sans"/>
          <w:sz w:val="22"/>
          <w:szCs w:val="22"/>
        </w:rPr>
        <w:t> liderando la transformación del </w:t>
      </w:r>
      <w:r w:rsidRPr="00AA07FC">
        <w:rPr>
          <w:rFonts w:ascii="Open Sans" w:eastAsia="Open Sans" w:hAnsi="Open Sans" w:cs="Open Sans"/>
          <w:sz w:val="22"/>
          <w:szCs w:val="22"/>
        </w:rPr>
        <w:t>real estate</w:t>
      </w:r>
      <w:r w:rsidRPr="00413AF8">
        <w:rPr>
          <w:rFonts w:ascii="Open Sans" w:eastAsia="Open Sans" w:hAnsi="Open Sans" w:cs="Open Sans"/>
          <w:sz w:val="22"/>
          <w:szCs w:val="22"/>
        </w:rPr>
        <w:t> a través de la innovación, los datos y la tecnología.</w:t>
      </w:r>
    </w:p>
    <w:p w14:paraId="5F3F616A" w14:textId="77777777" w:rsidR="0071335C"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Bajo su marca paraguas, </w:t>
      </w:r>
      <w:r w:rsidRPr="00AA07FC">
        <w:rPr>
          <w:rFonts w:ascii="Open Sans" w:eastAsia="Open Sans" w:hAnsi="Open Sans" w:cs="Open Sans"/>
          <w:sz w:val="22"/>
          <w:szCs w:val="22"/>
        </w:rPr>
        <w:t xml:space="preserve">Fotocasa </w:t>
      </w:r>
      <w:proofErr w:type="spellStart"/>
      <w:r w:rsidRPr="00AA07FC">
        <w:rPr>
          <w:rFonts w:ascii="Open Sans" w:eastAsia="Open Sans" w:hAnsi="Open Sans" w:cs="Open Sans"/>
          <w:sz w:val="22"/>
          <w:szCs w:val="22"/>
        </w:rPr>
        <w:t>Group</w:t>
      </w:r>
      <w:proofErr w:type="spellEnd"/>
      <w:r w:rsidRPr="00413AF8">
        <w:rPr>
          <w:rFonts w:ascii="Open Sans" w:eastAsia="Open Sans" w:hAnsi="Open Sans" w:cs="Open Sans"/>
          <w:sz w:val="22"/>
          <w:szCs w:val="22"/>
        </w:rPr>
        <w:t> impulsa y da visibilidad a un ecosistema de marcas líderes —</w:t>
      </w:r>
      <w:hyperlink r:id="rId17" w:history="1">
        <w:r w:rsidRPr="00B27579">
          <w:rPr>
            <w:rFonts w:ascii="Open Sans" w:hAnsi="Open Sans" w:cs="Open Sans"/>
            <w:b/>
            <w:bCs/>
            <w:color w:val="0000FF"/>
            <w:sz w:val="22"/>
            <w:szCs w:val="22"/>
            <w:u w:val="single"/>
          </w:rPr>
          <w:t>Fotocasa</w:t>
        </w:r>
      </w:hyperlink>
      <w:r w:rsidRPr="00B27579">
        <w:rPr>
          <w:rFonts w:ascii="Open Sans" w:eastAsia="Open Sans" w:hAnsi="Open Sans" w:cs="Open Sans"/>
          <w:sz w:val="22"/>
          <w:szCs w:val="22"/>
        </w:rPr>
        <w:t xml:space="preserve">, </w:t>
      </w:r>
      <w:hyperlink r:id="rId18" w:history="1">
        <w:proofErr w:type="spellStart"/>
        <w:r w:rsidRPr="00B27579">
          <w:rPr>
            <w:rFonts w:ascii="Open Sans" w:hAnsi="Open Sans" w:cs="Open Sans"/>
            <w:b/>
            <w:bCs/>
            <w:color w:val="0000FF"/>
            <w:sz w:val="22"/>
            <w:szCs w:val="22"/>
            <w:u w:val="single"/>
          </w:rPr>
          <w:t>habitaclia</w:t>
        </w:r>
        <w:proofErr w:type="spellEnd"/>
      </w:hyperlink>
      <w:r w:rsidRPr="00B27579">
        <w:rPr>
          <w:rFonts w:ascii="Open Sans" w:eastAsia="Open Sans" w:hAnsi="Open Sans" w:cs="Open Sans"/>
          <w:sz w:val="22"/>
          <w:szCs w:val="22"/>
        </w:rPr>
        <w:t xml:space="preserve">, </w:t>
      </w:r>
      <w:hyperlink r:id="rId19" w:history="1">
        <w:r w:rsidRPr="00B27579">
          <w:rPr>
            <w:rFonts w:ascii="Open Sans" w:hAnsi="Open Sans" w:cs="Open Sans"/>
            <w:b/>
            <w:bCs/>
            <w:color w:val="0000FF"/>
            <w:sz w:val="22"/>
            <w:szCs w:val="22"/>
            <w:u w:val="single"/>
          </w:rPr>
          <w:t>Fotocasa Pro</w:t>
        </w:r>
      </w:hyperlink>
      <w:r w:rsidRPr="00B27579">
        <w:rPr>
          <w:rFonts w:ascii="Open Sans" w:eastAsia="Open Sans" w:hAnsi="Open Sans" w:cs="Open Sans"/>
          <w:sz w:val="22"/>
          <w:szCs w:val="22"/>
        </w:rPr>
        <w:t xml:space="preserve">, </w:t>
      </w:r>
      <w:hyperlink r:id="rId20" w:history="1">
        <w:proofErr w:type="spellStart"/>
        <w:r w:rsidRPr="00B27579">
          <w:rPr>
            <w:rFonts w:ascii="Open Sans" w:hAnsi="Open Sans" w:cs="Open Sans"/>
            <w:b/>
            <w:bCs/>
            <w:color w:val="0000FF"/>
            <w:sz w:val="22"/>
            <w:szCs w:val="22"/>
            <w:u w:val="single"/>
          </w:rPr>
          <w:t>Datavenues</w:t>
        </w:r>
        <w:proofErr w:type="spellEnd"/>
      </w:hyperlink>
      <w:r w:rsidRPr="00B27579">
        <w:rPr>
          <w:rFonts w:ascii="Open Sans" w:eastAsia="Open Sans" w:hAnsi="Open Sans" w:cs="Open Sans"/>
          <w:sz w:val="22"/>
          <w:szCs w:val="22"/>
        </w:rPr>
        <w:t xml:space="preserve">, </w:t>
      </w:r>
      <w:hyperlink r:id="rId21" w:history="1">
        <w:proofErr w:type="spellStart"/>
        <w:r w:rsidRPr="00B27579">
          <w:rPr>
            <w:rFonts w:ascii="Open Sans" w:hAnsi="Open Sans" w:cs="Open Sans"/>
            <w:b/>
            <w:bCs/>
            <w:color w:val="0000FF"/>
            <w:sz w:val="22"/>
            <w:szCs w:val="22"/>
            <w:u w:val="single"/>
          </w:rPr>
          <w:t>Witei</w:t>
        </w:r>
        <w:proofErr w:type="spellEnd"/>
      </w:hyperlink>
      <w:r w:rsidRPr="00AA07FC">
        <w:rPr>
          <w:rFonts w:ascii="Open Sans" w:eastAsia="Open Sans" w:hAnsi="Open Sans" w:cs="Open Sans"/>
          <w:sz w:val="22"/>
          <w:szCs w:val="22"/>
        </w:rPr>
        <w:t xml:space="preserve"> e </w:t>
      </w:r>
      <w:hyperlink r:id="rId22" w:history="1">
        <w:proofErr w:type="spellStart"/>
        <w:r w:rsidRPr="00B27579">
          <w:rPr>
            <w:rFonts w:ascii="Open Sans" w:hAnsi="Open Sans" w:cs="Open Sans"/>
            <w:b/>
            <w:bCs/>
            <w:color w:val="0000FF"/>
            <w:sz w:val="22"/>
            <w:szCs w:val="22"/>
          </w:rPr>
          <w:t>Inmoweb</w:t>
        </w:r>
        <w:proofErr w:type="spellEnd"/>
      </w:hyperlink>
      <w:r w:rsidRPr="00413AF8">
        <w:rPr>
          <w:rFonts w:ascii="Open Sans" w:eastAsia="Open Sans" w:hAnsi="Open Sans" w:cs="Open Sans"/>
          <w:sz w:val="22"/>
          <w:szCs w:val="22"/>
        </w:rPr>
        <w:t xml:space="preserve">— que ofrecen soluciones integrales tanto </w:t>
      </w:r>
      <w:r w:rsidRPr="00AA07FC">
        <w:rPr>
          <w:rFonts w:ascii="Open Sans" w:eastAsia="Open Sans" w:hAnsi="Open Sans" w:cs="Open Sans"/>
          <w:b/>
          <w:bCs/>
          <w:sz w:val="22"/>
          <w:szCs w:val="22"/>
        </w:rPr>
        <w:t>para particulares como para profesionales del sector</w:t>
      </w:r>
      <w:r w:rsidRPr="00413AF8">
        <w:rPr>
          <w:rFonts w:ascii="Open Sans" w:eastAsia="Open Sans" w:hAnsi="Open Sans" w:cs="Open Sans"/>
          <w:sz w:val="22"/>
          <w:szCs w:val="22"/>
        </w:rPr>
        <w:t>.</w:t>
      </w:r>
    </w:p>
    <w:p w14:paraId="1D88FFA5" w14:textId="77777777" w:rsidR="0071335C"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AA07FC">
        <w:rPr>
          <w:rFonts w:ascii="Open Sans" w:eastAsia="Open Sans" w:hAnsi="Open Sans" w:cs="Open Sans"/>
          <w:b/>
          <w:bCs/>
          <w:sz w:val="22"/>
          <w:szCs w:val="22"/>
        </w:rPr>
        <w:t>Fotocasa</w:t>
      </w:r>
      <w:r w:rsidRPr="00413AF8">
        <w:rPr>
          <w:rFonts w:ascii="Open Sans" w:eastAsia="Open Sans" w:hAnsi="Open Sans" w:cs="Open Sans"/>
          <w:sz w:val="22"/>
          <w:szCs w:val="22"/>
        </w:rPr>
        <w:t>, la marca insignia del grupo, conecta cada día a </w:t>
      </w:r>
      <w:r w:rsidRPr="00AA07FC">
        <w:rPr>
          <w:rFonts w:ascii="Open Sans" w:eastAsia="Open Sans" w:hAnsi="Open Sans" w:cs="Open Sans"/>
          <w:b/>
          <w:bCs/>
          <w:sz w:val="22"/>
          <w:szCs w:val="22"/>
        </w:rPr>
        <w:t>millones de personas con su próximo hogar</w:t>
      </w:r>
      <w:r w:rsidRPr="00413AF8">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sidRPr="00AA07FC">
        <w:rPr>
          <w:rFonts w:ascii="Open Sans" w:eastAsia="Open Sans" w:hAnsi="Open Sans" w:cs="Open Sans"/>
          <w:b/>
          <w:bCs/>
          <w:sz w:val="22"/>
          <w:szCs w:val="22"/>
        </w:rPr>
        <w:t>referente del mercado inmobiliario</w:t>
      </w:r>
      <w:r w:rsidRPr="00413AF8">
        <w:rPr>
          <w:rFonts w:ascii="Open Sans" w:eastAsia="Open Sans" w:hAnsi="Open Sans" w:cs="Open Sans"/>
          <w:sz w:val="22"/>
          <w:szCs w:val="22"/>
        </w:rPr>
        <w:t>.</w:t>
      </w:r>
    </w:p>
    <w:p w14:paraId="2BC41224" w14:textId="77777777" w:rsidR="0071335C"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 xml:space="preserve">En Fotocasa </w:t>
      </w:r>
      <w:proofErr w:type="spellStart"/>
      <w:r w:rsidRPr="00413AF8">
        <w:rPr>
          <w:rFonts w:ascii="Open Sans" w:eastAsia="Open Sans" w:hAnsi="Open Sans" w:cs="Open Sans"/>
          <w:sz w:val="22"/>
          <w:szCs w:val="22"/>
        </w:rPr>
        <w:t>Group</w:t>
      </w:r>
      <w:proofErr w:type="spellEnd"/>
      <w:r w:rsidRPr="00413AF8">
        <w:rPr>
          <w:rFonts w:ascii="Open Sans" w:eastAsia="Open Sans" w:hAnsi="Open Sans" w:cs="Open Sans"/>
          <w:sz w:val="22"/>
          <w:szCs w:val="22"/>
        </w:rPr>
        <w:t>, </w:t>
      </w:r>
      <w:r w:rsidRPr="00AA07FC">
        <w:rPr>
          <w:rFonts w:ascii="Open Sans" w:eastAsia="Open Sans" w:hAnsi="Open Sans" w:cs="Open Sans"/>
          <w:b/>
          <w:bCs/>
          <w:sz w:val="22"/>
          <w:szCs w:val="22"/>
        </w:rPr>
        <w:t>unimos personas y propiedades</w:t>
      </w:r>
      <w:r w:rsidRPr="00413AF8">
        <w:rPr>
          <w:rFonts w:ascii="Open Sans" w:eastAsia="Open Sans" w:hAnsi="Open Sans" w:cs="Open Sans"/>
          <w:sz w:val="22"/>
          <w:szCs w:val="22"/>
        </w:rPr>
        <w:t> a través de una plataforma inteligente, diseñada para hacer que </w:t>
      </w:r>
      <w:r w:rsidRPr="00AA07FC">
        <w:rPr>
          <w:rFonts w:ascii="Open Sans" w:eastAsia="Open Sans" w:hAnsi="Open Sans" w:cs="Open Sans"/>
          <w:b/>
          <w:bCs/>
          <w:sz w:val="22"/>
          <w:szCs w:val="22"/>
        </w:rPr>
        <w:t>buscar, comprar o alquilar vivienda</w:t>
      </w:r>
      <w:r w:rsidRPr="00413AF8">
        <w:rPr>
          <w:rFonts w:ascii="Open Sans" w:eastAsia="Open Sans" w:hAnsi="Open Sans" w:cs="Open Sans"/>
          <w:sz w:val="22"/>
          <w:szCs w:val="22"/>
        </w:rPr>
        <w:t> sea una experiencia más fácil, transparente y eficiente.</w:t>
      </w:r>
    </w:p>
    <w:p w14:paraId="1BF8C792" w14:textId="77777777" w:rsidR="0071335C" w:rsidRDefault="0071335C" w:rsidP="0071335C">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Nuestra visión es clara</w:t>
      </w:r>
      <w:r w:rsidRPr="00AA07FC">
        <w:rPr>
          <w:rFonts w:ascii="Open Sans" w:eastAsia="Open Sans" w:hAnsi="Open Sans" w:cs="Open Sans"/>
          <w:b/>
          <w:bCs/>
          <w:sz w:val="22"/>
          <w:szCs w:val="22"/>
        </w:rPr>
        <w:t>: ser el lugar donde tu nuevo hogar te encuentra</w:t>
      </w:r>
      <w:r w:rsidRPr="00413AF8">
        <w:rPr>
          <w:rFonts w:ascii="Open Sans" w:eastAsia="Open Sans" w:hAnsi="Open Sans" w:cs="Open Sans"/>
          <w:sz w:val="22"/>
          <w:szCs w:val="22"/>
        </w:rPr>
        <w:t>.</w:t>
      </w:r>
    </w:p>
    <w:p w14:paraId="330A1343" w14:textId="77777777" w:rsidR="00324DB6" w:rsidRDefault="00324DB6" w:rsidP="003B4616">
      <w:pPr>
        <w:spacing w:line="276" w:lineRule="auto"/>
        <w:rPr>
          <w:rFonts w:ascii="Open Sans" w:eastAsia="Open Sans" w:hAnsi="Open Sans" w:cs="Open Sans"/>
          <w:sz w:val="22"/>
          <w:szCs w:val="22"/>
        </w:rPr>
      </w:pPr>
    </w:p>
    <w:p w14:paraId="4B879692" w14:textId="77777777" w:rsidR="003B4616" w:rsidRDefault="003B4616" w:rsidP="003B4616">
      <w:pPr>
        <w:spacing w:line="276" w:lineRule="auto"/>
        <w:rPr>
          <w:rFonts w:ascii="Open Sans" w:eastAsia="Open Sans" w:hAnsi="Open Sans" w:cs="Open Sans"/>
        </w:rPr>
      </w:pPr>
    </w:p>
    <w:p w14:paraId="2491BC45" w14:textId="1EC4D856" w:rsidR="00324DB6" w:rsidRPr="00491209" w:rsidRDefault="00000000">
      <w:pPr>
        <w:spacing w:line="276" w:lineRule="auto"/>
        <w:rPr>
          <w:rFonts w:ascii="Open Sans Light" w:eastAsia="Open Sans Light" w:hAnsi="Open Sans Light" w:cs="Open Sans Light"/>
          <w:b/>
          <w:color w:val="303AB2"/>
        </w:rPr>
      </w:pPr>
      <w:r w:rsidRPr="00491209">
        <w:rPr>
          <w:rFonts w:ascii="Open Sans Light" w:eastAsia="Open Sans Light" w:hAnsi="Open Sans Light" w:cs="Open Sans Light"/>
          <w:b/>
          <w:color w:val="303AB2"/>
        </w:rPr>
        <w:lastRenderedPageBreak/>
        <w:t>Departamento Comunicación Fotocasa</w:t>
      </w:r>
      <w:r w:rsidR="0071335C" w:rsidRPr="00491209">
        <w:rPr>
          <w:rFonts w:ascii="Open Sans Light" w:eastAsia="Open Sans Light" w:hAnsi="Open Sans Light" w:cs="Open Sans Light"/>
          <w:b/>
          <w:color w:val="303AB2"/>
        </w:rPr>
        <w:t xml:space="preserve"> </w:t>
      </w:r>
      <w:proofErr w:type="spellStart"/>
      <w:r w:rsidR="0071335C" w:rsidRPr="00491209">
        <w:rPr>
          <w:rFonts w:ascii="Open Sans Light" w:eastAsia="Open Sans Light" w:hAnsi="Open Sans Light" w:cs="Open Sans Light"/>
          <w:b/>
          <w:color w:val="303AB2"/>
        </w:rPr>
        <w:t>Group</w:t>
      </w:r>
      <w:proofErr w:type="spellEnd"/>
    </w:p>
    <w:p w14:paraId="584BF154" w14:textId="77777777" w:rsidR="00491209" w:rsidRDefault="00491209">
      <w:pPr>
        <w:shd w:val="clear" w:color="auto" w:fill="FFFFFF"/>
        <w:spacing w:line="276" w:lineRule="auto"/>
        <w:rPr>
          <w:rFonts w:ascii="Open Sans" w:eastAsia="Open Sans" w:hAnsi="Open Sans" w:cs="Open Sans"/>
          <w:b/>
          <w:color w:val="000000"/>
          <w:sz w:val="22"/>
          <w:szCs w:val="22"/>
        </w:rPr>
      </w:pPr>
    </w:p>
    <w:p w14:paraId="05F06F1F" w14:textId="2183CC93" w:rsidR="00324DB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3E3B9BF" w14:textId="77777777" w:rsidR="00324DB6" w:rsidRDefault="00324DB6">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0259CB27" w14:textId="77777777" w:rsidR="00324DB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24DB6">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2D90C" w14:textId="77777777" w:rsidR="004E0F31" w:rsidRDefault="004E0F31">
      <w:r>
        <w:separator/>
      </w:r>
    </w:p>
  </w:endnote>
  <w:endnote w:type="continuationSeparator" w:id="0">
    <w:p w14:paraId="548C71D1" w14:textId="77777777" w:rsidR="004E0F31" w:rsidRDefault="004E0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4D9729-7D79-48F2-B0A1-1768B365A3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5E9CB5-A881-4438-9E7B-9FF17C655213}"/>
    <w:embedBold r:id="rId3" w:fontKey="{3C4CF965-F592-4562-828E-E6F1E5CA6BD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94C634C-CC23-4FFF-9E1B-39A5BB1B7AC7}"/>
  </w:font>
  <w:font w:name="Georgia">
    <w:panose1 w:val="02040502050405020303"/>
    <w:charset w:val="00"/>
    <w:family w:val="roman"/>
    <w:pitch w:val="variable"/>
    <w:sig w:usb0="00000287" w:usb1="00000000" w:usb2="00000000" w:usb3="00000000" w:csb0="0000009F" w:csb1="00000000"/>
    <w:embedRegular r:id="rId5" w:fontKey="{799C6F96-3D1E-49C6-95A0-AE4B01227F12}"/>
    <w:embedItalic r:id="rId6" w:fontKey="{67DEDAA5-D912-4A28-9767-8916A7C760F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A9181C4-4C86-4D3C-A609-6DF64AE645B5}"/>
    <w:embedBold r:id="rId8" w:fontKey="{2CF8CF8E-8064-47D1-AA8D-B6CEB7A60143}"/>
  </w:font>
  <w:font w:name="Open Sans Light">
    <w:charset w:val="00"/>
    <w:family w:val="swiss"/>
    <w:pitch w:val="variable"/>
    <w:sig w:usb0="E00002EF" w:usb1="4000205B" w:usb2="00000028" w:usb3="00000000" w:csb0="0000019F" w:csb1="00000000"/>
    <w:embedRegular r:id="rId9" w:fontKey="{169D979A-4BD6-4175-AF11-80402C199493}"/>
    <w:embedBold r:id="rId10" w:fontKey="{DDE3465C-9DB9-45C8-AC8A-770370C32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4A3F" w14:textId="77777777" w:rsidR="00324DB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03056A1" wp14:editId="69783B52">
          <wp:simplePos x="0" y="0"/>
          <wp:positionH relativeFrom="column">
            <wp:posOffset>-1068045</wp:posOffset>
          </wp:positionH>
          <wp:positionV relativeFrom="paragraph">
            <wp:posOffset>174608</wp:posOffset>
          </wp:positionV>
          <wp:extent cx="7670550" cy="451315"/>
          <wp:effectExtent l="0" t="0" r="0" b="0"/>
          <wp:wrapNone/>
          <wp:docPr id="20745428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89AAA" w14:textId="77777777" w:rsidR="004E0F31" w:rsidRDefault="004E0F31">
      <w:r>
        <w:separator/>
      </w:r>
    </w:p>
  </w:footnote>
  <w:footnote w:type="continuationSeparator" w:id="0">
    <w:p w14:paraId="4A9F930B" w14:textId="77777777" w:rsidR="004E0F31" w:rsidRDefault="004E0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A7106"/>
    <w:multiLevelType w:val="multilevel"/>
    <w:tmpl w:val="6BC4C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1418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DB6"/>
    <w:rsid w:val="00033D22"/>
    <w:rsid w:val="00056A92"/>
    <w:rsid w:val="00324DB6"/>
    <w:rsid w:val="003B4616"/>
    <w:rsid w:val="00491209"/>
    <w:rsid w:val="004E0F31"/>
    <w:rsid w:val="0062049E"/>
    <w:rsid w:val="0071335C"/>
    <w:rsid w:val="00D503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B5674"/>
  <w15:docId w15:val="{9CFBF077-019E-48D5-B93B-B84AC5C32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s36360.pcdn.co/wp-content/uploads/2025/09/Informe-Experiencia-en-compra-en-2025.pdf"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70A2shGQqe20ZdQdeCk0VbBg==">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1078</Words>
  <Characters>5933</Characters>
  <Application>Microsoft Office Word</Application>
  <DocSecurity>0</DocSecurity>
  <Lines>49</Lines>
  <Paragraphs>13</Paragraphs>
  <ScaleCrop>false</ScaleCrop>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cp:lastPrinted>2025-10-22T08:10:00Z</cp:lastPrinted>
  <dcterms:created xsi:type="dcterms:W3CDTF">2024-02-06T13:46:00Z</dcterms:created>
  <dcterms:modified xsi:type="dcterms:W3CDTF">2025-11-19T09:41:00Z</dcterms:modified>
</cp:coreProperties>
</file>