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54C2C" w14:textId="77777777" w:rsidR="00850DCD" w:rsidRDefault="00000000">
      <w:r>
        <w:rPr>
          <w:noProof/>
        </w:rPr>
        <w:drawing>
          <wp:anchor distT="0" distB="0" distL="114300" distR="114300" simplePos="0" relativeHeight="251658240" behindDoc="0" locked="0" layoutInCell="1" hidden="0" allowOverlap="1" wp14:anchorId="567AD7A5" wp14:editId="41AFC15D">
            <wp:simplePos x="0" y="0"/>
            <wp:positionH relativeFrom="column">
              <wp:posOffset>-1080115</wp:posOffset>
            </wp:positionH>
            <wp:positionV relativeFrom="paragraph">
              <wp:posOffset>-654664</wp:posOffset>
            </wp:positionV>
            <wp:extent cx="7581265" cy="1019175"/>
            <wp:effectExtent l="0" t="0" r="0" b="0"/>
            <wp:wrapNone/>
            <wp:docPr id="21211871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9480F8B" w14:textId="77777777" w:rsidR="00850DCD" w:rsidRDefault="00850DCD">
      <w:pPr>
        <w:rPr>
          <w:rFonts w:ascii="National" w:eastAsia="National" w:hAnsi="National" w:cs="National"/>
          <w:color w:val="303AB2"/>
          <w:sz w:val="18"/>
          <w:szCs w:val="18"/>
        </w:rPr>
      </w:pPr>
    </w:p>
    <w:p w14:paraId="5C894659" w14:textId="77777777" w:rsidR="00850DCD" w:rsidRDefault="00850DCD">
      <w:pPr>
        <w:jc w:val="center"/>
        <w:rPr>
          <w:rFonts w:ascii="National" w:eastAsia="National" w:hAnsi="National" w:cs="National"/>
          <w:b/>
          <w:bCs/>
          <w:color w:val="1DBDC5"/>
          <w:sz w:val="34"/>
          <w:szCs w:val="34"/>
        </w:rPr>
      </w:pPr>
    </w:p>
    <w:p w14:paraId="195CB21B" w14:textId="77777777" w:rsidR="00850DCD" w:rsidRDefault="00000000">
      <w:pPr>
        <w:jc w:val="center"/>
        <w:rPr>
          <w:rFonts w:ascii="National" w:eastAsia="National" w:hAnsi="National" w:cs="National"/>
          <w:b/>
          <w:bCs/>
          <w:color w:val="1DBDC5"/>
          <w:sz w:val="40"/>
          <w:szCs w:val="40"/>
        </w:rPr>
      </w:pPr>
      <w:r>
        <w:rPr>
          <w:rFonts w:ascii="National" w:eastAsia="National" w:hAnsi="National" w:cs="National"/>
          <w:b/>
          <w:bCs/>
          <w:color w:val="1DBDC5"/>
          <w:sz w:val="40"/>
          <w:szCs w:val="40"/>
        </w:rPr>
        <w:t>ANÁLISIS OPINIÓN LEY DE VIVIENDA</w:t>
      </w:r>
    </w:p>
    <w:p w14:paraId="14296D42" w14:textId="77777777" w:rsidR="00850DCD" w:rsidRDefault="00000000">
      <w:pPr>
        <w:jc w:val="center"/>
        <w:rPr>
          <w:rFonts w:ascii="National" w:eastAsia="National" w:hAnsi="National" w:cs="National"/>
          <w:b/>
          <w:bCs/>
          <w:color w:val="303AB2"/>
          <w:sz w:val="50"/>
          <w:szCs w:val="50"/>
          <w:highlight w:val="yellow"/>
        </w:rPr>
      </w:pPr>
      <w:r>
        <w:rPr>
          <w:rFonts w:ascii="National" w:eastAsia="National" w:hAnsi="National" w:cs="National"/>
          <w:b/>
          <w:bCs/>
          <w:color w:val="303AB2"/>
          <w:sz w:val="50"/>
          <w:szCs w:val="50"/>
        </w:rPr>
        <w:t>Se incrementa el pesimismo respecto a los efectos de la ley de vivienda</w:t>
      </w:r>
    </w:p>
    <w:p w14:paraId="14514057" w14:textId="77777777" w:rsidR="00850DCD" w:rsidRDefault="00850DCD">
      <w:pPr>
        <w:rPr>
          <w:rFonts w:ascii="Open Sans" w:eastAsia="Open Sans" w:hAnsi="Open Sans" w:cs="Open Sans"/>
          <w:color w:val="303AB2"/>
          <w:highlight w:val="yellow"/>
        </w:rPr>
      </w:pPr>
    </w:p>
    <w:p w14:paraId="0C1E0866" w14:textId="77777777" w:rsidR="00850DCD" w:rsidRDefault="00000000">
      <w:pPr>
        <w:numPr>
          <w:ilvl w:val="0"/>
          <w:numId w:val="1"/>
        </w:numP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 xml:space="preserve">Únicamente el 16% de los inquilinos consideran que con la regulación es más fácil alquilar una vivienda </w:t>
      </w:r>
    </w:p>
    <w:p w14:paraId="7734ECC5" w14:textId="77777777" w:rsidR="00850DCD" w:rsidRDefault="00000000">
      <w:pPr>
        <w:numPr>
          <w:ilvl w:val="0"/>
          <w:numId w:val="1"/>
        </w:numP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En seis meses suben 6 puntos porcentuales, hasta el 54%, los arrendadores que creen que la ley dificulta sus objetivos de arrendamiento</w:t>
      </w:r>
    </w:p>
    <w:p w14:paraId="446C38DA" w14:textId="77777777" w:rsidR="00850DCD"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Respecto a la compra de una vivienda, el 41% asegura que la ley lo pone más difícil</w:t>
      </w:r>
    </w:p>
    <w:p w14:paraId="06CDE3A2" w14:textId="77777777" w:rsidR="00850DCD" w:rsidRDefault="00850DCD">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23A26890" w14:textId="77777777" w:rsidR="00850DCD" w:rsidRDefault="00000000">
      <w:p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20 de noviembre de 2025</w:t>
      </w:r>
    </w:p>
    <w:p w14:paraId="28922452" w14:textId="77777777" w:rsidR="00850DCD" w:rsidRDefault="00850DCD">
      <w:pPr>
        <w:pBdr>
          <w:top w:val="nil"/>
          <w:left w:val="nil"/>
          <w:bottom w:val="nil"/>
          <w:right w:val="nil"/>
          <w:between w:val="nil"/>
        </w:pBdr>
        <w:spacing w:line="276" w:lineRule="auto"/>
        <w:jc w:val="both"/>
        <w:rPr>
          <w:rFonts w:ascii="Open Sans" w:eastAsia="Open Sans" w:hAnsi="Open Sans" w:cs="Open Sans"/>
        </w:rPr>
      </w:pPr>
    </w:p>
    <w:p w14:paraId="0988269F" w14:textId="1CAA987C" w:rsidR="00850DC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Dos años y seis meses después de la aprobación de la ley de vivienda,</w:t>
      </w:r>
      <w:r>
        <w:rPr>
          <w:rFonts w:ascii="Open Sans" w:eastAsia="Open Sans" w:hAnsi="Open Sans" w:cs="Open Sans"/>
          <w:b/>
          <w:bCs/>
        </w:rPr>
        <w:t xml:space="preserve"> se incrementa el pesimismo respecto a los efectos de la norma</w:t>
      </w:r>
      <w:r>
        <w:rPr>
          <w:rFonts w:ascii="Open Sans" w:eastAsia="Open Sans" w:hAnsi="Open Sans" w:cs="Open Sans"/>
        </w:rPr>
        <w:t xml:space="preserve">. En este sentido, en la opinión de los particulares en general sobre si la norma favorece o dificulta la ejecución de acciones en el mercado, predomina la segunda opción. Es la principal conclusión que nos deja el análisis </w:t>
      </w:r>
      <w:r>
        <w:rPr>
          <w:rFonts w:ascii="Open Sans" w:eastAsia="Open Sans" w:hAnsi="Open Sans" w:cs="Open Sans"/>
          <w:i/>
          <w:iCs/>
        </w:rPr>
        <w:t>“</w:t>
      </w:r>
      <w:r w:rsidR="00662960">
        <w:rPr>
          <w:rFonts w:ascii="Open Sans" w:eastAsia="Open Sans" w:hAnsi="Open Sans" w:cs="Open Sans"/>
          <w:b/>
          <w:bCs/>
          <w:i/>
          <w:iCs/>
        </w:rPr>
        <w:t>Conocimiento y</w:t>
      </w:r>
      <w:r>
        <w:rPr>
          <w:rFonts w:ascii="Open Sans" w:eastAsia="Open Sans" w:hAnsi="Open Sans" w:cs="Open Sans"/>
          <w:b/>
          <w:bCs/>
          <w:i/>
          <w:iCs/>
        </w:rPr>
        <w:t xml:space="preserve"> opinión de la ley de vivienda</w:t>
      </w:r>
      <w:r>
        <w:rPr>
          <w:rFonts w:ascii="Open Sans" w:eastAsia="Open Sans" w:hAnsi="Open Sans" w:cs="Open Sans"/>
          <w:i/>
          <w:iCs/>
        </w:rPr>
        <w:t>”</w:t>
      </w:r>
      <w:r>
        <w:rPr>
          <w:rFonts w:ascii="Open Sans" w:eastAsia="Open Sans" w:hAnsi="Open Sans" w:cs="Open Sans"/>
        </w:rPr>
        <w:t xml:space="preserve"> de </w:t>
      </w:r>
      <w:hyperlink r:id="rId9">
        <w:r>
          <w:rPr>
            <w:rFonts w:ascii="Open Sans" w:eastAsia="Open Sans" w:hAnsi="Open Sans" w:cs="Open Sans"/>
            <w:color w:val="1155CC"/>
            <w:u w:val="single"/>
          </w:rPr>
          <w:t>Fotocasa Research</w:t>
        </w:r>
      </w:hyperlink>
      <w:r>
        <w:rPr>
          <w:rFonts w:ascii="Open Sans" w:eastAsia="Open Sans" w:hAnsi="Open Sans" w:cs="Open Sans"/>
        </w:rPr>
        <w:t xml:space="preserve"> a partir de encuestas realizadas en septiembre de 2025.</w:t>
      </w:r>
    </w:p>
    <w:p w14:paraId="473E6A84" w14:textId="77777777" w:rsidR="00850DCD" w:rsidRDefault="00850DCD">
      <w:pPr>
        <w:pBdr>
          <w:top w:val="nil"/>
          <w:left w:val="nil"/>
          <w:bottom w:val="nil"/>
          <w:right w:val="nil"/>
          <w:between w:val="nil"/>
        </w:pBdr>
        <w:spacing w:line="276" w:lineRule="auto"/>
        <w:jc w:val="both"/>
        <w:rPr>
          <w:rFonts w:ascii="Open Sans" w:eastAsia="Open Sans" w:hAnsi="Open Sans" w:cs="Open Sans"/>
        </w:rPr>
      </w:pPr>
    </w:p>
    <w:p w14:paraId="4089321B" w14:textId="77777777" w:rsidR="00850DCD" w:rsidRDefault="00000000">
      <w:pPr>
        <w:spacing w:line="276" w:lineRule="auto"/>
        <w:jc w:val="both"/>
        <w:rPr>
          <w:rFonts w:ascii="Open Sans" w:eastAsia="Open Sans" w:hAnsi="Open Sans" w:cs="Open Sans"/>
          <w:b/>
          <w:bCs/>
        </w:rPr>
      </w:pPr>
      <w:r>
        <w:rPr>
          <w:rFonts w:ascii="Open Sans" w:eastAsia="Open Sans" w:hAnsi="Open Sans" w:cs="Open Sans"/>
        </w:rPr>
        <w:t xml:space="preserve">Si situamos el foco sobre el mercado del alquiler, se observa que </w:t>
      </w:r>
      <w:r>
        <w:rPr>
          <w:rFonts w:ascii="Open Sans" w:eastAsia="Open Sans" w:hAnsi="Open Sans" w:cs="Open Sans"/>
          <w:b/>
          <w:bCs/>
        </w:rPr>
        <w:t>únicamente el 16% considera que con la regulación es más fácil alquilar una vivienda como inquilino</w:t>
      </w:r>
      <w:r>
        <w:rPr>
          <w:rFonts w:ascii="Open Sans" w:eastAsia="Open Sans" w:hAnsi="Open Sans" w:cs="Open Sans"/>
        </w:rPr>
        <w:t xml:space="preserve">. Se trata del mismo porcentaje que en febrero y en agosto del año anterior. Considerando que abordamos el colectivo del mercado más concernido por la norma, este estancamiento en niveles tan bajos de impacto positivo resulta muy revelador. De manera equivalente, la idea general (42%, dos puntos menos que en febrero, y el mismo porcentaje que en agosto de 2024) es que </w:t>
      </w:r>
      <w:r>
        <w:rPr>
          <w:rFonts w:ascii="Open Sans" w:eastAsia="Open Sans" w:hAnsi="Open Sans" w:cs="Open Sans"/>
          <w:b/>
          <w:bCs/>
        </w:rPr>
        <w:t>la ley de la vivienda dificulta la búsqueda de alquiler de una vivienda.</w:t>
      </w:r>
    </w:p>
    <w:p w14:paraId="6A53FBB7" w14:textId="77777777" w:rsidR="00850DCD" w:rsidRDefault="00850DCD">
      <w:pPr>
        <w:spacing w:line="276" w:lineRule="auto"/>
        <w:jc w:val="both"/>
        <w:rPr>
          <w:rFonts w:ascii="Open Sans" w:eastAsia="Open Sans" w:hAnsi="Open Sans" w:cs="Open Sans"/>
          <w:b/>
          <w:bCs/>
        </w:rPr>
      </w:pPr>
    </w:p>
    <w:p w14:paraId="32EC8761" w14:textId="77777777" w:rsidR="00850DCD" w:rsidRDefault="00000000">
      <w:pPr>
        <w:spacing w:line="276" w:lineRule="auto"/>
        <w:jc w:val="both"/>
        <w:rPr>
          <w:rFonts w:ascii="Open Sans" w:eastAsia="Open Sans" w:hAnsi="Open Sans" w:cs="Open Sans"/>
        </w:rPr>
      </w:pPr>
      <w:r>
        <w:rPr>
          <w:rFonts w:ascii="Open Sans" w:eastAsia="Open Sans" w:hAnsi="Open Sans" w:cs="Open Sans"/>
        </w:rPr>
        <w:t xml:space="preserve">Esta percepción de que </w:t>
      </w:r>
      <w:r>
        <w:rPr>
          <w:rFonts w:ascii="Open Sans" w:eastAsia="Open Sans" w:hAnsi="Open Sans" w:cs="Open Sans"/>
          <w:b/>
          <w:bCs/>
        </w:rPr>
        <w:t>la norma pone trabas al alquiler como inquilino se observa especialmente entre los segmentos más jóvenes</w:t>
      </w:r>
      <w:r>
        <w:rPr>
          <w:rFonts w:ascii="Open Sans" w:eastAsia="Open Sans" w:hAnsi="Open Sans" w:cs="Open Sans"/>
        </w:rPr>
        <w:t xml:space="preserve">, tanto en los que cuentan entre 18 y 24 años (39%, frente al 35% de un año antes y el 38% de </w:t>
      </w:r>
      <w:r>
        <w:rPr>
          <w:rFonts w:ascii="Open Sans" w:eastAsia="Open Sans" w:hAnsi="Open Sans" w:cs="Open Sans"/>
        </w:rPr>
        <w:lastRenderedPageBreak/>
        <w:t xml:space="preserve">febrero) como en el segmento inmediatamente superior (25-34 años), que lo consideran así en el 45% de los casos frente al 43% de seis meses antes. </w:t>
      </w:r>
    </w:p>
    <w:p w14:paraId="37125D4B" w14:textId="77777777" w:rsidR="00850DCD" w:rsidRDefault="00850DCD">
      <w:pPr>
        <w:spacing w:line="276" w:lineRule="auto"/>
        <w:jc w:val="both"/>
        <w:rPr>
          <w:rFonts w:ascii="Open Sans" w:eastAsia="Open Sans" w:hAnsi="Open Sans" w:cs="Open Sans"/>
        </w:rPr>
      </w:pPr>
    </w:p>
    <w:p w14:paraId="5691E3E8" w14:textId="77777777" w:rsidR="00850DCD" w:rsidRDefault="00000000">
      <w:pPr>
        <w:spacing w:line="276" w:lineRule="auto"/>
        <w:jc w:val="both"/>
        <w:rPr>
          <w:rFonts w:ascii="Open Sans" w:eastAsia="Open Sans" w:hAnsi="Open Sans" w:cs="Open Sans"/>
        </w:rPr>
      </w:pPr>
      <w:r>
        <w:rPr>
          <w:rFonts w:ascii="Open Sans" w:eastAsia="Open Sans" w:hAnsi="Open Sans" w:cs="Open Sans"/>
          <w:noProof/>
        </w:rPr>
        <w:drawing>
          <wp:inline distT="0" distB="0" distL="0" distR="0" wp14:anchorId="0E99E042" wp14:editId="1C5BDF53">
            <wp:extent cx="5737860" cy="2476500"/>
            <wp:effectExtent l="0" t="0" r="0" b="0"/>
            <wp:docPr id="2121187121" name="image5.png" descr="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Gráfico de barras&#10;&#10;El contenido generado por IA puede ser incorrecto."/>
                    <pic:cNvPicPr preferRelativeResize="0"/>
                  </pic:nvPicPr>
                  <pic:blipFill>
                    <a:blip r:embed="rId10"/>
                    <a:srcRect/>
                    <a:stretch>
                      <a:fillRect/>
                    </a:stretch>
                  </pic:blipFill>
                  <pic:spPr>
                    <a:xfrm>
                      <a:off x="0" y="0"/>
                      <a:ext cx="5738567" cy="2476805"/>
                    </a:xfrm>
                    <a:prstGeom prst="rect">
                      <a:avLst/>
                    </a:prstGeom>
                    <a:ln/>
                  </pic:spPr>
                </pic:pic>
              </a:graphicData>
            </a:graphic>
          </wp:inline>
        </w:drawing>
      </w:r>
    </w:p>
    <w:p w14:paraId="35E11712" w14:textId="77777777" w:rsidR="00850DCD" w:rsidRDefault="00850DCD">
      <w:pPr>
        <w:spacing w:line="276" w:lineRule="auto"/>
        <w:jc w:val="both"/>
        <w:rPr>
          <w:rFonts w:ascii="Open Sans" w:eastAsia="Open Sans" w:hAnsi="Open Sans" w:cs="Open Sans"/>
        </w:rPr>
      </w:pPr>
    </w:p>
    <w:p w14:paraId="173ED493" w14:textId="77777777" w:rsidR="00850DCD" w:rsidRDefault="00000000">
      <w:pPr>
        <w:spacing w:line="276" w:lineRule="auto"/>
        <w:jc w:val="both"/>
        <w:rPr>
          <w:rFonts w:ascii="Open Sans" w:eastAsia="Open Sans" w:hAnsi="Open Sans" w:cs="Open Sans"/>
        </w:rPr>
      </w:pPr>
      <w:r>
        <w:rPr>
          <w:rFonts w:ascii="Open Sans" w:eastAsia="Open Sans" w:hAnsi="Open Sans" w:cs="Open Sans"/>
        </w:rPr>
        <w:t xml:space="preserve">Desde </w:t>
      </w:r>
      <w:r>
        <w:rPr>
          <w:rFonts w:ascii="Open Sans" w:eastAsia="Open Sans" w:hAnsi="Open Sans" w:cs="Open Sans"/>
          <w:b/>
          <w:bCs/>
        </w:rPr>
        <w:t>la perspectiva de los arrendadores</w:t>
      </w:r>
      <w:r>
        <w:rPr>
          <w:rFonts w:ascii="Open Sans" w:eastAsia="Open Sans" w:hAnsi="Open Sans" w:cs="Open Sans"/>
        </w:rPr>
        <w:t xml:space="preserve"> también prevalece la percepción negativa: un 42 % cree que será más difícil alquilar a otros una vivienda de su propiedad y un 13 % considera que será más sencillo.</w:t>
      </w:r>
    </w:p>
    <w:p w14:paraId="606DC65F" w14:textId="77777777" w:rsidR="00850DCD" w:rsidRDefault="00850DCD">
      <w:pPr>
        <w:pBdr>
          <w:top w:val="nil"/>
          <w:left w:val="nil"/>
          <w:bottom w:val="nil"/>
          <w:right w:val="nil"/>
          <w:between w:val="nil"/>
        </w:pBdr>
        <w:spacing w:line="276" w:lineRule="auto"/>
        <w:jc w:val="both"/>
        <w:rPr>
          <w:rFonts w:ascii="Open Sans" w:eastAsia="Open Sans" w:hAnsi="Open Sans" w:cs="Open Sans"/>
        </w:rPr>
      </w:pPr>
    </w:p>
    <w:p w14:paraId="61821AD7" w14:textId="77777777" w:rsidR="009C38B2" w:rsidRDefault="00000000" w:rsidP="009C38B2">
      <w:pPr>
        <w:spacing w:line="276" w:lineRule="auto"/>
        <w:jc w:val="both"/>
        <w:rPr>
          <w:rFonts w:ascii="Open Sans" w:eastAsia="Open Sans" w:hAnsi="Open Sans" w:cs="Open Sans"/>
        </w:rPr>
      </w:pPr>
      <w:r>
        <w:rPr>
          <w:rFonts w:ascii="Open Sans" w:eastAsia="Open Sans" w:hAnsi="Open Sans" w:cs="Open Sans"/>
          <w:noProof/>
        </w:rPr>
        <w:drawing>
          <wp:inline distT="0" distB="0" distL="0" distR="0" wp14:anchorId="7FED97CA" wp14:editId="46DD9198">
            <wp:extent cx="5661660" cy="2316480"/>
            <wp:effectExtent l="0" t="0" r="0" b="7620"/>
            <wp:docPr id="2121187125" name="image6.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6.png" descr="Gráfico, Gráfico de barras&#10;&#10;El contenido generado por IA puede ser incorrecto."/>
                    <pic:cNvPicPr preferRelativeResize="0"/>
                  </pic:nvPicPr>
                  <pic:blipFill>
                    <a:blip r:embed="rId11"/>
                    <a:srcRect/>
                    <a:stretch>
                      <a:fillRect/>
                    </a:stretch>
                  </pic:blipFill>
                  <pic:spPr>
                    <a:xfrm>
                      <a:off x="0" y="0"/>
                      <a:ext cx="5661985" cy="2316613"/>
                    </a:xfrm>
                    <a:prstGeom prst="rect">
                      <a:avLst/>
                    </a:prstGeom>
                    <a:ln/>
                  </pic:spPr>
                </pic:pic>
              </a:graphicData>
            </a:graphic>
          </wp:inline>
        </w:drawing>
      </w:r>
    </w:p>
    <w:p w14:paraId="3017EDF0" w14:textId="77777777" w:rsidR="009C38B2" w:rsidRDefault="009C38B2" w:rsidP="009C38B2">
      <w:pPr>
        <w:spacing w:line="276" w:lineRule="auto"/>
        <w:jc w:val="both"/>
        <w:rPr>
          <w:rFonts w:ascii="Open Sans" w:eastAsia="Open Sans" w:hAnsi="Open Sans" w:cs="Open Sans"/>
        </w:rPr>
      </w:pPr>
    </w:p>
    <w:p w14:paraId="744BE599" w14:textId="574C95B4" w:rsidR="00850DCD" w:rsidRPr="009C38B2" w:rsidRDefault="00000000" w:rsidP="009C38B2">
      <w:pPr>
        <w:spacing w:line="276" w:lineRule="auto"/>
        <w:jc w:val="both"/>
        <w:rPr>
          <w:rFonts w:ascii="Open Sans" w:eastAsia="Open Sans" w:hAnsi="Open Sans" w:cs="Open Sans"/>
        </w:rPr>
      </w:pPr>
      <w:r>
        <w:rPr>
          <w:rFonts w:ascii="Open Sans" w:eastAsia="Open Sans" w:hAnsi="Open Sans" w:cs="Open Sans"/>
        </w:rPr>
        <w:t xml:space="preserve">“La ley nació con objetivos muy nobles, como equilibrar el mercado y reducir el precio de la vivienda. Pero las medidas aplicadas no han generado el efecto esperado. Probablemente por un diagnóstico erróneo, que desplaza hacia los propietarios responsabilidades que corresponden a la administración, el mercado ha respondido con una fuerte contracción de la oferta. Herramientas como las zonas tensionadas pueden funcionar en contextos de parque público, pero cuando se aplican sin medidas que impulsen la construcción, incentiven la oferta y aporten seguridad a ambas partes, el objetivo de abaratar la vivienda se vuelve </w:t>
      </w:r>
      <w:r>
        <w:rPr>
          <w:rFonts w:ascii="Open Sans" w:eastAsia="Open Sans" w:hAnsi="Open Sans" w:cs="Open Sans"/>
        </w:rPr>
        <w:lastRenderedPageBreak/>
        <w:t xml:space="preserve">prácticamente inalcanzable”, </w:t>
      </w:r>
      <w:r>
        <w:rPr>
          <w:rFonts w:ascii="Open Sans" w:eastAsia="Open Sans" w:hAnsi="Open Sans" w:cs="Open Sans"/>
          <w:b/>
          <w:bCs/>
        </w:rPr>
        <w:t xml:space="preserve">explica María Matos directora de Estudios y portavoz de </w:t>
      </w:r>
      <w:hyperlink r:id="rId12">
        <w:r>
          <w:rPr>
            <w:rFonts w:ascii="Open Sans" w:eastAsia="Open Sans" w:hAnsi="Open Sans" w:cs="Open Sans"/>
            <w:b/>
            <w:bCs/>
            <w:color w:val="1155CC"/>
            <w:u w:val="single"/>
          </w:rPr>
          <w:t>Fotocasa</w:t>
        </w:r>
      </w:hyperlink>
      <w:r>
        <w:rPr>
          <w:rFonts w:ascii="Open Sans" w:eastAsia="Open Sans" w:hAnsi="Open Sans" w:cs="Open Sans"/>
          <w:b/>
          <w:bCs/>
        </w:rPr>
        <w:t>.</w:t>
      </w:r>
    </w:p>
    <w:p w14:paraId="1EB41259" w14:textId="77777777" w:rsidR="00850DCD" w:rsidRDefault="00850DCD">
      <w:pPr>
        <w:pBdr>
          <w:top w:val="nil"/>
          <w:left w:val="nil"/>
          <w:bottom w:val="nil"/>
          <w:right w:val="nil"/>
          <w:between w:val="nil"/>
        </w:pBdr>
        <w:spacing w:line="276" w:lineRule="auto"/>
        <w:jc w:val="both"/>
        <w:rPr>
          <w:rFonts w:ascii="Open Sans" w:eastAsia="Open Sans" w:hAnsi="Open Sans" w:cs="Open Sans"/>
        </w:rPr>
      </w:pPr>
    </w:p>
    <w:p w14:paraId="7D30AC3B" w14:textId="77777777" w:rsidR="00850DC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ejemplo, acerca de la compra de una vivienda, </w:t>
      </w:r>
      <w:r>
        <w:rPr>
          <w:rFonts w:ascii="Open Sans" w:eastAsia="Open Sans" w:hAnsi="Open Sans" w:cs="Open Sans"/>
          <w:b/>
          <w:bCs/>
        </w:rPr>
        <w:t>el 41% (tres puntos porcentuales más que seis meses antes y dos que un año atrás), cree que la disposición lo pone más difícil</w:t>
      </w:r>
      <w:r>
        <w:rPr>
          <w:rFonts w:ascii="Open Sans" w:eastAsia="Open Sans" w:hAnsi="Open Sans" w:cs="Open Sans"/>
        </w:rPr>
        <w:t>. Frente a estos, únicamente un 11% (en febrero eran el 10%) opinan que el escenario es ahora más sencillo.</w:t>
      </w:r>
    </w:p>
    <w:p w14:paraId="4F4C53B6" w14:textId="77777777" w:rsidR="00850DCD" w:rsidRDefault="00850DCD">
      <w:pPr>
        <w:pBdr>
          <w:top w:val="nil"/>
          <w:left w:val="nil"/>
          <w:bottom w:val="nil"/>
          <w:right w:val="nil"/>
          <w:between w:val="nil"/>
        </w:pBdr>
        <w:spacing w:line="276" w:lineRule="auto"/>
        <w:jc w:val="both"/>
        <w:rPr>
          <w:rFonts w:ascii="Open Sans" w:eastAsia="Open Sans" w:hAnsi="Open Sans" w:cs="Open Sans"/>
        </w:rPr>
      </w:pPr>
    </w:p>
    <w:p w14:paraId="3E3445C2" w14:textId="77777777" w:rsidR="00850DCD" w:rsidRDefault="00000000" w:rsidP="009C38B2">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noProof/>
        </w:rPr>
        <w:drawing>
          <wp:inline distT="0" distB="0" distL="0" distR="0" wp14:anchorId="685C7508" wp14:editId="44BF0A6C">
            <wp:extent cx="5585460" cy="2400300"/>
            <wp:effectExtent l="0" t="0" r="0" b="0"/>
            <wp:docPr id="2121187127" name="image2.png" descr="Imagen que contiene 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Imagen que contiene Gráfico&#10;&#10;El contenido generado por IA puede ser incorrecto."/>
                    <pic:cNvPicPr preferRelativeResize="0"/>
                  </pic:nvPicPr>
                  <pic:blipFill>
                    <a:blip r:embed="rId13"/>
                    <a:srcRect/>
                    <a:stretch>
                      <a:fillRect/>
                    </a:stretch>
                  </pic:blipFill>
                  <pic:spPr>
                    <a:xfrm>
                      <a:off x="0" y="0"/>
                      <a:ext cx="5585959" cy="2400514"/>
                    </a:xfrm>
                    <a:prstGeom prst="rect">
                      <a:avLst/>
                    </a:prstGeom>
                    <a:ln/>
                  </pic:spPr>
                </pic:pic>
              </a:graphicData>
            </a:graphic>
          </wp:inline>
        </w:drawing>
      </w:r>
    </w:p>
    <w:p w14:paraId="7664F8BE" w14:textId="77777777" w:rsidR="00850DCD" w:rsidRDefault="00850DCD">
      <w:pPr>
        <w:pBdr>
          <w:top w:val="nil"/>
          <w:left w:val="nil"/>
          <w:bottom w:val="nil"/>
          <w:right w:val="nil"/>
          <w:between w:val="nil"/>
        </w:pBdr>
        <w:spacing w:line="276" w:lineRule="auto"/>
        <w:jc w:val="both"/>
        <w:rPr>
          <w:rFonts w:ascii="Open Sans" w:eastAsia="Open Sans" w:hAnsi="Open Sans" w:cs="Open Sans"/>
        </w:rPr>
      </w:pPr>
    </w:p>
    <w:p w14:paraId="27CC0338" w14:textId="5E8DDB91" w:rsidR="00850DC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el contrario, </w:t>
      </w:r>
      <w:r>
        <w:rPr>
          <w:rFonts w:ascii="Open Sans" w:eastAsia="Open Sans" w:hAnsi="Open Sans" w:cs="Open Sans"/>
          <w:b/>
          <w:bCs/>
        </w:rPr>
        <w:t xml:space="preserve">sobre el objetivo de vender un inmueble, tan solo el 31% cree que la regulación complica las cosas </w:t>
      </w:r>
      <w:r>
        <w:rPr>
          <w:rFonts w:ascii="Open Sans" w:eastAsia="Open Sans" w:hAnsi="Open Sans" w:cs="Open Sans"/>
        </w:rPr>
        <w:t xml:space="preserve">(en la anterior encuesta fue idéntico porcentaje). También en este caso son más (15%, frente al 14% de seis meses antes y el 12% de agosto de 2024) los que consideran que la ley facilita esta operación. </w:t>
      </w:r>
    </w:p>
    <w:p w14:paraId="35C477A9" w14:textId="77777777" w:rsidR="009C38B2" w:rsidRDefault="009C38B2">
      <w:pPr>
        <w:pBdr>
          <w:top w:val="nil"/>
          <w:left w:val="nil"/>
          <w:bottom w:val="nil"/>
          <w:right w:val="nil"/>
          <w:between w:val="nil"/>
        </w:pBdr>
        <w:spacing w:line="276" w:lineRule="auto"/>
        <w:jc w:val="both"/>
        <w:rPr>
          <w:rFonts w:ascii="Open Sans" w:eastAsia="Open Sans" w:hAnsi="Open Sans" w:cs="Open Sans"/>
        </w:rPr>
      </w:pPr>
    </w:p>
    <w:p w14:paraId="58A439AF" w14:textId="77777777" w:rsidR="00850DCD" w:rsidRDefault="00000000" w:rsidP="009C38B2">
      <w:pPr>
        <w:pBdr>
          <w:top w:val="nil"/>
          <w:left w:val="nil"/>
          <w:bottom w:val="nil"/>
          <w:right w:val="nil"/>
          <w:between w:val="nil"/>
        </w:pBdr>
        <w:spacing w:line="276" w:lineRule="auto"/>
        <w:jc w:val="center"/>
        <w:rPr>
          <w:rFonts w:ascii="Open Sans Light" w:eastAsia="Open Sans Light" w:hAnsi="Open Sans Light" w:cs="Open Sans Light"/>
          <w:b/>
          <w:bCs/>
          <w:color w:val="303AB2"/>
          <w:sz w:val="26"/>
          <w:szCs w:val="26"/>
        </w:rPr>
      </w:pPr>
      <w:r>
        <w:rPr>
          <w:rFonts w:ascii="Open Sans" w:eastAsia="Open Sans" w:hAnsi="Open Sans" w:cs="Open Sans"/>
          <w:noProof/>
        </w:rPr>
        <w:drawing>
          <wp:inline distT="0" distB="0" distL="0" distR="0" wp14:anchorId="05BF2AA3" wp14:editId="30073E93">
            <wp:extent cx="5570220" cy="2468880"/>
            <wp:effectExtent l="0" t="0" r="0" b="7620"/>
            <wp:docPr id="2121187128" name="image4.png" descr="Imagen que contiene 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Imagen que contiene Gráfico&#10;&#10;El contenido generado por IA puede ser incorrecto."/>
                    <pic:cNvPicPr preferRelativeResize="0"/>
                  </pic:nvPicPr>
                  <pic:blipFill>
                    <a:blip r:embed="rId14"/>
                    <a:srcRect/>
                    <a:stretch>
                      <a:fillRect/>
                    </a:stretch>
                  </pic:blipFill>
                  <pic:spPr>
                    <a:xfrm>
                      <a:off x="0" y="0"/>
                      <a:ext cx="5570716" cy="2469100"/>
                    </a:xfrm>
                    <a:prstGeom prst="rect">
                      <a:avLst/>
                    </a:prstGeom>
                    <a:ln/>
                  </pic:spPr>
                </pic:pic>
              </a:graphicData>
            </a:graphic>
          </wp:inline>
        </w:drawing>
      </w:r>
    </w:p>
    <w:p w14:paraId="089E1E61" w14:textId="77777777" w:rsidR="009C38B2" w:rsidRDefault="009C38B2">
      <w:pPr>
        <w:pBdr>
          <w:top w:val="nil"/>
          <w:left w:val="nil"/>
          <w:bottom w:val="nil"/>
          <w:right w:val="nil"/>
          <w:between w:val="nil"/>
        </w:pBdr>
        <w:spacing w:line="276" w:lineRule="auto"/>
        <w:jc w:val="both"/>
        <w:rPr>
          <w:rFonts w:ascii="Open Sans" w:eastAsia="Open Sans" w:hAnsi="Open Sans" w:cs="Open Sans"/>
        </w:rPr>
      </w:pPr>
    </w:p>
    <w:p w14:paraId="2F45CD36" w14:textId="139C74BA" w:rsidR="00850DCD" w:rsidRDefault="00EF2A72">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w:t>
      </w:r>
      <w:r w:rsidR="00000000">
        <w:rPr>
          <w:rFonts w:ascii="Open Sans" w:eastAsia="Open Sans" w:hAnsi="Open Sans" w:cs="Open Sans"/>
        </w:rPr>
        <w:t xml:space="preserve">No podemos olvidar que los mercados de compraventa y alquiler funcionan como vasos comunicantes y cuando aumenta la presión en uno, inevitablemente se traslada al otro. Aunque el arrendamiento es el ámbito más impactado por la ley, determinadas medidas orientadas a la compra, como las obligaciones de información mínima en las operaciones, los recargos a las viviendas vacías o las prórrogas extraordinarias en los contratos de alquiler, también terminan incidiendo en el proceso de compraventa. El resultado, según los datos, es una mayor sensación de complejidad y de incertidumbre regulatoria, precisamente en un momento en el que el interés por comprar vivienda se encuentra en máximos”, </w:t>
      </w:r>
      <w:r w:rsidR="00000000" w:rsidRPr="00EF2A72">
        <w:rPr>
          <w:rFonts w:ascii="Open Sans" w:eastAsia="Open Sans" w:hAnsi="Open Sans" w:cs="Open Sans"/>
          <w:b/>
          <w:bCs/>
        </w:rPr>
        <w:t xml:space="preserve">comenta María Matos, directora de Estudios y portavoz de </w:t>
      </w:r>
      <w:hyperlink r:id="rId15">
        <w:r w:rsidR="00000000" w:rsidRPr="00EF2A72">
          <w:rPr>
            <w:rFonts w:ascii="Open Sans" w:eastAsia="Open Sans" w:hAnsi="Open Sans" w:cs="Open Sans"/>
            <w:b/>
            <w:bCs/>
            <w:color w:val="1155CC"/>
            <w:u w:val="single"/>
          </w:rPr>
          <w:t>Fotocasa</w:t>
        </w:r>
      </w:hyperlink>
      <w:r w:rsidR="00000000" w:rsidRPr="00EF2A72">
        <w:rPr>
          <w:rFonts w:ascii="Open Sans" w:eastAsia="Open Sans" w:hAnsi="Open Sans" w:cs="Open Sans"/>
          <w:b/>
          <w:bCs/>
        </w:rPr>
        <w:t>.</w:t>
      </w:r>
      <w:r w:rsidR="00000000">
        <w:rPr>
          <w:rFonts w:ascii="Open Sans" w:eastAsia="Open Sans" w:hAnsi="Open Sans" w:cs="Open Sans"/>
        </w:rPr>
        <w:t xml:space="preserve"> </w:t>
      </w:r>
    </w:p>
    <w:p w14:paraId="23DE53E8" w14:textId="77777777" w:rsidR="00850DCD" w:rsidRDefault="00850DCD">
      <w:pPr>
        <w:pBdr>
          <w:top w:val="nil"/>
          <w:left w:val="nil"/>
          <w:bottom w:val="nil"/>
          <w:right w:val="nil"/>
          <w:between w:val="nil"/>
        </w:pBdr>
        <w:spacing w:line="276" w:lineRule="auto"/>
        <w:jc w:val="both"/>
        <w:rPr>
          <w:rFonts w:ascii="Open Sans Light" w:eastAsia="Open Sans Light" w:hAnsi="Open Sans Light" w:cs="Open Sans Light"/>
          <w:b/>
          <w:bCs/>
          <w:color w:val="303AB2"/>
          <w:sz w:val="26"/>
          <w:szCs w:val="26"/>
        </w:rPr>
      </w:pPr>
    </w:p>
    <w:p w14:paraId="2345A31B" w14:textId="77777777" w:rsidR="00850DCD" w:rsidRDefault="00000000">
      <w:pPr>
        <w:pBdr>
          <w:top w:val="nil"/>
          <w:left w:val="nil"/>
          <w:bottom w:val="nil"/>
          <w:right w:val="nil"/>
          <w:between w:val="nil"/>
        </w:pBdr>
        <w:spacing w:line="276" w:lineRule="auto"/>
        <w:jc w:val="both"/>
        <w:rPr>
          <w:rFonts w:ascii="Open Sans Light" w:eastAsia="Open Sans Light" w:hAnsi="Open Sans Light" w:cs="Open Sans Light"/>
          <w:b/>
          <w:bCs/>
          <w:color w:val="303AB2"/>
          <w:sz w:val="26"/>
          <w:szCs w:val="26"/>
        </w:rPr>
      </w:pPr>
      <w:r>
        <w:rPr>
          <w:rFonts w:ascii="Open Sans Light" w:eastAsia="Open Sans Light" w:hAnsi="Open Sans Light" w:cs="Open Sans Light"/>
          <w:b/>
          <w:bCs/>
          <w:color w:val="303AB2"/>
          <w:sz w:val="26"/>
          <w:szCs w:val="26"/>
        </w:rPr>
        <w:t>Se incrementa el pesimismo de los vendedores respecto a hace seis meses</w:t>
      </w:r>
    </w:p>
    <w:p w14:paraId="418F02A6" w14:textId="77777777" w:rsidR="00850DCD" w:rsidRDefault="00850DCD">
      <w:pPr>
        <w:pBdr>
          <w:top w:val="nil"/>
          <w:left w:val="nil"/>
          <w:bottom w:val="nil"/>
          <w:right w:val="nil"/>
          <w:between w:val="nil"/>
        </w:pBdr>
        <w:spacing w:line="276" w:lineRule="auto"/>
        <w:jc w:val="both"/>
        <w:rPr>
          <w:rFonts w:ascii="Open Sans" w:eastAsia="Open Sans" w:hAnsi="Open Sans" w:cs="Open Sans"/>
        </w:rPr>
      </w:pPr>
    </w:p>
    <w:p w14:paraId="26656ADB" w14:textId="77777777" w:rsidR="00850DC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bCs/>
        </w:rPr>
        <w:t>La percepción negativa de la ley se extiende dentro del ámbito general de los particulares que participan en el mercado de la vivienda</w:t>
      </w:r>
      <w:r>
        <w:rPr>
          <w:rFonts w:ascii="Open Sans" w:eastAsia="Open Sans" w:hAnsi="Open Sans" w:cs="Open Sans"/>
        </w:rPr>
        <w:t>, pero también se observan diferencias cuando se desglosa el estudio por grupos o targets específicos en función de las acciones llevadas a cabo.</w:t>
      </w:r>
    </w:p>
    <w:p w14:paraId="1BC11127" w14:textId="77777777" w:rsidR="00850DCD" w:rsidRDefault="00850DCD">
      <w:pPr>
        <w:pBdr>
          <w:top w:val="nil"/>
          <w:left w:val="nil"/>
          <w:bottom w:val="nil"/>
          <w:right w:val="nil"/>
          <w:between w:val="nil"/>
        </w:pBdr>
        <w:spacing w:line="276" w:lineRule="auto"/>
        <w:jc w:val="both"/>
        <w:rPr>
          <w:rFonts w:ascii="Open Sans" w:eastAsia="Open Sans" w:hAnsi="Open Sans" w:cs="Open Sans"/>
        </w:rPr>
      </w:pPr>
    </w:p>
    <w:p w14:paraId="58BBC47B" w14:textId="77777777" w:rsidR="00850DC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cuanto </w:t>
      </w:r>
      <w:r>
        <w:rPr>
          <w:rFonts w:ascii="Open Sans" w:eastAsia="Open Sans" w:hAnsi="Open Sans" w:cs="Open Sans"/>
          <w:b/>
          <w:bCs/>
        </w:rPr>
        <w:t>al mercado del alquiler</w:t>
      </w:r>
      <w:r>
        <w:rPr>
          <w:rFonts w:ascii="Open Sans" w:eastAsia="Open Sans" w:hAnsi="Open Sans" w:cs="Open Sans"/>
        </w:rPr>
        <w:t xml:space="preserve">, se constata que quienes </w:t>
      </w:r>
      <w:r>
        <w:rPr>
          <w:rFonts w:ascii="Open Sans" w:eastAsia="Open Sans" w:hAnsi="Open Sans" w:cs="Open Sans"/>
          <w:b/>
          <w:bCs/>
        </w:rPr>
        <w:t>demandan arrendamiento se muestran algo menos pesimistas</w:t>
      </w:r>
      <w:r>
        <w:rPr>
          <w:rFonts w:ascii="Open Sans" w:eastAsia="Open Sans" w:hAnsi="Open Sans" w:cs="Open Sans"/>
        </w:rPr>
        <w:t xml:space="preserve"> que hace seis meses, ya que los que opinan que la regulación dificulta sus planes bajan del 49% al 47%, si bien sigue siendo una cifra mucho más alta que el 42% de agosto de 2024. Sin embargo, los que creen que esta iniciativa mejora sus expectativas también descienden, desde el 17 % de hace medio año al 13 % de agosto de 2025 (en el mismo mes de un año antes ascendían hasta el 19%).</w:t>
      </w:r>
    </w:p>
    <w:p w14:paraId="366D8F2E" w14:textId="77777777" w:rsidR="00850DCD" w:rsidRDefault="00850DCD">
      <w:pPr>
        <w:pBdr>
          <w:top w:val="nil"/>
          <w:left w:val="nil"/>
          <w:bottom w:val="nil"/>
          <w:right w:val="nil"/>
          <w:between w:val="nil"/>
        </w:pBdr>
        <w:spacing w:line="276" w:lineRule="auto"/>
        <w:jc w:val="both"/>
        <w:rPr>
          <w:rFonts w:ascii="Open Sans" w:eastAsia="Open Sans" w:hAnsi="Open Sans" w:cs="Open Sans"/>
        </w:rPr>
      </w:pPr>
    </w:p>
    <w:p w14:paraId="241AB227" w14:textId="77777777" w:rsidR="00850DC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bCs/>
        </w:rPr>
        <w:t>Desde el punto de vista de los arrendadores</w:t>
      </w:r>
      <w:r>
        <w:rPr>
          <w:rFonts w:ascii="Open Sans" w:eastAsia="Open Sans" w:hAnsi="Open Sans" w:cs="Open Sans"/>
        </w:rPr>
        <w:t xml:space="preserve"> </w:t>
      </w:r>
      <w:r>
        <w:rPr>
          <w:rFonts w:ascii="Open Sans" w:eastAsia="Open Sans" w:hAnsi="Open Sans" w:cs="Open Sans"/>
          <w:b/>
          <w:bCs/>
        </w:rPr>
        <w:t>también se coincide en el diagnóstico pesimista</w:t>
      </w:r>
      <w:r>
        <w:rPr>
          <w:rFonts w:ascii="Open Sans" w:eastAsia="Open Sans" w:hAnsi="Open Sans" w:cs="Open Sans"/>
        </w:rPr>
        <w:t>, ya que si en febrero eran el 48% los que creían que la Ley les ponía su objetivo más difícil, ahora este porcentaje se amplía al 54%. Los que piensan que el nuevo escenario les ayuda se mantienen en un escaso 11%.</w:t>
      </w:r>
    </w:p>
    <w:p w14:paraId="2F313EDC" w14:textId="77777777" w:rsidR="00850DCD" w:rsidRDefault="00850DCD">
      <w:pPr>
        <w:pBdr>
          <w:top w:val="nil"/>
          <w:left w:val="nil"/>
          <w:bottom w:val="nil"/>
          <w:right w:val="nil"/>
          <w:between w:val="nil"/>
        </w:pBdr>
        <w:spacing w:line="276" w:lineRule="auto"/>
        <w:jc w:val="both"/>
        <w:rPr>
          <w:rFonts w:ascii="Open Sans" w:eastAsia="Open Sans" w:hAnsi="Open Sans" w:cs="Open Sans"/>
        </w:rPr>
      </w:pPr>
    </w:p>
    <w:p w14:paraId="0F455CB6" w14:textId="77777777" w:rsidR="00850DCD" w:rsidRDefault="00000000" w:rsidP="00EF2A72">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noProof/>
        </w:rPr>
        <w:lastRenderedPageBreak/>
        <w:drawing>
          <wp:inline distT="0" distB="0" distL="0" distR="0" wp14:anchorId="74D4599A" wp14:editId="02C3829F">
            <wp:extent cx="4754880" cy="3276600"/>
            <wp:effectExtent l="0" t="0" r="7620" b="0"/>
            <wp:docPr id="2121187123" name="image1.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Gráfico, Gráfico de barras&#10;&#10;El contenido generado por IA puede ser incorrecto."/>
                    <pic:cNvPicPr preferRelativeResize="0"/>
                  </pic:nvPicPr>
                  <pic:blipFill>
                    <a:blip r:embed="rId16"/>
                    <a:srcRect/>
                    <a:stretch>
                      <a:fillRect/>
                    </a:stretch>
                  </pic:blipFill>
                  <pic:spPr>
                    <a:xfrm>
                      <a:off x="0" y="0"/>
                      <a:ext cx="4755498" cy="3277026"/>
                    </a:xfrm>
                    <a:prstGeom prst="rect">
                      <a:avLst/>
                    </a:prstGeom>
                    <a:ln/>
                  </pic:spPr>
                </pic:pic>
              </a:graphicData>
            </a:graphic>
          </wp:inline>
        </w:drawing>
      </w:r>
    </w:p>
    <w:p w14:paraId="73025CF9" w14:textId="77777777" w:rsidR="00850DCD" w:rsidRDefault="00850DCD">
      <w:pPr>
        <w:pBdr>
          <w:top w:val="nil"/>
          <w:left w:val="nil"/>
          <w:bottom w:val="nil"/>
          <w:right w:val="nil"/>
          <w:between w:val="nil"/>
        </w:pBdr>
        <w:spacing w:line="276" w:lineRule="auto"/>
        <w:jc w:val="both"/>
        <w:rPr>
          <w:rFonts w:ascii="Open Sans" w:eastAsia="Open Sans" w:hAnsi="Open Sans" w:cs="Open Sans"/>
        </w:rPr>
      </w:pPr>
    </w:p>
    <w:p w14:paraId="3CB5B8C3" w14:textId="77777777" w:rsidR="00850DCD" w:rsidRDefault="00000000">
      <w:pPr>
        <w:spacing w:line="276" w:lineRule="auto"/>
        <w:jc w:val="both"/>
        <w:rPr>
          <w:rFonts w:ascii="Open Sans" w:eastAsia="Open Sans" w:hAnsi="Open Sans" w:cs="Open Sans"/>
        </w:rPr>
      </w:pPr>
      <w:r>
        <w:rPr>
          <w:rFonts w:ascii="Open Sans" w:eastAsia="Open Sans" w:hAnsi="Open Sans" w:cs="Open Sans"/>
        </w:rPr>
        <w:t xml:space="preserve">Si escogemos para el análisis al segmento de </w:t>
      </w:r>
      <w:r>
        <w:rPr>
          <w:rFonts w:ascii="Open Sans" w:eastAsia="Open Sans" w:hAnsi="Open Sans" w:cs="Open Sans"/>
          <w:b/>
          <w:bCs/>
        </w:rPr>
        <w:t>los compradores</w:t>
      </w:r>
      <w:r>
        <w:rPr>
          <w:rFonts w:ascii="Open Sans" w:eastAsia="Open Sans" w:hAnsi="Open Sans" w:cs="Open Sans"/>
        </w:rPr>
        <w:t xml:space="preserve">, vemos que los que </w:t>
      </w:r>
      <w:r>
        <w:rPr>
          <w:rFonts w:ascii="Open Sans" w:eastAsia="Open Sans" w:hAnsi="Open Sans" w:cs="Open Sans"/>
          <w:b/>
          <w:bCs/>
        </w:rPr>
        <w:t>aprecian que la ley complica sus propósitos ascienden hasta el 44%</w:t>
      </w:r>
      <w:r>
        <w:rPr>
          <w:rFonts w:ascii="Open Sans" w:eastAsia="Open Sans" w:hAnsi="Open Sans" w:cs="Open Sans"/>
        </w:rPr>
        <w:t>, un punto más que en febrero, aunque dos por debajo del registro de agosto de 2024. A mucha distancia se encuentran los compradores que creen que la compra es ahora más sencilla, que se mantienen en el 8% de febrero, muy por detrás del 12% de un año antes.</w:t>
      </w:r>
    </w:p>
    <w:p w14:paraId="227DF7DE" w14:textId="77777777" w:rsidR="00850DCD" w:rsidRDefault="00850DCD">
      <w:pPr>
        <w:spacing w:line="276" w:lineRule="auto"/>
        <w:jc w:val="both"/>
        <w:rPr>
          <w:rFonts w:ascii="Open Sans" w:eastAsia="Open Sans" w:hAnsi="Open Sans" w:cs="Open Sans"/>
        </w:rPr>
      </w:pPr>
    </w:p>
    <w:p w14:paraId="559AD01F" w14:textId="77777777" w:rsidR="00850DCD" w:rsidRDefault="00000000" w:rsidP="00EF2A72">
      <w:pPr>
        <w:spacing w:line="276" w:lineRule="auto"/>
        <w:jc w:val="center"/>
        <w:rPr>
          <w:rFonts w:ascii="Open Sans" w:eastAsia="Open Sans" w:hAnsi="Open Sans" w:cs="Open Sans"/>
        </w:rPr>
      </w:pPr>
      <w:r>
        <w:rPr>
          <w:rFonts w:ascii="Open Sans" w:eastAsia="Open Sans" w:hAnsi="Open Sans" w:cs="Open Sans"/>
          <w:noProof/>
        </w:rPr>
        <w:drawing>
          <wp:inline distT="0" distB="0" distL="0" distR="0" wp14:anchorId="35B4F53F" wp14:editId="1D8325C1">
            <wp:extent cx="4709160" cy="3649980"/>
            <wp:effectExtent l="0" t="0" r="0" b="7620"/>
            <wp:docPr id="2121187122" name="image3.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Gráfico, Gráfico de barras&#10;&#10;El contenido generado por IA puede ser incorrecto."/>
                    <pic:cNvPicPr preferRelativeResize="0"/>
                  </pic:nvPicPr>
                  <pic:blipFill>
                    <a:blip r:embed="rId17"/>
                    <a:srcRect/>
                    <a:stretch>
                      <a:fillRect/>
                    </a:stretch>
                  </pic:blipFill>
                  <pic:spPr>
                    <a:xfrm>
                      <a:off x="0" y="0"/>
                      <a:ext cx="4709593" cy="3650316"/>
                    </a:xfrm>
                    <a:prstGeom prst="rect">
                      <a:avLst/>
                    </a:prstGeom>
                    <a:ln/>
                  </pic:spPr>
                </pic:pic>
              </a:graphicData>
            </a:graphic>
          </wp:inline>
        </w:drawing>
      </w:r>
    </w:p>
    <w:p w14:paraId="3BDBE4B0" w14:textId="77777777" w:rsidR="00850DCD" w:rsidRDefault="00000000">
      <w:pPr>
        <w:spacing w:line="276" w:lineRule="auto"/>
        <w:jc w:val="both"/>
        <w:rPr>
          <w:rFonts w:ascii="Open Sans" w:eastAsia="Open Sans" w:hAnsi="Open Sans" w:cs="Open Sans"/>
        </w:rPr>
      </w:pPr>
      <w:r>
        <w:rPr>
          <w:rFonts w:ascii="Open Sans" w:eastAsia="Open Sans" w:hAnsi="Open Sans" w:cs="Open Sans"/>
        </w:rPr>
        <w:lastRenderedPageBreak/>
        <w:t xml:space="preserve">Por su parte, </w:t>
      </w:r>
      <w:r>
        <w:rPr>
          <w:rFonts w:ascii="Open Sans" w:eastAsia="Open Sans" w:hAnsi="Open Sans" w:cs="Open Sans"/>
          <w:b/>
          <w:bCs/>
        </w:rPr>
        <w:t>los vendedores también creen que la norma complica sus planes.</w:t>
      </w:r>
      <w:r>
        <w:rPr>
          <w:rFonts w:ascii="Open Sans" w:eastAsia="Open Sans" w:hAnsi="Open Sans" w:cs="Open Sans"/>
        </w:rPr>
        <w:t xml:space="preserve"> Un sentimiento, además, que se ha extremado en los últimos meses, experimentando una subida de once puntos porcentuales en apenas medio año, ya que pasa del 31% de febrero al 43% seis meses después. El efecto inverso se observa entre los que creen que la Ley favorece la venta, en mayor o menor grado, ya que también bajan del 12% al 11%.</w:t>
      </w:r>
    </w:p>
    <w:p w14:paraId="7DE0F9B1" w14:textId="77777777" w:rsidR="00850DCD" w:rsidRDefault="00850DCD">
      <w:pPr>
        <w:pBdr>
          <w:top w:val="nil"/>
          <w:left w:val="nil"/>
          <w:bottom w:val="nil"/>
          <w:right w:val="nil"/>
          <w:between w:val="nil"/>
        </w:pBdr>
        <w:spacing w:line="276" w:lineRule="auto"/>
        <w:jc w:val="both"/>
        <w:rPr>
          <w:rFonts w:ascii="Open Sans" w:eastAsia="Open Sans" w:hAnsi="Open Sans" w:cs="Open Sans"/>
        </w:rPr>
      </w:pPr>
    </w:p>
    <w:p w14:paraId="3AD7FFA0" w14:textId="77777777" w:rsidR="00850DCD"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0B766E93" w14:textId="77777777" w:rsidR="00850DC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597CC1E3" w14:textId="77777777" w:rsidR="00850DC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8">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un informe de referencia que analiza la evolución del precio medio de la vivienda en España, tanto en venta como en alquiler.</w:t>
      </w:r>
    </w:p>
    <w:p w14:paraId="2226FC0E" w14:textId="77777777" w:rsidR="00850DC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Desde 2017, desarrolla además estudios sociológicos bajo el sello </w:t>
      </w:r>
      <w:hyperlink r:id="rId19">
        <w:r>
          <w:rPr>
            <w:rFonts w:ascii="Open Sans" w:eastAsia="Open Sans" w:hAnsi="Open Sans" w:cs="Open Sans"/>
            <w:b/>
            <w:bCs/>
            <w:color w:val="0000FF"/>
            <w:sz w:val="22"/>
            <w:szCs w:val="22"/>
            <w:u w:val="single"/>
          </w:rPr>
          <w:t>Fotocasa 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4CA06FB7" w14:textId="77777777" w:rsidR="00850DC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20">
        <w:r>
          <w:rPr>
            <w:rFonts w:ascii="Open Sans" w:eastAsia="Open Sans" w:hAnsi="Open Sans" w:cs="Open Sans"/>
            <w:b/>
            <w:bCs/>
            <w:color w:val="0000FF"/>
            <w:sz w:val="22"/>
            <w:szCs w:val="22"/>
            <w:u w:val="single"/>
          </w:rPr>
          <w:t>Sala de Prensa</w:t>
        </w:r>
      </w:hyperlink>
    </w:p>
    <w:p w14:paraId="41EA9606" w14:textId="77777777" w:rsidR="00850DCD" w:rsidRDefault="00850DCD">
      <w:pPr>
        <w:spacing w:line="276" w:lineRule="auto"/>
        <w:rPr>
          <w:rFonts w:ascii="Open Sans Light" w:eastAsia="Open Sans Light" w:hAnsi="Open Sans Light" w:cs="Open Sans Light"/>
          <w:b/>
          <w:bCs/>
          <w:color w:val="303AB2"/>
        </w:rPr>
      </w:pPr>
    </w:p>
    <w:p w14:paraId="5F8A3626" w14:textId="77777777" w:rsidR="00850DCD" w:rsidRDefault="00850DCD">
      <w:pPr>
        <w:spacing w:line="276" w:lineRule="auto"/>
        <w:rPr>
          <w:rFonts w:ascii="Open Sans Light" w:eastAsia="Open Sans Light" w:hAnsi="Open Sans Light" w:cs="Open Sans Light"/>
          <w:b/>
          <w:bCs/>
          <w:color w:val="303AB2"/>
        </w:rPr>
      </w:pPr>
    </w:p>
    <w:p w14:paraId="544C4511" w14:textId="77777777" w:rsidR="00850DCD"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0D028149" w14:textId="77777777" w:rsidR="00850DC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34267469" w14:textId="77777777" w:rsidR="00850DC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21">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22">
        <w:r>
          <w:rPr>
            <w:rFonts w:ascii="Open Sans" w:eastAsia="Open Sans" w:hAnsi="Open Sans" w:cs="Open Sans"/>
            <w:b/>
            <w:bCs/>
            <w:color w:val="0000FF"/>
            <w:sz w:val="22"/>
            <w:szCs w:val="22"/>
            <w:u w:val="single"/>
          </w:rPr>
          <w:t>habitaclia</w:t>
        </w:r>
      </w:hyperlink>
      <w:r>
        <w:rPr>
          <w:rFonts w:ascii="Open Sans" w:eastAsia="Open Sans" w:hAnsi="Open Sans" w:cs="Open Sans"/>
          <w:sz w:val="22"/>
          <w:szCs w:val="22"/>
        </w:rPr>
        <w:t xml:space="preserve">, </w:t>
      </w:r>
      <w:hyperlink r:id="rId23">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4">
        <w:r>
          <w:rPr>
            <w:rFonts w:ascii="Open Sans" w:eastAsia="Open Sans" w:hAnsi="Open Sans" w:cs="Open Sans"/>
            <w:b/>
            <w:bCs/>
            <w:color w:val="0000FF"/>
            <w:sz w:val="22"/>
            <w:szCs w:val="22"/>
            <w:u w:val="single"/>
          </w:rPr>
          <w:t>Datavenues</w:t>
        </w:r>
      </w:hyperlink>
      <w:r>
        <w:rPr>
          <w:rFonts w:ascii="Open Sans" w:eastAsia="Open Sans" w:hAnsi="Open Sans" w:cs="Open Sans"/>
          <w:sz w:val="22"/>
          <w:szCs w:val="22"/>
        </w:rPr>
        <w:t xml:space="preserve">, </w:t>
      </w:r>
      <w:hyperlink r:id="rId25">
        <w:r>
          <w:rPr>
            <w:rFonts w:ascii="Open Sans" w:eastAsia="Open Sans" w:hAnsi="Open Sans" w:cs="Open Sans"/>
            <w:b/>
            <w:bCs/>
            <w:color w:val="0000FF"/>
            <w:sz w:val="22"/>
            <w:szCs w:val="22"/>
            <w:u w:val="single"/>
          </w:rPr>
          <w:t>Witei</w:t>
        </w:r>
      </w:hyperlink>
      <w:r>
        <w:rPr>
          <w:rFonts w:ascii="Open Sans" w:eastAsia="Open Sans" w:hAnsi="Open Sans" w:cs="Open Sans"/>
          <w:sz w:val="22"/>
          <w:szCs w:val="22"/>
        </w:rPr>
        <w:t xml:space="preserve"> e </w:t>
      </w:r>
      <w:hyperlink r:id="rId26">
        <w:r>
          <w:rPr>
            <w:rFonts w:ascii="Open Sans" w:eastAsia="Open Sans" w:hAnsi="Open Sans" w:cs="Open Sans"/>
            <w:b/>
            <w:bCs/>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424C9E09" w14:textId="77777777" w:rsidR="00850DC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10579A76" w14:textId="77777777" w:rsidR="00850DC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lastRenderedPageBreak/>
        <w:t>En Fotocasa Group, </w:t>
      </w:r>
      <w:r>
        <w:rPr>
          <w:rFonts w:ascii="Open Sans" w:eastAsia="Open Sans" w:hAnsi="Open Sans" w:cs="Open Sans"/>
          <w:b/>
          <w:bCs/>
          <w:sz w:val="22"/>
          <w:szCs w:val="22"/>
        </w:rPr>
        <w:t>unimos personas y propiedades</w:t>
      </w:r>
      <w:r>
        <w:rPr>
          <w:rFonts w:ascii="Open Sans" w:eastAsia="Open Sans" w:hAnsi="Open Sans" w:cs="Open Sans"/>
          <w:sz w:val="22"/>
          <w:szCs w:val="22"/>
        </w:rPr>
        <w:t> a través de una plataforma inteligente, diseñada para hacer que </w:t>
      </w:r>
      <w:r>
        <w:rPr>
          <w:rFonts w:ascii="Open Sans" w:eastAsia="Open Sans" w:hAnsi="Open Sans" w:cs="Open Sans"/>
          <w:b/>
          <w:bCs/>
          <w:sz w:val="22"/>
          <w:szCs w:val="22"/>
        </w:rPr>
        <w:t>buscar, comprar o alquilar vivienda</w:t>
      </w:r>
      <w:r>
        <w:rPr>
          <w:rFonts w:ascii="Open Sans" w:eastAsia="Open Sans" w:hAnsi="Open Sans" w:cs="Open Sans"/>
          <w:sz w:val="22"/>
          <w:szCs w:val="22"/>
        </w:rPr>
        <w:t> sea una experiencia más fácil, transparente y eficiente.</w:t>
      </w:r>
    </w:p>
    <w:p w14:paraId="0BCD5685" w14:textId="77777777" w:rsidR="00850DC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Nuestra visión es clara</w:t>
      </w:r>
      <w:r>
        <w:rPr>
          <w:rFonts w:ascii="Open Sans" w:eastAsia="Open Sans" w:hAnsi="Open Sans" w:cs="Open Sans"/>
          <w:b/>
          <w:bCs/>
          <w:sz w:val="22"/>
          <w:szCs w:val="22"/>
        </w:rPr>
        <w:t>: ser el lugar donde tu nuevo hogar te encuentra</w:t>
      </w:r>
      <w:r>
        <w:rPr>
          <w:rFonts w:ascii="Open Sans" w:eastAsia="Open Sans" w:hAnsi="Open Sans" w:cs="Open Sans"/>
          <w:sz w:val="22"/>
          <w:szCs w:val="22"/>
        </w:rPr>
        <w:t>.</w:t>
      </w:r>
    </w:p>
    <w:p w14:paraId="5F7CE1E3" w14:textId="77777777" w:rsidR="00850DCD" w:rsidRDefault="00850DCD">
      <w:pPr>
        <w:shd w:val="clear" w:color="auto" w:fill="FFFFFF"/>
        <w:spacing w:before="280" w:after="280" w:line="276" w:lineRule="auto"/>
        <w:jc w:val="both"/>
        <w:rPr>
          <w:rFonts w:ascii="Open Sans" w:eastAsia="Open Sans" w:hAnsi="Open Sans" w:cs="Open Sans"/>
          <w:sz w:val="22"/>
          <w:szCs w:val="22"/>
        </w:rPr>
      </w:pPr>
    </w:p>
    <w:p w14:paraId="54F2BCCC" w14:textId="77777777" w:rsidR="00850DCD" w:rsidRDefault="00000000">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 Group</w:t>
      </w:r>
    </w:p>
    <w:p w14:paraId="7F41B732" w14:textId="77777777" w:rsidR="00850DCD" w:rsidRDefault="00850DCD">
      <w:pPr>
        <w:spacing w:line="276" w:lineRule="auto"/>
        <w:rPr>
          <w:rFonts w:ascii="Open Sans Light" w:eastAsia="Open Sans Light" w:hAnsi="Open Sans Light" w:cs="Open Sans Light"/>
          <w:b/>
          <w:bCs/>
          <w:color w:val="303AB2"/>
          <w:sz w:val="22"/>
          <w:szCs w:val="22"/>
        </w:rPr>
      </w:pPr>
    </w:p>
    <w:p w14:paraId="171DF83F" w14:textId="77777777" w:rsidR="00850DCD" w:rsidRDefault="00000000">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López</w:t>
      </w:r>
    </w:p>
    <w:p w14:paraId="73C93EC2" w14:textId="77777777" w:rsidR="00850DCD" w:rsidRDefault="00000000">
      <w:pPr>
        <w:shd w:val="clear" w:color="auto" w:fill="FFFFFF"/>
        <w:spacing w:line="276" w:lineRule="auto"/>
        <w:rPr>
          <w:rFonts w:ascii="Open Sans" w:eastAsia="Open Sans" w:hAnsi="Open Sans" w:cs="Open Sans"/>
          <w:color w:val="0000FF"/>
          <w:sz w:val="22"/>
          <w:szCs w:val="22"/>
          <w:u w:val="single"/>
        </w:rPr>
      </w:pPr>
      <w:hyperlink r:id="rId27">
        <w:r>
          <w:rPr>
            <w:rFonts w:ascii="Open Sans" w:eastAsia="Open Sans" w:hAnsi="Open Sans" w:cs="Open Sans"/>
            <w:color w:val="0000FF"/>
            <w:sz w:val="22"/>
            <w:szCs w:val="22"/>
            <w:u w:val="single"/>
          </w:rPr>
          <w:t>comunicacion@fotocasa.es</w:t>
        </w:r>
      </w:hyperlink>
    </w:p>
    <w:p w14:paraId="0A798952" w14:textId="77777777" w:rsidR="00850DCD"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7395D78B" w14:textId="77777777" w:rsidR="00850DCD" w:rsidRDefault="00850DCD">
      <w:pPr>
        <w:spacing w:line="276" w:lineRule="auto"/>
        <w:jc w:val="right"/>
        <w:rPr>
          <w:rFonts w:ascii="Open Sans" w:eastAsia="Open Sans" w:hAnsi="Open Sans" w:cs="Open Sans"/>
          <w:color w:val="000000"/>
          <w:sz w:val="22"/>
          <w:szCs w:val="22"/>
        </w:rPr>
      </w:pPr>
    </w:p>
    <w:sectPr w:rsidR="00850DCD">
      <w:footerReference w:type="default" r:id="rId28"/>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6CB14" w14:textId="77777777" w:rsidR="00DF1377" w:rsidRDefault="00DF1377">
      <w:r>
        <w:separator/>
      </w:r>
    </w:p>
  </w:endnote>
  <w:endnote w:type="continuationSeparator" w:id="0">
    <w:p w14:paraId="3B339811" w14:textId="77777777" w:rsidR="00DF1377" w:rsidRDefault="00DF1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7AFE1A0-9C18-49CB-8F86-00328AA5AA3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45C04E0-3A74-4513-97AE-69D261DCBE19}"/>
    <w:embedBold r:id="rId3" w:fontKey="{71B72D74-E439-43E9-9D0F-96072630924A}"/>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51D9475B-FABD-4261-9A73-77BC0C685585}"/>
  </w:font>
  <w:font w:name="Georgia">
    <w:panose1 w:val="02040502050405020303"/>
    <w:charset w:val="00"/>
    <w:family w:val="roman"/>
    <w:pitch w:val="variable"/>
    <w:sig w:usb0="00000287" w:usb1="00000000" w:usb2="00000000" w:usb3="00000000" w:csb0="0000009F" w:csb1="00000000"/>
    <w:embedItalic r:id="rId5" w:fontKey="{E947731E-5343-4136-AC64-780F8C3A1D91}"/>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732CA3B4-358A-4014-9481-9AFDBFBB5DA3}"/>
    <w:embedBold r:id="rId7" w:fontKey="{8B0ECE00-DAB1-4911-9D71-D4A664669BAC}"/>
    <w:embedItalic r:id="rId8" w:fontKey="{B86E346E-9B27-426B-95DF-A5CA8DA5690C}"/>
    <w:embedBoldItalic r:id="rId9" w:fontKey="{532A7295-D1E3-4EEA-9DB9-3E83E75FF4D5}"/>
  </w:font>
  <w:font w:name="Open Sans Light">
    <w:charset w:val="00"/>
    <w:family w:val="swiss"/>
    <w:pitch w:val="variable"/>
    <w:sig w:usb0="E00002EF" w:usb1="4000205B" w:usb2="00000028" w:usb3="00000000" w:csb0="0000019F" w:csb1="00000000"/>
    <w:embedBold r:id="rId10" w:fontKey="{4D5B0A10-BE86-4C1F-B825-E493B57B53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069FA" w14:textId="77777777" w:rsidR="00850DCD"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5B9EE4D0" wp14:editId="79BCF56C">
          <wp:simplePos x="0" y="0"/>
          <wp:positionH relativeFrom="column">
            <wp:posOffset>-1068039</wp:posOffset>
          </wp:positionH>
          <wp:positionV relativeFrom="paragraph">
            <wp:posOffset>174608</wp:posOffset>
          </wp:positionV>
          <wp:extent cx="7670550" cy="451315"/>
          <wp:effectExtent l="0" t="0" r="0" b="0"/>
          <wp:wrapNone/>
          <wp:docPr id="21211871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C86C72" w14:textId="77777777" w:rsidR="00DF1377" w:rsidRDefault="00DF1377">
      <w:r>
        <w:separator/>
      </w:r>
    </w:p>
  </w:footnote>
  <w:footnote w:type="continuationSeparator" w:id="0">
    <w:p w14:paraId="190EEFEE" w14:textId="77777777" w:rsidR="00DF1377" w:rsidRDefault="00DF13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A9244C"/>
    <w:multiLevelType w:val="multilevel"/>
    <w:tmpl w:val="EF52A0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554376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DCD"/>
    <w:rsid w:val="004B6435"/>
    <w:rsid w:val="00662960"/>
    <w:rsid w:val="00850DCD"/>
    <w:rsid w:val="009C38B2"/>
    <w:rsid w:val="00C01BC0"/>
    <w:rsid w:val="00DF1377"/>
    <w:rsid w:val="00EF2A7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3FCDB"/>
  <w15:docId w15:val="{102E4E6A-9DE1-4AC6-B3F9-3B747252C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a">
    <w:basedOn w:val="TableNormalf9"/>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9"/>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6"/>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6"/>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b"/>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paragraph">
    <w:name w:val="paragraph"/>
    <w:basedOn w:val="Normal"/>
    <w:rsid w:val="00B53090"/>
    <w:pPr>
      <w:spacing w:before="100" w:beforeAutospacing="1" w:after="100" w:afterAutospacing="1"/>
    </w:pPr>
    <w:rPr>
      <w:rFonts w:ascii="Times New Roman" w:eastAsia="Times New Roman" w:hAnsi="Times New Roman" w:cs="Times New Roman"/>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fotocasa.es/indice/" TargetMode="External"/><Relationship Id="rId26" Type="http://schemas.openxmlformats.org/officeDocument/2006/relationships/hyperlink" Target="https://www.inmoweb.es/" TargetMode="External"/><Relationship Id="rId3" Type="http://schemas.openxmlformats.org/officeDocument/2006/relationships/styles" Target="styles.xml"/><Relationship Id="rId21" Type="http://schemas.openxmlformats.org/officeDocument/2006/relationships/hyperlink" Target="https://www.fotocasa.es" TargetMode="External"/><Relationship Id="rId7" Type="http://schemas.openxmlformats.org/officeDocument/2006/relationships/endnotes" Target="endnotes.xml"/><Relationship Id="rId12" Type="http://schemas.openxmlformats.org/officeDocument/2006/relationships/hyperlink" Target="https://www.fotocasa.es/es/" TargetMode="External"/><Relationship Id="rId17" Type="http://schemas.openxmlformats.org/officeDocument/2006/relationships/image" Target="media/image7.png"/><Relationship Id="rId25" Type="http://schemas.openxmlformats.org/officeDocument/2006/relationships/hyperlink" Target="https://get.witei.com/en/"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prensa.fotocasa.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atavenues.com/" TargetMode="Externa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hyperlink" Target="https://profesionales.fotocasa.es/"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research.fotocasa.es"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image" Target="media/image5.png"/><Relationship Id="rId22" Type="http://schemas.openxmlformats.org/officeDocument/2006/relationships/hyperlink" Target="https://www.habitaclia.com/" TargetMode="External"/><Relationship Id="rId27" Type="http://schemas.openxmlformats.org/officeDocument/2006/relationships/hyperlink" Target="mailto:comunicacion@fotocasa.es"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XUSFXrRZjwQNqtroYopFOs+PmA==">CgMxLjA4AHIhMUttS3BSTnhaYTBmc1Mzem9sdWNJSTIzNWtESVdhVFJJ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1339</Words>
  <Characters>7370</Characters>
  <Application>Microsoft Office Word</Application>
  <DocSecurity>0</DocSecurity>
  <Lines>61</Lines>
  <Paragraphs>17</Paragraphs>
  <ScaleCrop>false</ScaleCrop>
  <Company/>
  <LinksUpToDate>false</LinksUpToDate>
  <CharactersWithSpaces>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5</cp:revision>
  <dcterms:created xsi:type="dcterms:W3CDTF">2024-02-06T13:46:00Z</dcterms:created>
  <dcterms:modified xsi:type="dcterms:W3CDTF">2025-11-18T09:24:00Z</dcterms:modified>
</cp:coreProperties>
</file>