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02968" w14:textId="77777777" w:rsidR="006C076D" w:rsidRDefault="00000000">
      <w:r>
        <w:rPr>
          <w:noProof/>
        </w:rPr>
        <w:drawing>
          <wp:anchor distT="0" distB="0" distL="114300" distR="114300" simplePos="0" relativeHeight="251658240" behindDoc="0" locked="0" layoutInCell="1" hidden="0" allowOverlap="1" wp14:anchorId="5694360C" wp14:editId="0EEA3C1C">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6C1798F" w14:textId="77777777" w:rsidR="006C076D" w:rsidRDefault="006C076D">
      <w:pPr>
        <w:jc w:val="right"/>
        <w:rPr>
          <w:rFonts w:ascii="National" w:eastAsia="National" w:hAnsi="National" w:cs="National"/>
          <w:color w:val="303AB2"/>
          <w:sz w:val="36"/>
          <w:szCs w:val="36"/>
        </w:rPr>
      </w:pPr>
    </w:p>
    <w:p w14:paraId="3A544CD0" w14:textId="77777777" w:rsidR="006C076D" w:rsidRDefault="006C076D" w:rsidP="000D0F56">
      <w:pPr>
        <w:rPr>
          <w:rFonts w:ascii="National" w:eastAsia="National" w:hAnsi="National" w:cs="National"/>
          <w:b/>
          <w:bCs/>
          <w:color w:val="1DBDC5"/>
          <w:sz w:val="34"/>
          <w:szCs w:val="34"/>
        </w:rPr>
      </w:pPr>
    </w:p>
    <w:p w14:paraId="4F138EAB" w14:textId="77777777" w:rsidR="006C076D"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INFORME “LA VIVIENDA DE OBRA NUEVA EN 2025”</w:t>
      </w:r>
    </w:p>
    <w:p w14:paraId="3C551E6C" w14:textId="77777777" w:rsidR="006C076D"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27% de los demandantes de vivienda ha comprado vivienda de obra nueva en 2025</w:t>
      </w:r>
    </w:p>
    <w:p w14:paraId="287CE915" w14:textId="77777777" w:rsidR="006C076D" w:rsidRDefault="006C076D">
      <w:pPr>
        <w:jc w:val="center"/>
        <w:rPr>
          <w:rFonts w:ascii="Open Sans" w:eastAsia="Open Sans" w:hAnsi="Open Sans" w:cs="Open Sans"/>
          <w:color w:val="303AB2"/>
        </w:rPr>
      </w:pPr>
    </w:p>
    <w:p w14:paraId="5B0687EB" w14:textId="77777777" w:rsidR="006C076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proporción de compradores que adquieren vivienda de obra nueva registra el dato más bajo de los últimos años y cae cuatro puntos respecto a 2024</w:t>
      </w:r>
    </w:p>
    <w:p w14:paraId="2499328A" w14:textId="77777777" w:rsidR="006C076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Un 63% de los particulares que han adquirido vivienda en el último año consideró la opción de comprar obra nueva</w:t>
      </w:r>
    </w:p>
    <w:p w14:paraId="2434AEC0" w14:textId="77777777" w:rsidR="006C076D"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Un 18% de los demandantes considera exclusivamente la adquisición de obra nueva, dos puntos menos que en 2024</w:t>
      </w:r>
    </w:p>
    <w:p w14:paraId="058F196C" w14:textId="072D5E45" w:rsidR="000D0F56" w:rsidRDefault="005F4504">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hyperlink r:id="rId9" w:history="1">
        <w:r w:rsidR="000D0F56" w:rsidRPr="005F4504">
          <w:rPr>
            <w:rStyle w:val="Hipervnculo"/>
            <w:rFonts w:ascii="Open Sans Light" w:eastAsia="Open Sans Light" w:hAnsi="Open Sans Light" w:cs="Open Sans Light"/>
            <w:b/>
            <w:bCs/>
          </w:rPr>
          <w:t>Aquí se puede descargar el informe “La vivienda de obra nueva en 2025”</w:t>
        </w:r>
      </w:hyperlink>
    </w:p>
    <w:p w14:paraId="1420D4B1" w14:textId="77777777" w:rsidR="006C076D" w:rsidRDefault="006C076D">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4A8C5514" w14:textId="77777777" w:rsidR="006C076D"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19 de noviembre de 2025</w:t>
      </w:r>
      <w:r>
        <w:rPr>
          <w:rFonts w:ascii="Open Sans Light" w:eastAsia="Open Sans Light" w:hAnsi="Open Sans Light" w:cs="Open Sans Light"/>
          <w:b/>
          <w:bCs/>
          <w:color w:val="303AB2"/>
        </w:rPr>
        <w:tab/>
      </w:r>
    </w:p>
    <w:p w14:paraId="04A8C4C0" w14:textId="77777777" w:rsidR="006C076D" w:rsidRDefault="006C076D">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59909D1D" w14:textId="4DCD0E8D" w:rsidR="006C076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Solo un 27% de los particulares que han comprado una vivienda en los últimos doce meses se ha decantado por una vivienda de obra nueva, según el informe </w:t>
      </w:r>
      <w:r>
        <w:rPr>
          <w:rFonts w:ascii="Open Sans" w:eastAsia="Open Sans" w:hAnsi="Open Sans" w:cs="Open Sans"/>
          <w:b/>
          <w:bCs/>
        </w:rPr>
        <w:t>“</w:t>
      </w:r>
      <w:hyperlink r:id="rId10" w:history="1">
        <w:r w:rsidRPr="005F4504">
          <w:rPr>
            <w:rStyle w:val="Hipervnculo"/>
            <w:rFonts w:ascii="Open Sans" w:eastAsia="Open Sans" w:hAnsi="Open Sans" w:cs="Open Sans"/>
            <w:b/>
            <w:bCs/>
          </w:rPr>
          <w:t>La vivienda de obra nueva en 2025</w:t>
        </w:r>
      </w:hyperlink>
      <w:r>
        <w:rPr>
          <w:rFonts w:ascii="Open Sans" w:eastAsia="Open Sans" w:hAnsi="Open Sans" w:cs="Open Sans"/>
          <w:b/>
          <w:bCs/>
        </w:rPr>
        <w:t xml:space="preserve">”, realizado por </w:t>
      </w:r>
      <w:hyperlink r:id="rId11">
        <w:r>
          <w:rPr>
            <w:rFonts w:ascii="Open Sans" w:eastAsia="Open Sans" w:hAnsi="Open Sans" w:cs="Open Sans"/>
            <w:b/>
            <w:bCs/>
            <w:color w:val="0000FF"/>
            <w:u w:val="single"/>
          </w:rPr>
          <w:t xml:space="preserve">Fotocasa </w:t>
        </w:r>
        <w:proofErr w:type="spellStart"/>
        <w:r>
          <w:rPr>
            <w:rFonts w:ascii="Open Sans" w:eastAsia="Open Sans" w:hAnsi="Open Sans" w:cs="Open Sans"/>
            <w:b/>
            <w:bCs/>
            <w:color w:val="0000FF"/>
            <w:u w:val="single"/>
          </w:rPr>
          <w:t>Research</w:t>
        </w:r>
        <w:proofErr w:type="spellEnd"/>
      </w:hyperlink>
      <w:r>
        <w:rPr>
          <w:rFonts w:ascii="Open Sans" w:eastAsia="Open Sans" w:hAnsi="Open Sans" w:cs="Open Sans"/>
        </w:rPr>
        <w:t>. Esta cifra supone un descenso de cuatro puntos porcentuales respecto al año anterior, cuando el porcentaje se situaba en el 31%. De este modo, el dato de 2025 iguala el registrado en 2022 y se convierte en el más bajo de la serie histórica. En 2021 y 2020, las cifras fueron del 30% y el 32%, respectivamente, mientras que en 2019 este porcentaje se elevaba al 37%.</w:t>
      </w:r>
    </w:p>
    <w:p w14:paraId="1BE8578D" w14:textId="77777777" w:rsidR="006C076D" w:rsidRDefault="006C076D">
      <w:pPr>
        <w:pBdr>
          <w:top w:val="nil"/>
          <w:left w:val="nil"/>
          <w:bottom w:val="nil"/>
          <w:right w:val="nil"/>
          <w:between w:val="nil"/>
        </w:pBdr>
        <w:spacing w:line="276" w:lineRule="auto"/>
        <w:jc w:val="both"/>
        <w:rPr>
          <w:rFonts w:ascii="Open Sans" w:eastAsia="Open Sans" w:hAnsi="Open Sans" w:cs="Open Sans"/>
        </w:rPr>
      </w:pPr>
    </w:p>
    <w:p w14:paraId="3B7372EC" w14:textId="728631F7" w:rsidR="006C076D"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interés por la obra nueva no desaparece, pero sí se reduce en el momento de la decisión final. Esta situación es debido a que la oferta disponible de vivienda a estrenar es tan escasa (apenas representa alrededor del 20% de todas las compraventas que se cierran en España) que termina convirtiéndose en un producto inaccesible para la mayoría de los demandantes. Esa limitación del parque de obra nueva tensiona los precios y eleva de forma significativa el esfuerzo económico que debe asumir el comprador. Por ello, muchos particulares empiezan la búsqueda considerando la obra nueva, pero la descartan en fases muy tempranas del proceso de compra”, </w:t>
      </w:r>
      <w:r>
        <w:rPr>
          <w:rFonts w:ascii="Open Sans" w:eastAsia="Open Sans" w:hAnsi="Open Sans" w:cs="Open Sans"/>
          <w:b/>
          <w:bCs/>
        </w:rPr>
        <w:t xml:space="preserve">explica María Matos, directora de Estudios y portavoz de </w:t>
      </w:r>
      <w:hyperlink r:id="rId12">
        <w:r>
          <w:rPr>
            <w:rFonts w:ascii="Open Sans" w:eastAsia="Open Sans" w:hAnsi="Open Sans" w:cs="Open Sans"/>
            <w:b/>
            <w:bCs/>
            <w:color w:val="0000FF"/>
            <w:u w:val="single"/>
          </w:rPr>
          <w:t>Fotocasa</w:t>
        </w:r>
      </w:hyperlink>
      <w:r>
        <w:rPr>
          <w:rFonts w:ascii="Open Sans" w:eastAsia="Open Sans" w:hAnsi="Open Sans" w:cs="Open Sans"/>
          <w:b/>
          <w:bCs/>
        </w:rPr>
        <w:t>.</w:t>
      </w:r>
    </w:p>
    <w:p w14:paraId="184F30B8" w14:textId="77777777" w:rsidR="006C076D" w:rsidRDefault="00000000">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4B10B82B" wp14:editId="5B7613B9">
            <wp:extent cx="5760720" cy="2435225"/>
            <wp:effectExtent l="0" t="0" r="0" b="0"/>
            <wp:docPr id="2066816618" name="image4.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El contenido generado por IA puede ser incorrecto."/>
                    <pic:cNvPicPr preferRelativeResize="0"/>
                  </pic:nvPicPr>
                  <pic:blipFill>
                    <a:blip r:embed="rId13"/>
                    <a:srcRect/>
                    <a:stretch>
                      <a:fillRect/>
                    </a:stretch>
                  </pic:blipFill>
                  <pic:spPr>
                    <a:xfrm>
                      <a:off x="0" y="0"/>
                      <a:ext cx="5760720" cy="2435225"/>
                    </a:xfrm>
                    <a:prstGeom prst="rect">
                      <a:avLst/>
                    </a:prstGeom>
                    <a:ln/>
                  </pic:spPr>
                </pic:pic>
              </a:graphicData>
            </a:graphic>
          </wp:inline>
        </w:drawing>
      </w:r>
    </w:p>
    <w:p w14:paraId="310CBAD1" w14:textId="77777777" w:rsidR="006C076D" w:rsidRDefault="006C076D">
      <w:pPr>
        <w:pBdr>
          <w:top w:val="nil"/>
          <w:left w:val="nil"/>
          <w:bottom w:val="nil"/>
          <w:right w:val="nil"/>
          <w:between w:val="nil"/>
        </w:pBdr>
        <w:spacing w:line="276" w:lineRule="auto"/>
        <w:jc w:val="both"/>
        <w:rPr>
          <w:rFonts w:ascii="Open Sans" w:eastAsia="Open Sans" w:hAnsi="Open Sans" w:cs="Open Sans"/>
        </w:rPr>
      </w:pPr>
    </w:p>
    <w:p w14:paraId="5067B1B3" w14:textId="77777777" w:rsidR="006C076D"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Casi dos tercios de los compradores valoran adquirir obra nueva</w:t>
      </w:r>
    </w:p>
    <w:p w14:paraId="35190EB3" w14:textId="77777777" w:rsidR="006C076D" w:rsidRDefault="006C076D">
      <w:pPr>
        <w:pBdr>
          <w:top w:val="nil"/>
          <w:left w:val="nil"/>
          <w:bottom w:val="nil"/>
          <w:right w:val="nil"/>
          <w:between w:val="nil"/>
        </w:pBdr>
        <w:spacing w:line="276" w:lineRule="auto"/>
        <w:jc w:val="both"/>
        <w:rPr>
          <w:rFonts w:ascii="Open Sans" w:eastAsia="Open Sans" w:hAnsi="Open Sans" w:cs="Open Sans"/>
        </w:rPr>
      </w:pPr>
    </w:p>
    <w:p w14:paraId="1D55A75F" w14:textId="77777777" w:rsidR="006C076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estudio confirma que la vivienda de nueva construcción mantiene una penetración estable en el proceso de búsqueda, aunque con el mencionado retroceso en la compra efectiva. </w:t>
      </w:r>
      <w:r>
        <w:rPr>
          <w:rFonts w:ascii="Open Sans" w:eastAsia="Open Sans" w:hAnsi="Open Sans" w:cs="Open Sans"/>
          <w:b/>
          <w:bCs/>
        </w:rPr>
        <w:t>En total, un 63% de los particulares que han adquirido vivienda en el último año consideró la opción de comprar obra nueva</w:t>
      </w:r>
      <w:r>
        <w:rPr>
          <w:rFonts w:ascii="Open Sans" w:eastAsia="Open Sans" w:hAnsi="Open Sans" w:cs="Open Sans"/>
        </w:rPr>
        <w:t>, un porcentaje prácticamente idéntico al de 2024 (65%) y 2023 (64%). Sin embargo, estos niveles se sitúan por debajo del 68% de compradores que contemplaban esta posibilidad en el periodo inmediatamente anterior o inicial de la pandemia, según los datos de 2019 y 2020.</w:t>
      </w:r>
    </w:p>
    <w:p w14:paraId="7A029FC8" w14:textId="77777777" w:rsidR="006C076D" w:rsidRDefault="006C076D">
      <w:pPr>
        <w:pBdr>
          <w:top w:val="nil"/>
          <w:left w:val="nil"/>
          <w:bottom w:val="nil"/>
          <w:right w:val="nil"/>
          <w:between w:val="nil"/>
        </w:pBdr>
        <w:spacing w:line="276" w:lineRule="auto"/>
        <w:jc w:val="both"/>
        <w:rPr>
          <w:rFonts w:ascii="Open Sans" w:eastAsia="Open Sans" w:hAnsi="Open Sans" w:cs="Open Sans"/>
        </w:rPr>
      </w:pPr>
    </w:p>
    <w:p w14:paraId="51B8A54E" w14:textId="77777777" w:rsidR="006C076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pone el foco únicamente en este 63% de compradores que partieron en su búsqueda con la posibilidad de adquirir obra nueva (bien como única opción o combinada con la segunda mano), </w:t>
      </w:r>
      <w:r>
        <w:rPr>
          <w:rFonts w:ascii="Open Sans" w:eastAsia="Open Sans" w:hAnsi="Open Sans" w:cs="Open Sans"/>
          <w:b/>
          <w:bCs/>
        </w:rPr>
        <w:t>el 41% consiguió finalmente comprar una vivienda de nueva construcción</w:t>
      </w:r>
      <w:r>
        <w:rPr>
          <w:rFonts w:ascii="Open Sans" w:eastAsia="Open Sans" w:hAnsi="Open Sans" w:cs="Open Sans"/>
        </w:rPr>
        <w:t>, frente al 45% registrado en 2024. Por tanto, el 59% restante acabó optando por una vivienda de segunda mano, un dato superior al 55% del año anterior.</w:t>
      </w:r>
    </w:p>
    <w:p w14:paraId="33AA7FAC" w14:textId="77777777" w:rsidR="006C076D" w:rsidRDefault="006C076D">
      <w:pPr>
        <w:pBdr>
          <w:top w:val="nil"/>
          <w:left w:val="nil"/>
          <w:bottom w:val="nil"/>
          <w:right w:val="nil"/>
          <w:between w:val="nil"/>
        </w:pBdr>
        <w:spacing w:line="276" w:lineRule="auto"/>
        <w:jc w:val="both"/>
        <w:rPr>
          <w:rFonts w:ascii="Open Sans" w:eastAsia="Open Sans" w:hAnsi="Open Sans" w:cs="Open Sans"/>
        </w:rPr>
      </w:pPr>
    </w:p>
    <w:p w14:paraId="2EF0B743" w14:textId="77777777" w:rsidR="006C076D"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Casi una quinta parte de los compradores solo considera obra nueva</w:t>
      </w:r>
    </w:p>
    <w:p w14:paraId="63B34DA5" w14:textId="77777777" w:rsidR="006C076D" w:rsidRDefault="006C076D">
      <w:pPr>
        <w:pBdr>
          <w:top w:val="nil"/>
          <w:left w:val="nil"/>
          <w:bottom w:val="nil"/>
          <w:right w:val="nil"/>
          <w:between w:val="nil"/>
        </w:pBdr>
        <w:spacing w:line="276" w:lineRule="auto"/>
        <w:jc w:val="both"/>
        <w:rPr>
          <w:rFonts w:ascii="Open Sans" w:eastAsia="Open Sans" w:hAnsi="Open Sans" w:cs="Open Sans"/>
        </w:rPr>
      </w:pPr>
    </w:p>
    <w:p w14:paraId="27E47394" w14:textId="2137B3B7" w:rsidR="006C076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análisis desglosado de la penetración de la obra nueva en el mercado refleja que un 18% de los compradores considera exclusivamente la compra de obra nueva, dos puntos menos que el 20% de 2024. Este descenso evidencia una ligera pérdida de peso del comprador que busca exclusivamente vivienda a estrenar. Por su parte, </w:t>
      </w:r>
      <w:r>
        <w:rPr>
          <w:rFonts w:ascii="Open Sans" w:eastAsia="Open Sans" w:hAnsi="Open Sans" w:cs="Open Sans"/>
          <w:b/>
          <w:bCs/>
        </w:rPr>
        <w:t xml:space="preserve">el grupo de demandantes que contempla tanto la obra nueva </w:t>
      </w:r>
      <w:r>
        <w:rPr>
          <w:rFonts w:ascii="Open Sans" w:eastAsia="Open Sans" w:hAnsi="Open Sans" w:cs="Open Sans"/>
          <w:b/>
          <w:bCs/>
        </w:rPr>
        <w:lastRenderedPageBreak/>
        <w:t>como la vivienda de segunda mano se mantiene estable en el 45%</w:t>
      </w:r>
      <w:r>
        <w:rPr>
          <w:rFonts w:ascii="Open Sans" w:eastAsia="Open Sans" w:hAnsi="Open Sans" w:cs="Open Sans"/>
        </w:rPr>
        <w:t>, el mismo porcentaje que en el estudio precedente. Este comportamiento dual, que combina ambas opciones, sigue siendo mayoritario entre los compradores españoles. Finalmente, un 37% de los particulares que han adquirido vivienda en los últimos doce meses no consideró en ningún momento la opción de obra nueva, decantándose desde el inicio por una vivienda de segunda mano.</w:t>
      </w:r>
    </w:p>
    <w:p w14:paraId="0232B821" w14:textId="77777777" w:rsidR="006C076D" w:rsidRDefault="006C076D">
      <w:pPr>
        <w:pBdr>
          <w:top w:val="nil"/>
          <w:left w:val="nil"/>
          <w:bottom w:val="nil"/>
          <w:right w:val="nil"/>
          <w:between w:val="nil"/>
        </w:pBdr>
        <w:spacing w:line="276" w:lineRule="auto"/>
        <w:jc w:val="both"/>
        <w:rPr>
          <w:rFonts w:ascii="Open Sans" w:eastAsia="Open Sans" w:hAnsi="Open Sans" w:cs="Open Sans"/>
        </w:rPr>
      </w:pPr>
    </w:p>
    <w:p w14:paraId="6ECE88C7" w14:textId="77777777" w:rsidR="006C076D"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5BDF92B2" wp14:editId="6075034A">
            <wp:extent cx="5722620" cy="2273935"/>
            <wp:effectExtent l="0" t="0" r="0" b="0"/>
            <wp:docPr id="2066816616" name="image2.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 Gráfico de barras&#10;&#10;El contenido generado por IA puede ser incorrecto."/>
                    <pic:cNvPicPr preferRelativeResize="0"/>
                  </pic:nvPicPr>
                  <pic:blipFill>
                    <a:blip r:embed="rId14"/>
                    <a:srcRect/>
                    <a:stretch>
                      <a:fillRect/>
                    </a:stretch>
                  </pic:blipFill>
                  <pic:spPr>
                    <a:xfrm>
                      <a:off x="0" y="0"/>
                      <a:ext cx="5722620" cy="2273935"/>
                    </a:xfrm>
                    <a:prstGeom prst="rect">
                      <a:avLst/>
                    </a:prstGeom>
                    <a:ln/>
                  </pic:spPr>
                </pic:pic>
              </a:graphicData>
            </a:graphic>
          </wp:inline>
        </w:drawing>
      </w:r>
    </w:p>
    <w:p w14:paraId="04621C61" w14:textId="77777777" w:rsidR="006C076D" w:rsidRDefault="006C076D">
      <w:pPr>
        <w:pBdr>
          <w:top w:val="nil"/>
          <w:left w:val="nil"/>
          <w:bottom w:val="nil"/>
          <w:right w:val="nil"/>
          <w:between w:val="nil"/>
        </w:pBdr>
        <w:spacing w:line="276" w:lineRule="auto"/>
        <w:jc w:val="both"/>
        <w:rPr>
          <w:rFonts w:ascii="Open Sans" w:eastAsia="Open Sans" w:hAnsi="Open Sans" w:cs="Open Sans"/>
        </w:rPr>
      </w:pPr>
    </w:p>
    <w:p w14:paraId="6513A300" w14:textId="77777777" w:rsidR="006C076D" w:rsidRDefault="006C076D">
      <w:pPr>
        <w:spacing w:line="276" w:lineRule="auto"/>
        <w:jc w:val="right"/>
        <w:rPr>
          <w:rFonts w:ascii="Open Sans Light" w:eastAsia="Open Sans Light" w:hAnsi="Open Sans Light" w:cs="Open Sans Light"/>
          <w:b/>
          <w:bCs/>
          <w:color w:val="303AB2"/>
        </w:rPr>
      </w:pPr>
    </w:p>
    <w:p w14:paraId="3D61254C" w14:textId="77777777" w:rsidR="006C076D" w:rsidRDefault="006C076D">
      <w:pPr>
        <w:spacing w:line="276" w:lineRule="auto"/>
        <w:jc w:val="right"/>
        <w:rPr>
          <w:rFonts w:ascii="Open Sans Light" w:eastAsia="Open Sans Light" w:hAnsi="Open Sans Light" w:cs="Open Sans Light"/>
          <w:b/>
          <w:bCs/>
          <w:color w:val="303AB2"/>
        </w:rPr>
      </w:pPr>
    </w:p>
    <w:p w14:paraId="52E09678" w14:textId="77777777" w:rsidR="006C076D"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0CF96CD6" w14:textId="77777777" w:rsidR="006C07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w:t>
      </w:r>
    </w:p>
    <w:p w14:paraId="57D10F27" w14:textId="77777777" w:rsidR="006C07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5">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0A3F3AF7" w14:textId="77777777" w:rsidR="006C07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6">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6C5C982" w14:textId="77777777" w:rsidR="006C07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7">
        <w:r>
          <w:rPr>
            <w:rFonts w:ascii="Open Sans" w:eastAsia="Open Sans" w:hAnsi="Open Sans" w:cs="Open Sans"/>
            <w:b/>
            <w:bCs/>
            <w:color w:val="0000FF"/>
            <w:sz w:val="22"/>
            <w:szCs w:val="22"/>
            <w:u w:val="single"/>
          </w:rPr>
          <w:t>Sala de Prensa</w:t>
        </w:r>
      </w:hyperlink>
    </w:p>
    <w:p w14:paraId="5CD04768" w14:textId="77777777" w:rsidR="006C076D" w:rsidRDefault="006C076D">
      <w:pPr>
        <w:spacing w:line="276" w:lineRule="auto"/>
        <w:rPr>
          <w:rFonts w:ascii="Open Sans Light" w:eastAsia="Open Sans Light" w:hAnsi="Open Sans Light" w:cs="Open Sans Light"/>
          <w:b/>
          <w:bCs/>
          <w:color w:val="303AB2"/>
        </w:rPr>
      </w:pPr>
    </w:p>
    <w:p w14:paraId="3D50500D" w14:textId="77777777" w:rsidR="006C076D" w:rsidRDefault="006C076D">
      <w:pPr>
        <w:spacing w:line="276" w:lineRule="auto"/>
        <w:rPr>
          <w:rFonts w:ascii="Open Sans Light" w:eastAsia="Open Sans Light" w:hAnsi="Open Sans Light" w:cs="Open Sans Light"/>
          <w:b/>
          <w:bCs/>
          <w:color w:val="303AB2"/>
        </w:rPr>
      </w:pPr>
    </w:p>
    <w:p w14:paraId="31CE5919" w14:textId="77777777" w:rsidR="009240AE" w:rsidRDefault="009240AE">
      <w:pPr>
        <w:spacing w:line="276" w:lineRule="auto"/>
        <w:rPr>
          <w:rFonts w:ascii="Open Sans Light" w:eastAsia="Open Sans Light" w:hAnsi="Open Sans Light" w:cs="Open Sans Light"/>
          <w:b/>
          <w:bCs/>
          <w:color w:val="303AB2"/>
        </w:rPr>
      </w:pPr>
    </w:p>
    <w:p w14:paraId="4D1BD272" w14:textId="77777777" w:rsidR="006C076D"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 xml:space="preserve">Sobre Fotocasa </w:t>
      </w:r>
      <w:proofErr w:type="spellStart"/>
      <w:r>
        <w:rPr>
          <w:rFonts w:ascii="Open Sans Light" w:eastAsia="Open Sans Light" w:hAnsi="Open Sans Light" w:cs="Open Sans Light"/>
          <w:b/>
          <w:bCs/>
          <w:color w:val="303AB2"/>
        </w:rPr>
        <w:t>Group</w:t>
      </w:r>
      <w:proofErr w:type="spellEnd"/>
    </w:p>
    <w:p w14:paraId="3F654372" w14:textId="77777777" w:rsidR="006C07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 xml:space="preserve">Fotocasa </w:t>
      </w:r>
      <w:proofErr w:type="spellStart"/>
      <w:r>
        <w:rPr>
          <w:rFonts w:ascii="Open Sans" w:eastAsia="Open Sans" w:hAnsi="Open Sans" w:cs="Open Sans"/>
          <w:b/>
          <w:bCs/>
          <w:sz w:val="22"/>
          <w:szCs w:val="22"/>
        </w:rPr>
        <w:t>Group</w:t>
      </w:r>
      <w:proofErr w:type="spellEnd"/>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AD932B3" w14:textId="77777777" w:rsidR="006C07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Bajo su marca paraguas,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impulsa y da visibilidad a un ecosistema de marcas líderes —</w:t>
      </w:r>
      <w:hyperlink r:id="rId18">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9">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1">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2">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3">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697ABF09" w14:textId="77777777" w:rsidR="006C07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24FFBD73" w14:textId="77777777" w:rsidR="006C07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En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459F3D75" w14:textId="404F1F65" w:rsidR="006C076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0905849B" w14:textId="77777777" w:rsidR="006C076D" w:rsidRDefault="006C076D">
      <w:pPr>
        <w:spacing w:line="276" w:lineRule="auto"/>
        <w:jc w:val="right"/>
        <w:rPr>
          <w:rFonts w:ascii="Open Sans" w:eastAsia="Open Sans" w:hAnsi="Open Sans" w:cs="Open Sans"/>
        </w:rPr>
      </w:pPr>
    </w:p>
    <w:p w14:paraId="33BCE349" w14:textId="77777777" w:rsidR="006C076D"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3CFC90E3" w14:textId="77777777" w:rsidR="009240AE" w:rsidRDefault="009240AE">
      <w:pPr>
        <w:spacing w:line="276" w:lineRule="auto"/>
        <w:rPr>
          <w:rFonts w:ascii="Open Sans Light" w:eastAsia="Open Sans Light" w:hAnsi="Open Sans Light" w:cs="Open Sans Light"/>
          <w:b/>
          <w:bCs/>
          <w:color w:val="303AB2"/>
          <w:sz w:val="22"/>
          <w:szCs w:val="22"/>
        </w:rPr>
      </w:pPr>
    </w:p>
    <w:p w14:paraId="70682B1A" w14:textId="77777777" w:rsidR="006C076D"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674A7E80" w14:textId="77777777" w:rsidR="006C076D"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2FE3F0A8" w14:textId="77777777" w:rsidR="006C076D"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6C076D">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3E079" w14:textId="77777777" w:rsidR="00CA1675" w:rsidRDefault="00CA1675">
      <w:r>
        <w:separator/>
      </w:r>
    </w:p>
  </w:endnote>
  <w:endnote w:type="continuationSeparator" w:id="0">
    <w:p w14:paraId="524A7C18" w14:textId="77777777" w:rsidR="00CA1675" w:rsidRDefault="00CA1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0626B19-359D-4120-B40B-9E583485154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8FF538C-2633-432B-A640-C10F028AFB67}"/>
    <w:embedBold r:id="rId3" w:fontKey="{A6BA3B3D-ECD4-4E5D-ACC5-CBDEE3C5ACE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68EA50E-4C63-4E96-9056-D0C6C23095DE}"/>
  </w:font>
  <w:font w:name="Georgia">
    <w:panose1 w:val="02040502050405020303"/>
    <w:charset w:val="00"/>
    <w:family w:val="roman"/>
    <w:pitch w:val="variable"/>
    <w:sig w:usb0="00000287" w:usb1="00000000" w:usb2="00000000" w:usb3="00000000" w:csb0="0000009F" w:csb1="00000000"/>
    <w:embedItalic r:id="rId5" w:fontKey="{0CCF91BC-D8A1-4D5D-BCD0-E4A448A740D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79B654EC-09ED-42BB-BFA6-D9BFC6B6A59E}"/>
    <w:embedBold r:id="rId7" w:fontKey="{2BFAB05A-306F-419A-8D53-C5AA78C2AAB0}"/>
  </w:font>
  <w:font w:name="Open Sans Light">
    <w:charset w:val="00"/>
    <w:family w:val="swiss"/>
    <w:pitch w:val="variable"/>
    <w:sig w:usb0="E00002EF" w:usb1="4000205B" w:usb2="00000028" w:usb3="00000000" w:csb0="0000019F" w:csb1="00000000"/>
    <w:embedBold r:id="rId8" w:fontKey="{44943890-DD10-44AC-B37B-F7696F96D8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D0964" w14:textId="77777777" w:rsidR="006C076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35FED78" wp14:editId="42261C37">
          <wp:simplePos x="0" y="0"/>
          <wp:positionH relativeFrom="column">
            <wp:posOffset>-1068043</wp:posOffset>
          </wp:positionH>
          <wp:positionV relativeFrom="paragraph">
            <wp:posOffset>174608</wp:posOffset>
          </wp:positionV>
          <wp:extent cx="7670550" cy="451315"/>
          <wp:effectExtent l="0" t="0" r="0" b="0"/>
          <wp:wrapNone/>
          <wp:docPr id="20668166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5C851" w14:textId="77777777" w:rsidR="00CA1675" w:rsidRDefault="00CA1675">
      <w:r>
        <w:separator/>
      </w:r>
    </w:p>
  </w:footnote>
  <w:footnote w:type="continuationSeparator" w:id="0">
    <w:p w14:paraId="1B406CA7" w14:textId="77777777" w:rsidR="00CA1675" w:rsidRDefault="00CA16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17FB6"/>
    <w:multiLevelType w:val="multilevel"/>
    <w:tmpl w:val="BDD2A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4377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76D"/>
    <w:rsid w:val="000D0F56"/>
    <w:rsid w:val="005F4504"/>
    <w:rsid w:val="006C076D"/>
    <w:rsid w:val="009240AE"/>
    <w:rsid w:val="00CA1675"/>
    <w:rsid w:val="00F200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A2FF7"/>
  <w15:docId w15:val="{FD9BBAD5-80EB-45D8-A1D3-4D954DD6B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fotocasa.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atavenues.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prensa.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esearch.fotocasa.es" TargetMode="External"/><Relationship Id="rId20" Type="http://schemas.openxmlformats.org/officeDocument/2006/relationships/hyperlink" Target="https://profesionales.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inmoweb.es/" TargetMode="External"/><Relationship Id="rId10" Type="http://schemas.openxmlformats.org/officeDocument/2006/relationships/hyperlink" Target="https://s36360.pcdn.co/wp-content/uploads/2025/11/Informe-La-vivienda-de-obra-nueva-en-2025.pdf"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s36360.pcdn.co/wp-content/uploads/2025/11/Informe-La-vivienda-de-obra-nueva-en-2025.pdf" TargetMode="External"/><Relationship Id="rId14" Type="http://schemas.openxmlformats.org/officeDocument/2006/relationships/image" Target="media/image3.png"/><Relationship Id="rId22" Type="http://schemas.openxmlformats.org/officeDocument/2006/relationships/hyperlink" Target="https://get.witei.com/e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Yw7vWn8Ph9PKYG7S/ER5iGwi/A==">CgMxLjA4AHIhMWJKSk1mZ2k1UE1KQ0FvWUxhdEVSZFRSSWVYb0ZjdmVm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1000</Words>
  <Characters>5503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2025-11-17T13:27:00Z</dcterms:modified>
</cp:coreProperties>
</file>