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-1080117</wp:posOffset>
            </wp:positionH>
            <wp:positionV relativeFrom="paragraph">
              <wp:posOffset>-654666</wp:posOffset>
            </wp:positionV>
            <wp:extent cx="7581265" cy="1019175"/>
            <wp:effectExtent b="0" l="0" r="0" t="0"/>
            <wp:wrapNone/>
            <wp:docPr id="20668166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color w:val="1dbdc5"/>
          <w:sz w:val="34"/>
          <w:szCs w:val="34"/>
        </w:rPr>
      </w:pPr>
      <w:r w:rsidDel="00000000" w:rsidR="00000000" w:rsidRPr="00000000">
        <w:rPr>
          <w:rtl w:val="0"/>
        </w:rPr>
      </w:r>
    </w:p>
    <w:p w:rsidR="00000000" w:rsidDel="00000000" w:rsidP="00000000" w:rsidRDefault="00000000" w:rsidRPr="00000000" w14:paraId="00000005">
      <w:pPr>
        <w:jc w:val="center"/>
        <w:rPr>
          <w:rFonts w:ascii="National" w:cs="National" w:eastAsia="National" w:hAnsi="National"/>
          <w:b w:val="1"/>
          <w:color w:val="1dbdc5"/>
          <w:sz w:val="32"/>
          <w:szCs w:val="32"/>
        </w:rPr>
      </w:pPr>
      <w:r w:rsidDel="00000000" w:rsidR="00000000" w:rsidRPr="00000000">
        <w:rPr>
          <w:rFonts w:ascii="National" w:cs="National" w:eastAsia="National" w:hAnsi="National"/>
          <w:b w:val="1"/>
          <w:color w:val="1dbdc5"/>
          <w:sz w:val="32"/>
          <w:szCs w:val="32"/>
          <w:rtl w:val="0"/>
        </w:rPr>
        <w:t xml:space="preserve">BIG DATA Y GEOLOCALIZACIÓN EN EL SECTOR INMOBILIARIO</w:t>
      </w:r>
    </w:p>
    <w:p w:rsidR="00000000" w:rsidDel="00000000" w:rsidP="00000000" w:rsidRDefault="00000000" w:rsidRPr="00000000" w14:paraId="00000006">
      <w:pPr>
        <w:jc w:val="center"/>
        <w:rPr>
          <w:rFonts w:ascii="National" w:cs="National" w:eastAsia="National" w:hAnsi="National"/>
          <w:b w:val="1"/>
          <w:color w:val="303ab2"/>
          <w:sz w:val="44"/>
          <w:szCs w:val="44"/>
        </w:rPr>
      </w:pPr>
      <w:r w:rsidDel="00000000" w:rsidR="00000000" w:rsidRPr="00000000">
        <w:rPr>
          <w:rFonts w:ascii="National" w:cs="National" w:eastAsia="National" w:hAnsi="National"/>
          <w:b w:val="1"/>
          <w:color w:val="303ab2"/>
          <w:sz w:val="44"/>
          <w:szCs w:val="44"/>
          <w:rtl w:val="0"/>
        </w:rPr>
        <w:t xml:space="preserve">Matiko, Neguri e Indautxu son las estaciones de metro de Bilbao más caras para comprar vivienda y superan los 5.000 €/m²</w:t>
      </w:r>
    </w:p>
    <w:p w:rsidR="00000000" w:rsidDel="00000000" w:rsidP="00000000" w:rsidRDefault="00000000" w:rsidRPr="00000000" w14:paraId="00000007">
      <w:pPr>
        <w:jc w:val="center"/>
        <w:rPr>
          <w:rFonts w:ascii="Open Sans" w:cs="Open Sans" w:eastAsia="Open Sans" w:hAnsi="Open Sans"/>
          <w:color w:val="303ab2"/>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Las paradas más céntricas de la capital vizcaína registran precios superiores a los 5.000 euros por metro cuadrado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Las valoraciones más altas se extienden por la red de metro desde el centro de la ciudad a través de la línea 1, hacia municipios como Getxo o Berango</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Por el contrario, las estaciones más baratas se encuentran en los extremos noroeste y sureste de la red de Metro bilbaína</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Las paradas de Sestao, Astrabudua y Portugalete tienen precios alrededor de los 2.700 euros por metro cuadrado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Madrid, 6 de noviembre de 2025</w:t>
        <w:tab/>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color w:val="303ab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Las estaciones de Matiko (L3), Neguri (L1) y Indautxu (L1/L2) concentran la oferta de vivienda de compra más cara de la red de Metro de Bilbao, con valores superiores a los 5.000 euros por metro cuadrado. Así, en un radio de 300 metros de estas estaciones del Metro bilbaíno, existen viviendas con un precio medio de 5.304 euros por metro cuadrado en el caso de Matiko y de 5.214 €/m² en la parada de Indautxu (ambas en Bilbao capital), y de 5.247 €/m² en lo relativo a la parada de Neguri (en la localidad de Getxo), </w:t>
      </w:r>
      <w:r w:rsidDel="00000000" w:rsidR="00000000" w:rsidRPr="00000000">
        <w:rPr>
          <w:rFonts w:ascii="Open Sans" w:cs="Open Sans" w:eastAsia="Open Sans" w:hAnsi="Open Sans"/>
          <w:b w:val="1"/>
          <w:rtl w:val="0"/>
        </w:rPr>
        <w:t xml:space="preserve">según los datos del portal inmobiliario </w:t>
      </w:r>
      <w:hyperlink r:id="rId8">
        <w:r w:rsidDel="00000000" w:rsidR="00000000" w:rsidRPr="00000000">
          <w:rPr>
            <w:rFonts w:ascii="Open Sans" w:cs="Open Sans" w:eastAsia="Open Sans" w:hAnsi="Open Sans"/>
            <w:b w:val="1"/>
            <w:color w:val="0000ff"/>
            <w:u w:val="single"/>
            <w:rtl w:val="0"/>
          </w:rPr>
          <w:t xml:space="preserve">Fotocasa</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rPr>
      </w:pPr>
      <w:r w:rsidDel="00000000" w:rsidR="00000000" w:rsidRPr="00000000">
        <w:rPr>
          <w:rFonts w:ascii="Open Sans" w:cs="Open Sans" w:eastAsia="Open Sans" w:hAnsi="Open Sans"/>
          <w:rtl w:val="0"/>
        </w:rPr>
        <w:t xml:space="preserve">“Bilbao continúa consolidándose como uno de los mercados residenciales más fuertes del norte de España. La concentración de precios por encima de los 5.000 euros refleja la alta demanda y el escaso nivel de oferta disponible en las áreas más céntricas y consolidadas de la ciudad, ya que se trata de entornos muy valorados por su calidad de vida, sus servicios y su buena conexión con el resto del área metropolitana”, </w:t>
      </w:r>
      <w:r w:rsidDel="00000000" w:rsidR="00000000" w:rsidRPr="00000000">
        <w:rPr>
          <w:rFonts w:ascii="Open Sans" w:cs="Open Sans" w:eastAsia="Open Sans" w:hAnsi="Open Sans"/>
          <w:b w:val="1"/>
          <w:rtl w:val="0"/>
        </w:rPr>
        <w:t xml:space="preserve">explica María Matos, directora de Estudios de </w:t>
      </w:r>
      <w:hyperlink r:id="rId9">
        <w:r w:rsidDel="00000000" w:rsidR="00000000" w:rsidRPr="00000000">
          <w:rPr>
            <w:rFonts w:ascii="Open Sans" w:cs="Open Sans" w:eastAsia="Open Sans" w:hAnsi="Open Sans"/>
            <w:b w:val="1"/>
            <w:color w:val="0000ff"/>
            <w:u w:val="single"/>
            <w:rtl w:val="0"/>
          </w:rPr>
          <w:t xml:space="preserve">Fotocasa</w:t>
        </w:r>
      </w:hyperlink>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Siguiendo el eje de la línea roja (L1) flanqueando la estación de Neguri, se encuentran las paradas de Gobela (4.554 €/m²) y Aiboa (4.509 €/m²)</w:t>
      </w:r>
      <w:r w:rsidDel="00000000" w:rsidR="00000000" w:rsidRPr="00000000">
        <w:rPr>
          <w:rFonts w:ascii="Open Sans" w:cs="Open Sans" w:eastAsia="Open Sans" w:hAnsi="Open Sans"/>
          <w:rtl w:val="0"/>
        </w:rPr>
        <w:t xml:space="preserve">, también en el municipio de Getxo. Más al norte, la misma línea roja nos acerca a las paradas de Berango (4.987 €/m²) y Urduliz (4.388 €/m²), ubicadas en las localidades con el mismo nombre.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otro lado, </w:t>
      </w:r>
      <w:r w:rsidDel="00000000" w:rsidR="00000000" w:rsidRPr="00000000">
        <w:rPr>
          <w:rFonts w:ascii="Open Sans" w:cs="Open Sans" w:eastAsia="Open Sans" w:hAnsi="Open Sans"/>
          <w:b w:val="1"/>
          <w:rtl w:val="0"/>
        </w:rPr>
        <w:t xml:space="preserve">volviendo con la línea roja hacia el centro de Bilbao capital, nos encontramos con dos importantes intercambiadores ferroviarios de la ciudad vasca</w:t>
      </w:r>
      <w:r w:rsidDel="00000000" w:rsidR="00000000" w:rsidRPr="00000000">
        <w:rPr>
          <w:rFonts w:ascii="Open Sans" w:cs="Open Sans" w:eastAsia="Open Sans" w:hAnsi="Open Sans"/>
          <w:rtl w:val="0"/>
        </w:rPr>
        <w:t xml:space="preserve">: se trata de las estaciones de San Mamés (4.703 €/m²), en el distrito de Basurto-Zorroza, y Abando (4.416 €/m²), situada en el barrio homónimo, ambas con correspondencia con la línea marrón (L2) y con varios corredores de Cercanías. Muy cerca de estas ubicaciones, también en la confluencia de las líneas 1 y 2, terminamos este viaje por las diez estaciones más caras de la red de Metro de Bilbao en la céntrica parada de Moyua (4.796 €/m²).</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color w:val="303ab2"/>
          <w:sz w:val="32"/>
          <w:szCs w:val="32"/>
        </w:rPr>
      </w:pPr>
      <w:r w:rsidDel="00000000" w:rsidR="00000000" w:rsidRPr="00000000">
        <w:rPr>
          <w:rFonts w:ascii="National" w:cs="National" w:eastAsia="National" w:hAnsi="National"/>
          <w:b w:val="1"/>
          <w:color w:val="303ab2"/>
          <w:sz w:val="32"/>
          <w:szCs w:val="32"/>
          <w:rtl w:val="0"/>
        </w:rPr>
        <w:t xml:space="preserve">Una realidad metropolitana muy desigual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el extremo opuesto</w:t>
      </w:r>
      <w:r w:rsidDel="00000000" w:rsidR="00000000" w:rsidRPr="00000000">
        <w:rPr>
          <w:rFonts w:ascii="Open Sans" w:cs="Open Sans" w:eastAsia="Open Sans" w:hAnsi="Open Sans"/>
          <w:b w:val="1"/>
          <w:rtl w:val="0"/>
        </w:rPr>
        <w:t xml:space="preserve">, las zonas con precios más asequibles se concentran en otros municipios del área metropolitana de Bilbao y en los barrios periféricos de la capital, con precios generalmente alrededor de los 3.000 €/m²</w:t>
      </w:r>
      <w:r w:rsidDel="00000000" w:rsidR="00000000" w:rsidRPr="00000000">
        <w:rPr>
          <w:rFonts w:ascii="Open Sans" w:cs="Open Sans" w:eastAsia="Open Sans" w:hAnsi="Open Sans"/>
          <w:rtl w:val="0"/>
        </w:rPr>
        <w:t xml:space="preserve">. Es el caso de las estaciones de Sestao y Portugalete, casi en el extremo noroeste de la línea marrón (L2), en los municipios con el mismo nombre, con precios medios de compraventa de 2.676 €/m² y 2.750 €/m², respectivamente. Siguiendo este eje de la L2, nos encontramos también otras estaciones con los precios más bajos de la red de Metro de Bilbao: es el caso de Abatxolo (2.953 €/m²), en Portugalete, así como Guruzeta – Cruces (3.085 €/m²) y Bagatza (3.269 €/m²), ambas en Barakaldo.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otro lado, </w:t>
      </w:r>
      <w:r w:rsidDel="00000000" w:rsidR="00000000" w:rsidRPr="00000000">
        <w:rPr>
          <w:rFonts w:ascii="Open Sans" w:cs="Open Sans" w:eastAsia="Open Sans" w:hAnsi="Open Sans"/>
          <w:b w:val="1"/>
          <w:rtl w:val="0"/>
        </w:rPr>
        <w:t xml:space="preserve">varios barrios y municipios situados en el extremo sureste de la ciudad vasca concentran otras de las estaciones de Metro más baratas de Bilbao</w:t>
      </w:r>
      <w:r w:rsidDel="00000000" w:rsidR="00000000" w:rsidRPr="00000000">
        <w:rPr>
          <w:rFonts w:ascii="Open Sans" w:cs="Open Sans" w:eastAsia="Open Sans" w:hAnsi="Open Sans"/>
          <w:rtl w:val="0"/>
        </w:rPr>
        <w:t xml:space="preserve">. Se trata de paradas como Basauri (2.894 €/m²) y Ariz (3.162 €/m²), en la localidad de Basauri y en el extremo de la L2, o Kukullaga (2.830 €/m²), en el municipio de Etxebarri, en la punta de la línea rosa (L3). Ya en Bilbao capital y en los barrios más orientales de la ciudad, se encuentran otras paradas de la L3 con viviendas relativamente asequibles, como Zurbaranbarri (3.025 €/m²), Uribarri (2.980 €/m²), o Otxarkoaga (2.885 €/m²).</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último, </w:t>
      </w:r>
      <w:r w:rsidDel="00000000" w:rsidR="00000000" w:rsidRPr="00000000">
        <w:rPr>
          <w:rFonts w:ascii="Open Sans" w:cs="Open Sans" w:eastAsia="Open Sans" w:hAnsi="Open Sans"/>
          <w:b w:val="1"/>
          <w:rtl w:val="0"/>
        </w:rPr>
        <w:t xml:space="preserve">terminamos el trayecto dirigiéndonos de nuevo hacia el noroeste, pero esta vez a bordo de la L1</w:t>
      </w:r>
      <w:r w:rsidDel="00000000" w:rsidR="00000000" w:rsidRPr="00000000">
        <w:rPr>
          <w:rFonts w:ascii="Open Sans" w:cs="Open Sans" w:eastAsia="Open Sans" w:hAnsi="Open Sans"/>
          <w:rtl w:val="0"/>
        </w:rPr>
        <w:t xml:space="preserve">. En este eje del Metro, podemos parar en las estaciones de Sarriko (2.950 €/m²), todavía en la ciudad de Bilbao, o bien en las paradas de Erandio (2.987 €/m²) y Astrabudua (2.717 €/m²), ambas en la localidad de Erandio. En el extremo norte de la L1, acabamos definitivamente el viaje en Plentzia (2.759 €/m²), en el municipio con el mismo nombre.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diferencia de precios entre las paradas con precios más altos y las más asequibles de la red de Metro de Bilbao supera los 2.500 euros por metro cuadrado. Esta brecha evidencia la fuerte desigualdad existente dentro del mercado metropolitano bilbaíno, donde el acceso a la vivienda es mucho más limitado en los barrios céntricos o costeros que en las zonas periféricas o del extrarradio”, </w:t>
      </w:r>
      <w:r w:rsidDel="00000000" w:rsidR="00000000" w:rsidRPr="00000000">
        <w:rPr>
          <w:rFonts w:ascii="Open Sans" w:cs="Open Sans" w:eastAsia="Open Sans" w:hAnsi="Open Sans"/>
          <w:b w:val="1"/>
          <w:rtl w:val="0"/>
        </w:rPr>
        <w:t xml:space="preserve">comenta María Matos, directora de Estudios de </w:t>
      </w:r>
      <w:hyperlink r:id="rId10">
        <w:r w:rsidDel="00000000" w:rsidR="00000000" w:rsidRPr="00000000">
          <w:rPr>
            <w:rFonts w:ascii="Open Sans" w:cs="Open Sans" w:eastAsia="Open Sans" w:hAnsi="Open Sans"/>
            <w:b w:val="1"/>
            <w:color w:val="0000ff"/>
            <w:u w:val="single"/>
            <w:rtl w:val="0"/>
          </w:rPr>
          <w:t xml:space="preserve">Fotocasa</w:t>
        </w:r>
      </w:hyperlink>
      <w:r w:rsidDel="00000000" w:rsidR="00000000" w:rsidRPr="00000000">
        <w:rPr>
          <w:rFonts w:ascii="Open Sans" w:cs="Open Sans" w:eastAsia="Open Sans" w:hAnsi="Open Sans"/>
          <w:b w:val="1"/>
          <w:rtl w:val="0"/>
        </w:rPr>
        <w:t xml:space="preserv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color w:val="303ab2"/>
          <w:sz w:val="30"/>
          <w:szCs w:val="3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color w:val="303ab2"/>
          <w:sz w:val="30"/>
          <w:szCs w:val="30"/>
        </w:rPr>
      </w:pPr>
      <w:r w:rsidDel="00000000" w:rsidR="00000000" w:rsidRPr="00000000">
        <w:rPr>
          <w:rFonts w:ascii="National" w:cs="National" w:eastAsia="National" w:hAnsi="National"/>
          <w:b w:val="1"/>
          <w:color w:val="303ab2"/>
          <w:sz w:val="30"/>
          <w:szCs w:val="30"/>
          <w:rtl w:val="0"/>
        </w:rPr>
        <w:t xml:space="preserve">Las paradas de metro más caras y baratas de Bilbao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color w:val="303ab2"/>
          <w:sz w:val="30"/>
          <w:szCs w:val="30"/>
        </w:rPr>
      </w:pPr>
      <w:r w:rsidDel="00000000" w:rsidR="00000000" w:rsidRPr="00000000">
        <w:rPr>
          <w:rtl w:val="0"/>
        </w:rPr>
      </w:r>
    </w:p>
    <w:tbl>
      <w:tblPr>
        <w:tblStyle w:val="Table1"/>
        <w:tblW w:w="6374.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114"/>
        <w:gridCol w:w="3260"/>
        <w:tblGridChange w:id="0">
          <w:tblGrid>
            <w:gridCol w:w="3114"/>
            <w:gridCol w:w="3260"/>
          </w:tblGrid>
        </w:tblGridChange>
      </w:tblGrid>
      <w:tr>
        <w:trPr>
          <w:cantSplit w:val="0"/>
          <w:tblHeader w:val="0"/>
        </w:trPr>
        <w:tc>
          <w:tcPr/>
          <w:p w:rsidR="00000000" w:rsidDel="00000000" w:rsidP="00000000" w:rsidRDefault="00000000" w:rsidRPr="00000000" w14:paraId="00000023">
            <w:pPr>
              <w:spacing w:line="276" w:lineRule="auto"/>
              <w:jc w:val="center"/>
              <w:rPr>
                <w:rFonts w:ascii="National" w:cs="National" w:eastAsia="National" w:hAnsi="National"/>
                <w:color w:val="303ab2"/>
                <w:sz w:val="28"/>
                <w:szCs w:val="28"/>
              </w:rPr>
            </w:pPr>
            <w:r w:rsidDel="00000000" w:rsidR="00000000" w:rsidRPr="00000000">
              <w:rPr>
                <w:rFonts w:ascii="Open Sans" w:cs="Open Sans" w:eastAsia="Open Sans" w:hAnsi="Open Sans"/>
                <w:sz w:val="28"/>
                <w:szCs w:val="28"/>
                <w:rtl w:val="0"/>
              </w:rPr>
              <w:t xml:space="preserve">Estación</w:t>
            </w:r>
            <w:r w:rsidDel="00000000" w:rsidR="00000000" w:rsidRPr="00000000">
              <w:rPr>
                <w:rtl w:val="0"/>
              </w:rPr>
            </w:r>
          </w:p>
        </w:tc>
        <w:tc>
          <w:tcPr/>
          <w:p w:rsidR="00000000" w:rsidDel="00000000" w:rsidP="00000000" w:rsidRDefault="00000000" w:rsidRPr="00000000" w14:paraId="00000024">
            <w:pPr>
              <w:spacing w:line="276" w:lineRule="auto"/>
              <w:jc w:val="center"/>
              <w:rPr>
                <w:rFonts w:ascii="National" w:cs="National" w:eastAsia="National" w:hAnsi="National"/>
                <w:color w:val="303ab2"/>
                <w:sz w:val="28"/>
                <w:szCs w:val="28"/>
              </w:rPr>
            </w:pPr>
            <w:r w:rsidDel="00000000" w:rsidR="00000000" w:rsidRPr="00000000">
              <w:rPr>
                <w:rFonts w:ascii="Open Sans" w:cs="Open Sans" w:eastAsia="Open Sans" w:hAnsi="Open Sans"/>
                <w:sz w:val="28"/>
                <w:szCs w:val="28"/>
                <w:rtl w:val="0"/>
              </w:rPr>
              <w:t xml:space="preserve">Precio medio (€/m²)</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25">
            <w:pPr>
              <w:spacing w:line="276" w:lineRule="auto"/>
              <w:rPr/>
            </w:pPr>
            <w:r w:rsidDel="00000000" w:rsidR="00000000" w:rsidRPr="00000000">
              <w:rPr>
                <w:rtl w:val="0"/>
              </w:rPr>
              <w:t xml:space="preserve">Matiko</w:t>
            </w:r>
          </w:p>
        </w:tc>
        <w:tc>
          <w:tcPr>
            <w:vAlign w:val="bottom"/>
          </w:tcPr>
          <w:p w:rsidR="00000000" w:rsidDel="00000000" w:rsidP="00000000" w:rsidRDefault="00000000" w:rsidRPr="00000000" w14:paraId="00000026">
            <w:pPr>
              <w:spacing w:line="276" w:lineRule="auto"/>
              <w:jc w:val="center"/>
              <w:rPr/>
            </w:pPr>
            <w:r w:rsidDel="00000000" w:rsidR="00000000" w:rsidRPr="00000000">
              <w:rPr>
                <w:rtl w:val="0"/>
              </w:rPr>
              <w:t xml:space="preserve">5.304</w:t>
            </w:r>
          </w:p>
        </w:tc>
      </w:tr>
      <w:tr>
        <w:trPr>
          <w:cantSplit w:val="0"/>
          <w:tblHeader w:val="0"/>
        </w:trPr>
        <w:tc>
          <w:tcPr>
            <w:vAlign w:val="bottom"/>
          </w:tcPr>
          <w:p w:rsidR="00000000" w:rsidDel="00000000" w:rsidP="00000000" w:rsidRDefault="00000000" w:rsidRPr="00000000" w14:paraId="00000027">
            <w:pPr>
              <w:spacing w:line="276" w:lineRule="auto"/>
              <w:rPr/>
            </w:pPr>
            <w:r w:rsidDel="00000000" w:rsidR="00000000" w:rsidRPr="00000000">
              <w:rPr>
                <w:rtl w:val="0"/>
              </w:rPr>
              <w:t xml:space="preserve">Neguri</w:t>
            </w:r>
          </w:p>
        </w:tc>
        <w:tc>
          <w:tcPr>
            <w:vAlign w:val="bottom"/>
          </w:tcPr>
          <w:p w:rsidR="00000000" w:rsidDel="00000000" w:rsidP="00000000" w:rsidRDefault="00000000" w:rsidRPr="00000000" w14:paraId="00000028">
            <w:pPr>
              <w:spacing w:line="276" w:lineRule="auto"/>
              <w:jc w:val="center"/>
              <w:rPr/>
            </w:pPr>
            <w:r w:rsidDel="00000000" w:rsidR="00000000" w:rsidRPr="00000000">
              <w:rPr>
                <w:rtl w:val="0"/>
              </w:rPr>
              <w:t xml:space="preserve">5.247</w:t>
            </w:r>
          </w:p>
        </w:tc>
      </w:tr>
      <w:tr>
        <w:trPr>
          <w:cantSplit w:val="0"/>
          <w:tblHeader w:val="0"/>
        </w:trPr>
        <w:tc>
          <w:tcPr>
            <w:vAlign w:val="bottom"/>
          </w:tcPr>
          <w:p w:rsidR="00000000" w:rsidDel="00000000" w:rsidP="00000000" w:rsidRDefault="00000000" w:rsidRPr="00000000" w14:paraId="00000029">
            <w:pPr>
              <w:spacing w:line="276" w:lineRule="auto"/>
              <w:rPr/>
            </w:pPr>
            <w:r w:rsidDel="00000000" w:rsidR="00000000" w:rsidRPr="00000000">
              <w:rPr>
                <w:rtl w:val="0"/>
              </w:rPr>
              <w:t xml:space="preserve">Indautxu</w:t>
            </w:r>
          </w:p>
        </w:tc>
        <w:tc>
          <w:tcPr>
            <w:vAlign w:val="bottom"/>
          </w:tcPr>
          <w:p w:rsidR="00000000" w:rsidDel="00000000" w:rsidP="00000000" w:rsidRDefault="00000000" w:rsidRPr="00000000" w14:paraId="0000002A">
            <w:pPr>
              <w:spacing w:line="276" w:lineRule="auto"/>
              <w:jc w:val="center"/>
              <w:rPr/>
            </w:pPr>
            <w:r w:rsidDel="00000000" w:rsidR="00000000" w:rsidRPr="00000000">
              <w:rPr>
                <w:rtl w:val="0"/>
              </w:rPr>
              <w:t xml:space="preserve">5.214</w:t>
            </w:r>
          </w:p>
        </w:tc>
      </w:tr>
      <w:tr>
        <w:trPr>
          <w:cantSplit w:val="0"/>
          <w:tblHeader w:val="0"/>
        </w:trPr>
        <w:tc>
          <w:tcPr>
            <w:vAlign w:val="bottom"/>
          </w:tcPr>
          <w:p w:rsidR="00000000" w:rsidDel="00000000" w:rsidP="00000000" w:rsidRDefault="00000000" w:rsidRPr="00000000" w14:paraId="0000002B">
            <w:pPr>
              <w:spacing w:line="276" w:lineRule="auto"/>
              <w:rPr/>
            </w:pPr>
            <w:r w:rsidDel="00000000" w:rsidR="00000000" w:rsidRPr="00000000">
              <w:rPr>
                <w:rtl w:val="0"/>
              </w:rPr>
              <w:t xml:space="preserve">Berango</w:t>
            </w:r>
          </w:p>
        </w:tc>
        <w:tc>
          <w:tcPr>
            <w:vAlign w:val="bottom"/>
          </w:tcPr>
          <w:p w:rsidR="00000000" w:rsidDel="00000000" w:rsidP="00000000" w:rsidRDefault="00000000" w:rsidRPr="00000000" w14:paraId="0000002C">
            <w:pPr>
              <w:spacing w:line="276" w:lineRule="auto"/>
              <w:jc w:val="center"/>
              <w:rPr/>
            </w:pPr>
            <w:r w:rsidDel="00000000" w:rsidR="00000000" w:rsidRPr="00000000">
              <w:rPr>
                <w:rtl w:val="0"/>
              </w:rPr>
              <w:t xml:space="preserve">4.987</w:t>
            </w:r>
          </w:p>
        </w:tc>
      </w:tr>
      <w:tr>
        <w:trPr>
          <w:cantSplit w:val="0"/>
          <w:tblHeader w:val="0"/>
        </w:trPr>
        <w:tc>
          <w:tcPr>
            <w:vAlign w:val="bottom"/>
          </w:tcPr>
          <w:p w:rsidR="00000000" w:rsidDel="00000000" w:rsidP="00000000" w:rsidRDefault="00000000" w:rsidRPr="00000000" w14:paraId="0000002D">
            <w:pPr>
              <w:spacing w:line="276" w:lineRule="auto"/>
              <w:rPr/>
            </w:pPr>
            <w:r w:rsidDel="00000000" w:rsidR="00000000" w:rsidRPr="00000000">
              <w:rPr>
                <w:rtl w:val="0"/>
              </w:rPr>
              <w:t xml:space="preserve">Moyua</w:t>
            </w:r>
          </w:p>
        </w:tc>
        <w:tc>
          <w:tcPr>
            <w:vAlign w:val="bottom"/>
          </w:tcPr>
          <w:p w:rsidR="00000000" w:rsidDel="00000000" w:rsidP="00000000" w:rsidRDefault="00000000" w:rsidRPr="00000000" w14:paraId="0000002E">
            <w:pPr>
              <w:spacing w:line="276" w:lineRule="auto"/>
              <w:jc w:val="center"/>
              <w:rPr/>
            </w:pPr>
            <w:r w:rsidDel="00000000" w:rsidR="00000000" w:rsidRPr="00000000">
              <w:rPr>
                <w:rtl w:val="0"/>
              </w:rPr>
              <w:t xml:space="preserve">4.796</w:t>
            </w:r>
          </w:p>
        </w:tc>
      </w:tr>
      <w:tr>
        <w:trPr>
          <w:cantSplit w:val="0"/>
          <w:tblHeader w:val="0"/>
        </w:trPr>
        <w:tc>
          <w:tcPr>
            <w:vAlign w:val="bottom"/>
          </w:tcPr>
          <w:p w:rsidR="00000000" w:rsidDel="00000000" w:rsidP="00000000" w:rsidRDefault="00000000" w:rsidRPr="00000000" w14:paraId="0000002F">
            <w:pPr>
              <w:spacing w:line="276" w:lineRule="auto"/>
              <w:rPr/>
            </w:pPr>
            <w:r w:rsidDel="00000000" w:rsidR="00000000" w:rsidRPr="00000000">
              <w:rPr>
                <w:rtl w:val="0"/>
              </w:rPr>
              <w:t xml:space="preserve">San Mamés</w:t>
            </w:r>
          </w:p>
        </w:tc>
        <w:tc>
          <w:tcPr>
            <w:vAlign w:val="bottom"/>
          </w:tcPr>
          <w:p w:rsidR="00000000" w:rsidDel="00000000" w:rsidP="00000000" w:rsidRDefault="00000000" w:rsidRPr="00000000" w14:paraId="00000030">
            <w:pPr>
              <w:spacing w:line="276" w:lineRule="auto"/>
              <w:jc w:val="center"/>
              <w:rPr/>
            </w:pPr>
            <w:r w:rsidDel="00000000" w:rsidR="00000000" w:rsidRPr="00000000">
              <w:rPr>
                <w:rtl w:val="0"/>
              </w:rPr>
              <w:t xml:space="preserve">4.703</w:t>
            </w:r>
          </w:p>
        </w:tc>
      </w:tr>
      <w:tr>
        <w:trPr>
          <w:cantSplit w:val="0"/>
          <w:tblHeader w:val="0"/>
        </w:trPr>
        <w:tc>
          <w:tcPr>
            <w:vAlign w:val="bottom"/>
          </w:tcPr>
          <w:p w:rsidR="00000000" w:rsidDel="00000000" w:rsidP="00000000" w:rsidRDefault="00000000" w:rsidRPr="00000000" w14:paraId="00000031">
            <w:pPr>
              <w:spacing w:line="276" w:lineRule="auto"/>
              <w:rPr/>
            </w:pPr>
            <w:r w:rsidDel="00000000" w:rsidR="00000000" w:rsidRPr="00000000">
              <w:rPr>
                <w:rtl w:val="0"/>
              </w:rPr>
              <w:t xml:space="preserve">Gobela</w:t>
            </w:r>
          </w:p>
        </w:tc>
        <w:tc>
          <w:tcPr>
            <w:vAlign w:val="bottom"/>
          </w:tcPr>
          <w:p w:rsidR="00000000" w:rsidDel="00000000" w:rsidP="00000000" w:rsidRDefault="00000000" w:rsidRPr="00000000" w14:paraId="00000032">
            <w:pPr>
              <w:spacing w:line="276" w:lineRule="auto"/>
              <w:jc w:val="center"/>
              <w:rPr/>
            </w:pPr>
            <w:r w:rsidDel="00000000" w:rsidR="00000000" w:rsidRPr="00000000">
              <w:rPr>
                <w:rtl w:val="0"/>
              </w:rPr>
              <w:t xml:space="preserve">4.554</w:t>
            </w:r>
          </w:p>
        </w:tc>
      </w:tr>
      <w:tr>
        <w:trPr>
          <w:cantSplit w:val="0"/>
          <w:tblHeader w:val="0"/>
        </w:trPr>
        <w:tc>
          <w:tcPr>
            <w:vAlign w:val="bottom"/>
          </w:tcPr>
          <w:p w:rsidR="00000000" w:rsidDel="00000000" w:rsidP="00000000" w:rsidRDefault="00000000" w:rsidRPr="00000000" w14:paraId="00000033">
            <w:pPr>
              <w:spacing w:line="276" w:lineRule="auto"/>
              <w:rPr/>
            </w:pPr>
            <w:r w:rsidDel="00000000" w:rsidR="00000000" w:rsidRPr="00000000">
              <w:rPr>
                <w:rtl w:val="0"/>
              </w:rPr>
              <w:t xml:space="preserve">Aiboa</w:t>
            </w:r>
          </w:p>
        </w:tc>
        <w:tc>
          <w:tcPr>
            <w:vAlign w:val="bottom"/>
          </w:tcPr>
          <w:p w:rsidR="00000000" w:rsidDel="00000000" w:rsidP="00000000" w:rsidRDefault="00000000" w:rsidRPr="00000000" w14:paraId="00000034">
            <w:pPr>
              <w:spacing w:line="276" w:lineRule="auto"/>
              <w:jc w:val="center"/>
              <w:rPr/>
            </w:pPr>
            <w:r w:rsidDel="00000000" w:rsidR="00000000" w:rsidRPr="00000000">
              <w:rPr>
                <w:rtl w:val="0"/>
              </w:rPr>
              <w:t xml:space="preserve">4.509</w:t>
            </w:r>
          </w:p>
        </w:tc>
      </w:tr>
      <w:tr>
        <w:trPr>
          <w:cantSplit w:val="0"/>
          <w:tblHeader w:val="0"/>
        </w:trPr>
        <w:tc>
          <w:tcPr>
            <w:vAlign w:val="bottom"/>
          </w:tcPr>
          <w:p w:rsidR="00000000" w:rsidDel="00000000" w:rsidP="00000000" w:rsidRDefault="00000000" w:rsidRPr="00000000" w14:paraId="00000035">
            <w:pPr>
              <w:spacing w:line="276" w:lineRule="auto"/>
              <w:rPr/>
            </w:pPr>
            <w:r w:rsidDel="00000000" w:rsidR="00000000" w:rsidRPr="00000000">
              <w:rPr>
                <w:rtl w:val="0"/>
              </w:rPr>
              <w:t xml:space="preserve">Abando</w:t>
            </w:r>
          </w:p>
        </w:tc>
        <w:tc>
          <w:tcPr>
            <w:vAlign w:val="bottom"/>
          </w:tcPr>
          <w:p w:rsidR="00000000" w:rsidDel="00000000" w:rsidP="00000000" w:rsidRDefault="00000000" w:rsidRPr="00000000" w14:paraId="00000036">
            <w:pPr>
              <w:spacing w:line="276" w:lineRule="auto"/>
              <w:jc w:val="center"/>
              <w:rPr/>
            </w:pPr>
            <w:r w:rsidDel="00000000" w:rsidR="00000000" w:rsidRPr="00000000">
              <w:rPr>
                <w:rtl w:val="0"/>
              </w:rPr>
              <w:t xml:space="preserve">4.416</w:t>
            </w:r>
          </w:p>
        </w:tc>
      </w:tr>
      <w:tr>
        <w:trPr>
          <w:cantSplit w:val="0"/>
          <w:tblHeader w:val="0"/>
        </w:trPr>
        <w:tc>
          <w:tcPr>
            <w:vAlign w:val="bottom"/>
          </w:tcPr>
          <w:p w:rsidR="00000000" w:rsidDel="00000000" w:rsidP="00000000" w:rsidRDefault="00000000" w:rsidRPr="00000000" w14:paraId="00000037">
            <w:pPr>
              <w:spacing w:line="276" w:lineRule="auto"/>
              <w:rPr/>
            </w:pPr>
            <w:r w:rsidDel="00000000" w:rsidR="00000000" w:rsidRPr="00000000">
              <w:rPr>
                <w:rtl w:val="0"/>
              </w:rPr>
              <w:t xml:space="preserve">Urduliz</w:t>
            </w:r>
          </w:p>
        </w:tc>
        <w:tc>
          <w:tcPr>
            <w:vAlign w:val="bottom"/>
          </w:tcPr>
          <w:p w:rsidR="00000000" w:rsidDel="00000000" w:rsidP="00000000" w:rsidRDefault="00000000" w:rsidRPr="00000000" w14:paraId="00000038">
            <w:pPr>
              <w:spacing w:line="276" w:lineRule="auto"/>
              <w:jc w:val="center"/>
              <w:rPr/>
            </w:pPr>
            <w:r w:rsidDel="00000000" w:rsidR="00000000" w:rsidRPr="00000000">
              <w:rPr>
                <w:rtl w:val="0"/>
              </w:rPr>
              <w:t xml:space="preserve">4.388</w:t>
            </w:r>
          </w:p>
        </w:tc>
      </w:tr>
      <w:tr>
        <w:trPr>
          <w:cantSplit w:val="0"/>
          <w:tblHeader w:val="0"/>
        </w:trPr>
        <w:tc>
          <w:tcPr>
            <w:vAlign w:val="bottom"/>
          </w:tcPr>
          <w:p w:rsidR="00000000" w:rsidDel="00000000" w:rsidP="00000000" w:rsidRDefault="00000000" w:rsidRPr="00000000" w14:paraId="00000039">
            <w:pPr>
              <w:spacing w:line="276" w:lineRule="auto"/>
              <w:rPr/>
            </w:pPr>
            <w:r w:rsidDel="00000000" w:rsidR="00000000" w:rsidRPr="00000000">
              <w:rPr>
                <w:rtl w:val="0"/>
              </w:rPr>
              <w:t xml:space="preserve">Algorta</w:t>
            </w:r>
          </w:p>
        </w:tc>
        <w:tc>
          <w:tcPr>
            <w:vAlign w:val="bottom"/>
          </w:tcPr>
          <w:p w:rsidR="00000000" w:rsidDel="00000000" w:rsidP="00000000" w:rsidRDefault="00000000" w:rsidRPr="00000000" w14:paraId="0000003A">
            <w:pPr>
              <w:spacing w:line="276" w:lineRule="auto"/>
              <w:jc w:val="center"/>
              <w:rPr/>
            </w:pPr>
            <w:r w:rsidDel="00000000" w:rsidR="00000000" w:rsidRPr="00000000">
              <w:rPr>
                <w:rtl w:val="0"/>
              </w:rPr>
              <w:t xml:space="preserve">4.137</w:t>
            </w:r>
          </w:p>
        </w:tc>
      </w:tr>
      <w:tr>
        <w:trPr>
          <w:cantSplit w:val="0"/>
          <w:tblHeader w:val="0"/>
        </w:trPr>
        <w:tc>
          <w:tcPr>
            <w:vAlign w:val="bottom"/>
          </w:tcPr>
          <w:p w:rsidR="00000000" w:rsidDel="00000000" w:rsidP="00000000" w:rsidRDefault="00000000" w:rsidRPr="00000000" w14:paraId="0000003B">
            <w:pPr>
              <w:spacing w:line="276" w:lineRule="auto"/>
              <w:rPr/>
            </w:pPr>
            <w:r w:rsidDel="00000000" w:rsidR="00000000" w:rsidRPr="00000000">
              <w:rPr>
                <w:rtl w:val="0"/>
              </w:rPr>
              <w:t xml:space="preserve">Areeta</w:t>
            </w:r>
          </w:p>
        </w:tc>
        <w:tc>
          <w:tcPr>
            <w:vAlign w:val="bottom"/>
          </w:tcPr>
          <w:p w:rsidR="00000000" w:rsidDel="00000000" w:rsidP="00000000" w:rsidRDefault="00000000" w:rsidRPr="00000000" w14:paraId="0000003C">
            <w:pPr>
              <w:spacing w:line="276" w:lineRule="auto"/>
              <w:jc w:val="center"/>
              <w:rPr/>
            </w:pPr>
            <w:r w:rsidDel="00000000" w:rsidR="00000000" w:rsidRPr="00000000">
              <w:rPr>
                <w:rtl w:val="0"/>
              </w:rPr>
              <w:t xml:space="preserve">4.054</w:t>
            </w:r>
          </w:p>
        </w:tc>
      </w:tr>
      <w:tr>
        <w:trPr>
          <w:cantSplit w:val="0"/>
          <w:tblHeader w:val="0"/>
        </w:trPr>
        <w:tc>
          <w:tcPr>
            <w:vAlign w:val="bottom"/>
          </w:tcPr>
          <w:p w:rsidR="00000000" w:rsidDel="00000000" w:rsidP="00000000" w:rsidRDefault="00000000" w:rsidRPr="00000000" w14:paraId="0000003D">
            <w:pPr>
              <w:spacing w:line="276" w:lineRule="auto"/>
              <w:rPr/>
            </w:pPr>
            <w:r w:rsidDel="00000000" w:rsidR="00000000" w:rsidRPr="00000000">
              <w:rPr>
                <w:rtl w:val="0"/>
              </w:rPr>
              <w:t xml:space="preserve">Sopela</w:t>
            </w:r>
          </w:p>
        </w:tc>
        <w:tc>
          <w:tcPr>
            <w:vAlign w:val="bottom"/>
          </w:tcPr>
          <w:p w:rsidR="00000000" w:rsidDel="00000000" w:rsidP="00000000" w:rsidRDefault="00000000" w:rsidRPr="00000000" w14:paraId="0000003E">
            <w:pPr>
              <w:spacing w:line="276" w:lineRule="auto"/>
              <w:jc w:val="center"/>
              <w:rPr/>
            </w:pPr>
            <w:r w:rsidDel="00000000" w:rsidR="00000000" w:rsidRPr="00000000">
              <w:rPr>
                <w:rtl w:val="0"/>
              </w:rPr>
              <w:t xml:space="preserve">4.002</w:t>
            </w:r>
          </w:p>
        </w:tc>
      </w:tr>
      <w:tr>
        <w:trPr>
          <w:cantSplit w:val="0"/>
          <w:tblHeader w:val="0"/>
        </w:trPr>
        <w:tc>
          <w:tcPr>
            <w:vAlign w:val="bottom"/>
          </w:tcPr>
          <w:p w:rsidR="00000000" w:rsidDel="00000000" w:rsidP="00000000" w:rsidRDefault="00000000" w:rsidRPr="00000000" w14:paraId="0000003F">
            <w:pPr>
              <w:spacing w:line="276" w:lineRule="auto"/>
              <w:rPr/>
            </w:pPr>
            <w:r w:rsidDel="00000000" w:rsidR="00000000" w:rsidRPr="00000000">
              <w:rPr>
                <w:rtl w:val="0"/>
              </w:rPr>
              <w:t xml:space="preserve">Deusto</w:t>
            </w:r>
          </w:p>
        </w:tc>
        <w:tc>
          <w:tcPr>
            <w:vAlign w:val="bottom"/>
          </w:tcPr>
          <w:p w:rsidR="00000000" w:rsidDel="00000000" w:rsidP="00000000" w:rsidRDefault="00000000" w:rsidRPr="00000000" w14:paraId="00000040">
            <w:pPr>
              <w:spacing w:line="276" w:lineRule="auto"/>
              <w:jc w:val="center"/>
              <w:rPr/>
            </w:pPr>
            <w:r w:rsidDel="00000000" w:rsidR="00000000" w:rsidRPr="00000000">
              <w:rPr>
                <w:rtl w:val="0"/>
              </w:rPr>
              <w:t xml:space="preserve">3.936</w:t>
            </w:r>
          </w:p>
        </w:tc>
      </w:tr>
      <w:tr>
        <w:trPr>
          <w:cantSplit w:val="0"/>
          <w:tblHeader w:val="0"/>
        </w:trPr>
        <w:tc>
          <w:tcPr>
            <w:vAlign w:val="bottom"/>
          </w:tcPr>
          <w:p w:rsidR="00000000" w:rsidDel="00000000" w:rsidP="00000000" w:rsidRDefault="00000000" w:rsidRPr="00000000" w14:paraId="00000041">
            <w:pPr>
              <w:spacing w:line="276" w:lineRule="auto"/>
              <w:rPr>
                <w:rFonts w:ascii="Open Sans" w:cs="Open Sans" w:eastAsia="Open Sans" w:hAnsi="Open Sans"/>
                <w:color w:val="ffffff"/>
                <w:sz w:val="22"/>
                <w:szCs w:val="22"/>
              </w:rPr>
            </w:pPr>
            <w:r w:rsidDel="00000000" w:rsidR="00000000" w:rsidRPr="00000000">
              <w:rPr>
                <w:rtl w:val="0"/>
              </w:rPr>
              <w:t xml:space="preserve">Bidezabal</w:t>
            </w:r>
            <w:r w:rsidDel="00000000" w:rsidR="00000000" w:rsidRPr="00000000">
              <w:rPr>
                <w:rtl w:val="0"/>
              </w:rPr>
            </w:r>
          </w:p>
        </w:tc>
        <w:tc>
          <w:tcPr>
            <w:vAlign w:val="bottom"/>
          </w:tcPr>
          <w:p w:rsidR="00000000" w:rsidDel="00000000" w:rsidP="00000000" w:rsidRDefault="00000000" w:rsidRPr="00000000" w14:paraId="00000042">
            <w:pPr>
              <w:spacing w:line="276" w:lineRule="auto"/>
              <w:jc w:val="center"/>
              <w:rPr/>
            </w:pPr>
            <w:r w:rsidDel="00000000" w:rsidR="00000000" w:rsidRPr="00000000">
              <w:rPr>
                <w:rtl w:val="0"/>
              </w:rPr>
              <w:t xml:space="preserve">3.922</w:t>
            </w:r>
          </w:p>
        </w:tc>
      </w:tr>
      <w:tr>
        <w:trPr>
          <w:cantSplit w:val="0"/>
          <w:tblHeader w:val="0"/>
        </w:trPr>
        <w:tc>
          <w:tcPr>
            <w:vAlign w:val="bottom"/>
          </w:tcPr>
          <w:p w:rsidR="00000000" w:rsidDel="00000000" w:rsidP="00000000" w:rsidRDefault="00000000" w:rsidRPr="00000000" w14:paraId="00000043">
            <w:pPr>
              <w:spacing w:line="276" w:lineRule="auto"/>
              <w:rPr/>
            </w:pPr>
            <w:r w:rsidDel="00000000" w:rsidR="00000000" w:rsidRPr="00000000">
              <w:rPr>
                <w:rtl w:val="0"/>
              </w:rPr>
              <w:t xml:space="preserve">Bagatza</w:t>
            </w:r>
          </w:p>
        </w:tc>
        <w:tc>
          <w:tcPr>
            <w:vAlign w:val="bottom"/>
          </w:tcPr>
          <w:p w:rsidR="00000000" w:rsidDel="00000000" w:rsidP="00000000" w:rsidRDefault="00000000" w:rsidRPr="00000000" w14:paraId="00000044">
            <w:pPr>
              <w:spacing w:line="276" w:lineRule="auto"/>
              <w:jc w:val="center"/>
              <w:rPr/>
            </w:pPr>
            <w:r w:rsidDel="00000000" w:rsidR="00000000" w:rsidRPr="00000000">
              <w:rPr>
                <w:rtl w:val="0"/>
              </w:rPr>
              <w:t xml:space="preserve">3.269</w:t>
            </w:r>
          </w:p>
        </w:tc>
      </w:tr>
      <w:tr>
        <w:trPr>
          <w:cantSplit w:val="0"/>
          <w:tblHeader w:val="0"/>
        </w:trPr>
        <w:tc>
          <w:tcPr>
            <w:vAlign w:val="bottom"/>
          </w:tcPr>
          <w:p w:rsidR="00000000" w:rsidDel="00000000" w:rsidP="00000000" w:rsidRDefault="00000000" w:rsidRPr="00000000" w14:paraId="00000045">
            <w:pPr>
              <w:spacing w:line="276" w:lineRule="auto"/>
              <w:rPr/>
            </w:pPr>
            <w:r w:rsidDel="00000000" w:rsidR="00000000" w:rsidRPr="00000000">
              <w:rPr>
                <w:rtl w:val="0"/>
              </w:rPr>
              <w:t xml:space="preserve">Ariz</w:t>
            </w:r>
          </w:p>
        </w:tc>
        <w:tc>
          <w:tcPr>
            <w:vAlign w:val="bottom"/>
          </w:tcPr>
          <w:p w:rsidR="00000000" w:rsidDel="00000000" w:rsidP="00000000" w:rsidRDefault="00000000" w:rsidRPr="00000000" w14:paraId="00000046">
            <w:pPr>
              <w:spacing w:line="276" w:lineRule="auto"/>
              <w:jc w:val="center"/>
              <w:rPr/>
            </w:pPr>
            <w:r w:rsidDel="00000000" w:rsidR="00000000" w:rsidRPr="00000000">
              <w:rPr>
                <w:rtl w:val="0"/>
              </w:rPr>
              <w:t xml:space="preserve">3.162</w:t>
            </w:r>
          </w:p>
        </w:tc>
      </w:tr>
      <w:tr>
        <w:trPr>
          <w:cantSplit w:val="0"/>
          <w:tblHeader w:val="0"/>
        </w:trPr>
        <w:tc>
          <w:tcPr>
            <w:vAlign w:val="bottom"/>
          </w:tcPr>
          <w:p w:rsidR="00000000" w:rsidDel="00000000" w:rsidP="00000000" w:rsidRDefault="00000000" w:rsidRPr="00000000" w14:paraId="00000047">
            <w:pPr>
              <w:spacing w:line="276" w:lineRule="auto"/>
              <w:rPr/>
            </w:pPr>
            <w:r w:rsidDel="00000000" w:rsidR="00000000" w:rsidRPr="00000000">
              <w:rPr>
                <w:rtl w:val="0"/>
              </w:rPr>
              <w:t xml:space="preserve">Gurutzeta - Cruces</w:t>
            </w:r>
          </w:p>
        </w:tc>
        <w:tc>
          <w:tcPr>
            <w:vAlign w:val="bottom"/>
          </w:tcPr>
          <w:p w:rsidR="00000000" w:rsidDel="00000000" w:rsidP="00000000" w:rsidRDefault="00000000" w:rsidRPr="00000000" w14:paraId="00000048">
            <w:pPr>
              <w:spacing w:line="276" w:lineRule="auto"/>
              <w:jc w:val="center"/>
              <w:rPr/>
            </w:pPr>
            <w:r w:rsidDel="00000000" w:rsidR="00000000" w:rsidRPr="00000000">
              <w:rPr>
                <w:rtl w:val="0"/>
              </w:rPr>
              <w:t xml:space="preserve">3.085</w:t>
            </w:r>
          </w:p>
        </w:tc>
      </w:tr>
      <w:tr>
        <w:trPr>
          <w:cantSplit w:val="0"/>
          <w:tblHeader w:val="0"/>
        </w:trPr>
        <w:tc>
          <w:tcPr>
            <w:vAlign w:val="bottom"/>
          </w:tcPr>
          <w:p w:rsidR="00000000" w:rsidDel="00000000" w:rsidP="00000000" w:rsidRDefault="00000000" w:rsidRPr="00000000" w14:paraId="00000049">
            <w:pPr>
              <w:spacing w:line="276" w:lineRule="auto"/>
              <w:rPr/>
            </w:pPr>
            <w:r w:rsidDel="00000000" w:rsidR="00000000" w:rsidRPr="00000000">
              <w:rPr>
                <w:rtl w:val="0"/>
              </w:rPr>
              <w:t xml:space="preserve">Zurbaranbarri</w:t>
            </w:r>
          </w:p>
        </w:tc>
        <w:tc>
          <w:tcPr>
            <w:vAlign w:val="bottom"/>
          </w:tcPr>
          <w:p w:rsidR="00000000" w:rsidDel="00000000" w:rsidP="00000000" w:rsidRDefault="00000000" w:rsidRPr="00000000" w14:paraId="0000004A">
            <w:pPr>
              <w:spacing w:line="276" w:lineRule="auto"/>
              <w:jc w:val="center"/>
              <w:rPr/>
            </w:pPr>
            <w:r w:rsidDel="00000000" w:rsidR="00000000" w:rsidRPr="00000000">
              <w:rPr>
                <w:rtl w:val="0"/>
              </w:rPr>
              <w:t xml:space="preserve">3.025</w:t>
            </w:r>
          </w:p>
        </w:tc>
      </w:tr>
      <w:tr>
        <w:trPr>
          <w:cantSplit w:val="0"/>
          <w:tblHeader w:val="0"/>
        </w:trPr>
        <w:tc>
          <w:tcPr>
            <w:vAlign w:val="bottom"/>
          </w:tcPr>
          <w:p w:rsidR="00000000" w:rsidDel="00000000" w:rsidP="00000000" w:rsidRDefault="00000000" w:rsidRPr="00000000" w14:paraId="0000004B">
            <w:pPr>
              <w:spacing w:line="276" w:lineRule="auto"/>
              <w:rPr/>
            </w:pPr>
            <w:r w:rsidDel="00000000" w:rsidR="00000000" w:rsidRPr="00000000">
              <w:rPr>
                <w:rtl w:val="0"/>
              </w:rPr>
              <w:t xml:space="preserve">Erandio</w:t>
            </w:r>
          </w:p>
        </w:tc>
        <w:tc>
          <w:tcPr>
            <w:vAlign w:val="bottom"/>
          </w:tcPr>
          <w:p w:rsidR="00000000" w:rsidDel="00000000" w:rsidP="00000000" w:rsidRDefault="00000000" w:rsidRPr="00000000" w14:paraId="0000004C">
            <w:pPr>
              <w:spacing w:line="276" w:lineRule="auto"/>
              <w:jc w:val="center"/>
              <w:rPr/>
            </w:pPr>
            <w:r w:rsidDel="00000000" w:rsidR="00000000" w:rsidRPr="00000000">
              <w:rPr>
                <w:rtl w:val="0"/>
              </w:rPr>
              <w:t xml:space="preserve">2.987</w:t>
            </w:r>
          </w:p>
        </w:tc>
      </w:tr>
      <w:tr>
        <w:trPr>
          <w:cantSplit w:val="0"/>
          <w:tblHeader w:val="0"/>
        </w:trPr>
        <w:tc>
          <w:tcPr>
            <w:vAlign w:val="bottom"/>
          </w:tcPr>
          <w:p w:rsidR="00000000" w:rsidDel="00000000" w:rsidP="00000000" w:rsidRDefault="00000000" w:rsidRPr="00000000" w14:paraId="0000004D">
            <w:pPr>
              <w:spacing w:line="276" w:lineRule="auto"/>
              <w:rPr/>
            </w:pPr>
            <w:r w:rsidDel="00000000" w:rsidR="00000000" w:rsidRPr="00000000">
              <w:rPr>
                <w:rtl w:val="0"/>
              </w:rPr>
              <w:t xml:space="preserve">Uribarri</w:t>
            </w:r>
          </w:p>
        </w:tc>
        <w:tc>
          <w:tcPr>
            <w:vAlign w:val="bottom"/>
          </w:tcPr>
          <w:p w:rsidR="00000000" w:rsidDel="00000000" w:rsidP="00000000" w:rsidRDefault="00000000" w:rsidRPr="00000000" w14:paraId="0000004E">
            <w:pPr>
              <w:spacing w:line="276" w:lineRule="auto"/>
              <w:jc w:val="center"/>
              <w:rPr/>
            </w:pPr>
            <w:r w:rsidDel="00000000" w:rsidR="00000000" w:rsidRPr="00000000">
              <w:rPr>
                <w:rtl w:val="0"/>
              </w:rPr>
              <w:t xml:space="preserve">2.980</w:t>
            </w:r>
          </w:p>
        </w:tc>
      </w:tr>
      <w:tr>
        <w:trPr>
          <w:cantSplit w:val="0"/>
          <w:tblHeader w:val="0"/>
        </w:trPr>
        <w:tc>
          <w:tcPr>
            <w:vAlign w:val="bottom"/>
          </w:tcPr>
          <w:p w:rsidR="00000000" w:rsidDel="00000000" w:rsidP="00000000" w:rsidRDefault="00000000" w:rsidRPr="00000000" w14:paraId="0000004F">
            <w:pPr>
              <w:spacing w:line="276" w:lineRule="auto"/>
              <w:rPr/>
            </w:pPr>
            <w:r w:rsidDel="00000000" w:rsidR="00000000" w:rsidRPr="00000000">
              <w:rPr>
                <w:rtl w:val="0"/>
              </w:rPr>
              <w:t xml:space="preserve">Abatxolo</w:t>
            </w:r>
          </w:p>
        </w:tc>
        <w:tc>
          <w:tcPr>
            <w:vAlign w:val="bottom"/>
          </w:tcPr>
          <w:p w:rsidR="00000000" w:rsidDel="00000000" w:rsidP="00000000" w:rsidRDefault="00000000" w:rsidRPr="00000000" w14:paraId="00000050">
            <w:pPr>
              <w:spacing w:line="276" w:lineRule="auto"/>
              <w:jc w:val="center"/>
              <w:rPr/>
            </w:pPr>
            <w:r w:rsidDel="00000000" w:rsidR="00000000" w:rsidRPr="00000000">
              <w:rPr>
                <w:rtl w:val="0"/>
              </w:rPr>
              <w:t xml:space="preserve">2.953</w:t>
            </w:r>
          </w:p>
        </w:tc>
      </w:tr>
      <w:tr>
        <w:trPr>
          <w:cantSplit w:val="0"/>
          <w:tblHeader w:val="0"/>
        </w:trPr>
        <w:tc>
          <w:tcPr>
            <w:vAlign w:val="bottom"/>
          </w:tcPr>
          <w:p w:rsidR="00000000" w:rsidDel="00000000" w:rsidP="00000000" w:rsidRDefault="00000000" w:rsidRPr="00000000" w14:paraId="00000051">
            <w:pPr>
              <w:spacing w:line="276" w:lineRule="auto"/>
              <w:rPr/>
            </w:pPr>
            <w:r w:rsidDel="00000000" w:rsidR="00000000" w:rsidRPr="00000000">
              <w:rPr>
                <w:rtl w:val="0"/>
              </w:rPr>
              <w:t xml:space="preserve">Sarriko</w:t>
            </w:r>
          </w:p>
        </w:tc>
        <w:tc>
          <w:tcPr>
            <w:vAlign w:val="bottom"/>
          </w:tcPr>
          <w:p w:rsidR="00000000" w:rsidDel="00000000" w:rsidP="00000000" w:rsidRDefault="00000000" w:rsidRPr="00000000" w14:paraId="00000052">
            <w:pPr>
              <w:spacing w:line="276" w:lineRule="auto"/>
              <w:jc w:val="center"/>
              <w:rPr/>
            </w:pPr>
            <w:r w:rsidDel="00000000" w:rsidR="00000000" w:rsidRPr="00000000">
              <w:rPr>
                <w:rtl w:val="0"/>
              </w:rPr>
              <w:t xml:space="preserve">2.950</w:t>
            </w:r>
          </w:p>
        </w:tc>
      </w:tr>
      <w:tr>
        <w:trPr>
          <w:cantSplit w:val="0"/>
          <w:tblHeader w:val="0"/>
        </w:trPr>
        <w:tc>
          <w:tcPr>
            <w:vAlign w:val="bottom"/>
          </w:tcPr>
          <w:p w:rsidR="00000000" w:rsidDel="00000000" w:rsidP="00000000" w:rsidRDefault="00000000" w:rsidRPr="00000000" w14:paraId="00000053">
            <w:pPr>
              <w:spacing w:line="276" w:lineRule="auto"/>
              <w:rPr/>
            </w:pPr>
            <w:r w:rsidDel="00000000" w:rsidR="00000000" w:rsidRPr="00000000">
              <w:rPr>
                <w:rtl w:val="0"/>
              </w:rPr>
              <w:t xml:space="preserve">Basauri</w:t>
            </w:r>
          </w:p>
        </w:tc>
        <w:tc>
          <w:tcPr>
            <w:vAlign w:val="bottom"/>
          </w:tcPr>
          <w:p w:rsidR="00000000" w:rsidDel="00000000" w:rsidP="00000000" w:rsidRDefault="00000000" w:rsidRPr="00000000" w14:paraId="00000054">
            <w:pPr>
              <w:spacing w:line="276" w:lineRule="auto"/>
              <w:jc w:val="center"/>
              <w:rPr/>
            </w:pPr>
            <w:r w:rsidDel="00000000" w:rsidR="00000000" w:rsidRPr="00000000">
              <w:rPr>
                <w:rtl w:val="0"/>
              </w:rPr>
              <w:t xml:space="preserve">2.894</w:t>
            </w:r>
          </w:p>
        </w:tc>
      </w:tr>
      <w:tr>
        <w:trPr>
          <w:cantSplit w:val="0"/>
          <w:tblHeader w:val="0"/>
        </w:trPr>
        <w:tc>
          <w:tcPr>
            <w:vAlign w:val="bottom"/>
          </w:tcPr>
          <w:p w:rsidR="00000000" w:rsidDel="00000000" w:rsidP="00000000" w:rsidRDefault="00000000" w:rsidRPr="00000000" w14:paraId="00000055">
            <w:pPr>
              <w:spacing w:line="276" w:lineRule="auto"/>
              <w:rPr/>
            </w:pPr>
            <w:r w:rsidDel="00000000" w:rsidR="00000000" w:rsidRPr="00000000">
              <w:rPr>
                <w:rtl w:val="0"/>
              </w:rPr>
              <w:t xml:space="preserve">Otxarkoaga</w:t>
            </w:r>
          </w:p>
        </w:tc>
        <w:tc>
          <w:tcPr>
            <w:vAlign w:val="bottom"/>
          </w:tcPr>
          <w:p w:rsidR="00000000" w:rsidDel="00000000" w:rsidP="00000000" w:rsidRDefault="00000000" w:rsidRPr="00000000" w14:paraId="00000056">
            <w:pPr>
              <w:spacing w:line="276" w:lineRule="auto"/>
              <w:jc w:val="center"/>
              <w:rPr/>
            </w:pPr>
            <w:r w:rsidDel="00000000" w:rsidR="00000000" w:rsidRPr="00000000">
              <w:rPr>
                <w:rtl w:val="0"/>
              </w:rPr>
              <w:t xml:space="preserve">2.885</w:t>
            </w:r>
          </w:p>
        </w:tc>
      </w:tr>
      <w:tr>
        <w:trPr>
          <w:cantSplit w:val="0"/>
          <w:tblHeader w:val="0"/>
        </w:trPr>
        <w:tc>
          <w:tcPr>
            <w:vAlign w:val="bottom"/>
          </w:tcPr>
          <w:p w:rsidR="00000000" w:rsidDel="00000000" w:rsidP="00000000" w:rsidRDefault="00000000" w:rsidRPr="00000000" w14:paraId="00000057">
            <w:pPr>
              <w:spacing w:line="276" w:lineRule="auto"/>
              <w:rPr/>
            </w:pPr>
            <w:r w:rsidDel="00000000" w:rsidR="00000000" w:rsidRPr="00000000">
              <w:rPr>
                <w:rtl w:val="0"/>
              </w:rPr>
              <w:t xml:space="preserve">Kukullaga</w:t>
            </w:r>
          </w:p>
        </w:tc>
        <w:tc>
          <w:tcPr>
            <w:vAlign w:val="bottom"/>
          </w:tcPr>
          <w:p w:rsidR="00000000" w:rsidDel="00000000" w:rsidP="00000000" w:rsidRDefault="00000000" w:rsidRPr="00000000" w14:paraId="00000058">
            <w:pPr>
              <w:spacing w:line="276" w:lineRule="auto"/>
              <w:jc w:val="center"/>
              <w:rPr/>
            </w:pPr>
            <w:r w:rsidDel="00000000" w:rsidR="00000000" w:rsidRPr="00000000">
              <w:rPr>
                <w:rtl w:val="0"/>
              </w:rPr>
              <w:t xml:space="preserve">2.830</w:t>
            </w:r>
          </w:p>
        </w:tc>
      </w:tr>
      <w:tr>
        <w:trPr>
          <w:cantSplit w:val="0"/>
          <w:tblHeader w:val="0"/>
        </w:trPr>
        <w:tc>
          <w:tcPr>
            <w:vAlign w:val="bottom"/>
          </w:tcPr>
          <w:p w:rsidR="00000000" w:rsidDel="00000000" w:rsidP="00000000" w:rsidRDefault="00000000" w:rsidRPr="00000000" w14:paraId="00000059">
            <w:pPr>
              <w:spacing w:line="276" w:lineRule="auto"/>
              <w:rPr/>
            </w:pPr>
            <w:r w:rsidDel="00000000" w:rsidR="00000000" w:rsidRPr="00000000">
              <w:rPr>
                <w:rtl w:val="0"/>
              </w:rPr>
              <w:t xml:space="preserve">Plentzia</w:t>
            </w:r>
          </w:p>
        </w:tc>
        <w:tc>
          <w:tcPr>
            <w:vAlign w:val="bottom"/>
          </w:tcPr>
          <w:p w:rsidR="00000000" w:rsidDel="00000000" w:rsidP="00000000" w:rsidRDefault="00000000" w:rsidRPr="00000000" w14:paraId="0000005A">
            <w:pPr>
              <w:spacing w:line="276" w:lineRule="auto"/>
              <w:jc w:val="center"/>
              <w:rPr/>
            </w:pPr>
            <w:r w:rsidDel="00000000" w:rsidR="00000000" w:rsidRPr="00000000">
              <w:rPr>
                <w:rtl w:val="0"/>
              </w:rPr>
              <w:t xml:space="preserve">2.759</w:t>
            </w:r>
          </w:p>
        </w:tc>
      </w:tr>
      <w:tr>
        <w:trPr>
          <w:cantSplit w:val="0"/>
          <w:tblHeader w:val="0"/>
        </w:trPr>
        <w:tc>
          <w:tcPr>
            <w:vAlign w:val="bottom"/>
          </w:tcPr>
          <w:p w:rsidR="00000000" w:rsidDel="00000000" w:rsidP="00000000" w:rsidRDefault="00000000" w:rsidRPr="00000000" w14:paraId="0000005B">
            <w:pPr>
              <w:spacing w:line="276" w:lineRule="auto"/>
              <w:rPr/>
            </w:pPr>
            <w:r w:rsidDel="00000000" w:rsidR="00000000" w:rsidRPr="00000000">
              <w:rPr>
                <w:rtl w:val="0"/>
              </w:rPr>
              <w:t xml:space="preserve">Portugalete</w:t>
            </w:r>
          </w:p>
        </w:tc>
        <w:tc>
          <w:tcPr>
            <w:vAlign w:val="bottom"/>
          </w:tcPr>
          <w:p w:rsidR="00000000" w:rsidDel="00000000" w:rsidP="00000000" w:rsidRDefault="00000000" w:rsidRPr="00000000" w14:paraId="0000005C">
            <w:pPr>
              <w:spacing w:line="276" w:lineRule="auto"/>
              <w:jc w:val="center"/>
              <w:rPr/>
            </w:pPr>
            <w:r w:rsidDel="00000000" w:rsidR="00000000" w:rsidRPr="00000000">
              <w:rPr>
                <w:rtl w:val="0"/>
              </w:rPr>
              <w:t xml:space="preserve">2.750</w:t>
            </w:r>
          </w:p>
        </w:tc>
      </w:tr>
      <w:tr>
        <w:trPr>
          <w:cantSplit w:val="0"/>
          <w:tblHeader w:val="0"/>
        </w:trPr>
        <w:tc>
          <w:tcPr>
            <w:vAlign w:val="bottom"/>
          </w:tcPr>
          <w:p w:rsidR="00000000" w:rsidDel="00000000" w:rsidP="00000000" w:rsidRDefault="00000000" w:rsidRPr="00000000" w14:paraId="0000005D">
            <w:pPr>
              <w:spacing w:line="276" w:lineRule="auto"/>
              <w:rPr/>
            </w:pPr>
            <w:r w:rsidDel="00000000" w:rsidR="00000000" w:rsidRPr="00000000">
              <w:rPr>
                <w:rtl w:val="0"/>
              </w:rPr>
              <w:t xml:space="preserve">Astrabudua</w:t>
            </w:r>
          </w:p>
        </w:tc>
        <w:tc>
          <w:tcPr>
            <w:vAlign w:val="bottom"/>
          </w:tcPr>
          <w:p w:rsidR="00000000" w:rsidDel="00000000" w:rsidP="00000000" w:rsidRDefault="00000000" w:rsidRPr="00000000" w14:paraId="0000005E">
            <w:pPr>
              <w:spacing w:line="276" w:lineRule="auto"/>
              <w:jc w:val="center"/>
              <w:rPr/>
            </w:pPr>
            <w:r w:rsidDel="00000000" w:rsidR="00000000" w:rsidRPr="00000000">
              <w:rPr>
                <w:rtl w:val="0"/>
              </w:rPr>
              <w:t xml:space="preserve">2.717</w:t>
            </w:r>
          </w:p>
        </w:tc>
      </w:tr>
      <w:tr>
        <w:trPr>
          <w:cantSplit w:val="0"/>
          <w:tblHeader w:val="0"/>
        </w:trPr>
        <w:tc>
          <w:tcPr>
            <w:vAlign w:val="bottom"/>
          </w:tcPr>
          <w:p w:rsidR="00000000" w:rsidDel="00000000" w:rsidP="00000000" w:rsidRDefault="00000000" w:rsidRPr="00000000" w14:paraId="0000005F">
            <w:pPr>
              <w:spacing w:line="276" w:lineRule="auto"/>
              <w:rPr/>
            </w:pPr>
            <w:r w:rsidDel="00000000" w:rsidR="00000000" w:rsidRPr="00000000">
              <w:rPr>
                <w:rtl w:val="0"/>
              </w:rPr>
              <w:t xml:space="preserve">Sestao</w:t>
            </w:r>
          </w:p>
        </w:tc>
        <w:tc>
          <w:tcPr>
            <w:vAlign w:val="bottom"/>
          </w:tcPr>
          <w:p w:rsidR="00000000" w:rsidDel="00000000" w:rsidP="00000000" w:rsidRDefault="00000000" w:rsidRPr="00000000" w14:paraId="00000060">
            <w:pPr>
              <w:spacing w:line="276" w:lineRule="auto"/>
              <w:jc w:val="center"/>
              <w:rPr/>
            </w:pPr>
            <w:r w:rsidDel="00000000" w:rsidR="00000000" w:rsidRPr="00000000">
              <w:rPr>
                <w:rtl w:val="0"/>
              </w:rPr>
              <w:t xml:space="preserve">2.676</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spacing w:line="276" w:lineRule="auto"/>
        <w:jc w:val="right"/>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Sobre Fotocasa</w:t>
      </w:r>
    </w:p>
    <w:p w:rsidR="00000000" w:rsidDel="00000000" w:rsidP="00000000" w:rsidRDefault="00000000" w:rsidRPr="00000000" w14:paraId="00000064">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6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1">
        <w:r w:rsidDel="00000000" w:rsidR="00000000" w:rsidRPr="00000000">
          <w:rPr>
            <w:rFonts w:ascii="Open Sans" w:cs="Open Sans" w:eastAsia="Open Sans" w:hAnsi="Open Sans"/>
            <w:b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w:t>
      </w:r>
    </w:p>
    <w:p w:rsidR="00000000" w:rsidDel="00000000" w:rsidP="00000000" w:rsidRDefault="00000000" w:rsidRPr="00000000" w14:paraId="0000006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Desde 2017, desarrolla además estudios sociológicos bajo el sello </w:t>
      </w:r>
      <w:hyperlink r:id="rId12">
        <w:r w:rsidDel="00000000" w:rsidR="00000000" w:rsidRPr="00000000">
          <w:rPr>
            <w:rFonts w:ascii="Open Sans" w:cs="Open Sans" w:eastAsia="Open Sans" w:hAnsi="Open Sans"/>
            <w:b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6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3">
        <w:r w:rsidDel="00000000" w:rsidR="00000000" w:rsidRPr="00000000">
          <w:rPr>
            <w:rFonts w:ascii="Open Sans" w:cs="Open Sans" w:eastAsia="Open Sans" w:hAnsi="Open Sans"/>
            <w:b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68">
      <w:pPr>
        <w:spacing w:line="276" w:lineRule="auto"/>
        <w:rPr>
          <w:rFonts w:ascii="Open Sans Light" w:cs="Open Sans Light" w:eastAsia="Open Sans Light" w:hAnsi="Open Sans Light"/>
          <w:b w:val="1"/>
          <w:color w:val="303ab2"/>
        </w:rPr>
      </w:pPr>
      <w:r w:rsidDel="00000000" w:rsidR="00000000" w:rsidRPr="00000000">
        <w:rPr>
          <w:rtl w:val="0"/>
        </w:rPr>
      </w:r>
    </w:p>
    <w:p w:rsidR="00000000" w:rsidDel="00000000" w:rsidP="00000000" w:rsidRDefault="00000000" w:rsidRPr="00000000" w14:paraId="00000069">
      <w:pPr>
        <w:spacing w:line="276" w:lineRule="auto"/>
        <w:jc w:val="right"/>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Sobre Fotocasa Group</w:t>
      </w:r>
    </w:p>
    <w:p w:rsidR="00000000" w:rsidDel="00000000" w:rsidP="00000000" w:rsidRDefault="00000000" w:rsidRPr="00000000" w14:paraId="0000006A">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6B">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4">
        <w:r w:rsidDel="00000000" w:rsidR="00000000" w:rsidRPr="00000000">
          <w:rPr>
            <w:rFonts w:ascii="Open Sans" w:cs="Open Sans" w:eastAsia="Open Sans" w:hAnsi="Open Sans"/>
            <w:b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8">
        <w:r w:rsidDel="00000000" w:rsidR="00000000" w:rsidRPr="00000000">
          <w:rPr>
            <w:rFonts w:ascii="Open Sans" w:cs="Open Sans" w:eastAsia="Open Sans" w:hAnsi="Open Sans"/>
            <w:b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9">
        <w:r w:rsidDel="00000000" w:rsidR="00000000" w:rsidRPr="00000000">
          <w:rPr>
            <w:rFonts w:ascii="Open Sans" w:cs="Open Sans" w:eastAsia="Open Sans" w:hAnsi="Open Sans"/>
            <w:b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C">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D">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En Fotocasa Group, </w:t>
      </w:r>
      <w:r w:rsidDel="00000000" w:rsidR="00000000" w:rsidRPr="00000000">
        <w:rPr>
          <w:rFonts w:ascii="Open Sans" w:cs="Open Sans" w:eastAsia="Open Sans" w:hAnsi="Open Sans"/>
          <w:b w:val="1"/>
          <w:sz w:val="22"/>
          <w:szCs w:val="22"/>
          <w:rtl w:val="0"/>
        </w:rPr>
        <w:t xml:space="preserve">unimos personas y propiedades</w:t>
      </w:r>
      <w:r w:rsidDel="00000000" w:rsidR="00000000" w:rsidRPr="00000000">
        <w:rPr>
          <w:rFonts w:ascii="Open Sans" w:cs="Open Sans" w:eastAsia="Open Sans" w:hAnsi="Open Sans"/>
          <w:sz w:val="22"/>
          <w:szCs w:val="22"/>
          <w:rtl w:val="0"/>
        </w:rPr>
        <w:t xml:space="preserve"> a través de una plataforma inteligente, diseñada para hacer que </w:t>
      </w:r>
      <w:r w:rsidDel="00000000" w:rsidR="00000000" w:rsidRPr="00000000">
        <w:rPr>
          <w:rFonts w:ascii="Open Sans" w:cs="Open Sans" w:eastAsia="Open Sans" w:hAnsi="Open Sans"/>
          <w:b w:val="1"/>
          <w:sz w:val="22"/>
          <w:szCs w:val="22"/>
          <w:rtl w:val="0"/>
        </w:rPr>
        <w:t xml:space="preserve">buscar, comprar o alquilar vivienda</w:t>
      </w:r>
      <w:r w:rsidDel="00000000" w:rsidR="00000000" w:rsidRPr="00000000">
        <w:rPr>
          <w:rFonts w:ascii="Open Sans" w:cs="Open Sans" w:eastAsia="Open Sans" w:hAnsi="Open Sans"/>
          <w:sz w:val="22"/>
          <w:szCs w:val="22"/>
          <w:rtl w:val="0"/>
        </w:rPr>
        <w:t xml:space="preserve"> sea una experiencia más fácil, transparente y eficiente.</w:t>
      </w:r>
    </w:p>
    <w:p w:rsidR="00000000" w:rsidDel="00000000" w:rsidP="00000000" w:rsidRDefault="00000000" w:rsidRPr="00000000" w14:paraId="0000006E">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Nuestra visión es clara</w:t>
      </w:r>
      <w:r w:rsidDel="00000000" w:rsidR="00000000" w:rsidRPr="00000000">
        <w:rPr>
          <w:rFonts w:ascii="Open Sans" w:cs="Open Sans" w:eastAsia="Open Sans" w:hAnsi="Open Sans"/>
          <w:b w:val="1"/>
          <w:sz w:val="22"/>
          <w:szCs w:val="22"/>
          <w:rtl w:val="0"/>
        </w:rPr>
        <w:t xml:space="preserve">: ser el lugar donde tu nuevo hogar te encuentra</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F">
      <w:pPr>
        <w:spacing w:line="276" w:lineRule="auto"/>
        <w:jc w:val="right"/>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spacing w:line="276" w:lineRule="auto"/>
        <w:rPr>
          <w:rFonts w:ascii="Open Sans Light" w:cs="Open Sans Light" w:eastAsia="Open Sans Light" w:hAnsi="Open Sans Light"/>
          <w:b w:val="1"/>
          <w:color w:val="303ab2"/>
          <w:sz w:val="22"/>
          <w:szCs w:val="22"/>
        </w:rPr>
      </w:pPr>
      <w:r w:rsidDel="00000000" w:rsidR="00000000" w:rsidRPr="00000000">
        <w:rPr>
          <w:rFonts w:ascii="Open Sans Light" w:cs="Open Sans Light" w:eastAsia="Open Sans Light" w:hAnsi="Open Sans Light"/>
          <w:b w:val="1"/>
          <w:color w:val="303ab2"/>
          <w:sz w:val="22"/>
          <w:szCs w:val="22"/>
          <w:rtl w:val="0"/>
        </w:rPr>
        <w:t xml:space="preserve">Departamento Comunicación Fotocasa</w:t>
      </w:r>
    </w:p>
    <w:p w:rsidR="00000000" w:rsidDel="00000000" w:rsidP="00000000" w:rsidRDefault="00000000" w:rsidRPr="00000000" w14:paraId="00000071">
      <w:pPr>
        <w:shd w:fill="ffffff" w:val="clear"/>
        <w:spacing w:line="276" w:lineRule="auto"/>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Anaïs López</w:t>
      </w:r>
    </w:p>
    <w:p w:rsidR="00000000" w:rsidDel="00000000" w:rsidP="00000000" w:rsidRDefault="00000000" w:rsidRPr="00000000" w14:paraId="00000072">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73">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-1068041</wp:posOffset>
          </wp:positionH>
          <wp:positionV relativeFrom="paragraph">
            <wp:posOffset>174608</wp:posOffset>
          </wp:positionV>
          <wp:extent cx="7670550" cy="451315"/>
          <wp:effectExtent b="0" l="0" r="0" t="0"/>
          <wp:wrapNone/>
          <wp:docPr id="20668166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a" w:customStyle="1">
    <w:basedOn w:val="TableNormalf6"/>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table" w:styleId="a0" w:customStyle="1">
    <w:basedOn w:val="TableNormalf6"/>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character" w:styleId="Hipervnculo">
    <w:name w:val="Hyperlink"/>
    <w:basedOn w:val="Fuentedeprrafopredeter"/>
    <w:uiPriority w:val="99"/>
    <w:unhideWhenUsed w:val="1"/>
    <w:rsid w:val="00FE7DB6"/>
    <w:rPr>
      <w:color w:val="0000ff" w:themeColor="hyperlink"/>
      <w:u w:val="single"/>
    </w:rPr>
  </w:style>
  <w:style w:type="character" w:styleId="Mencinsinresolver">
    <w:name w:val="Unresolved Mention"/>
    <w:basedOn w:val="Fuentedeprrafopredeter"/>
    <w:uiPriority w:val="99"/>
    <w:semiHidden w:val="1"/>
    <w:unhideWhenUsed w:val="1"/>
    <w:rsid w:val="00FE7DB6"/>
    <w:rPr>
      <w:color w:val="605e5c"/>
      <w:shd w:color="auto" w:fill="e1dfdd" w:val="clear"/>
    </w:rPr>
  </w:style>
  <w:style w:type="paragraph" w:styleId="NormalWeb">
    <w:name w:val="Normal (Web)"/>
    <w:basedOn w:val="Normal"/>
    <w:uiPriority w:val="99"/>
    <w:unhideWhenUsed w:val="1"/>
    <w:rsid w:val="003D48F5"/>
    <w:pPr>
      <w:spacing w:after="100" w:afterAutospacing="1" w:before="100" w:beforeAutospacing="1"/>
    </w:pPr>
    <w:rPr>
      <w:rFonts w:ascii="Times New Roman" w:cs="Times New Roman" w:eastAsia="Times New Roman" w:hAnsi="Times New Roman"/>
      <w:lang w:val="es-ES"/>
    </w:rPr>
  </w:style>
  <w:style w:type="paragraph" w:styleId="Textocomentario">
    <w:name w:val="annotation text"/>
    <w:basedOn w:val="Normal"/>
    <w:link w:val="TextocomentarioCar"/>
    <w:uiPriority w:val="99"/>
    <w:unhideWhenUsed w:val="1"/>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normaltextrun" w:customStyle="1">
    <w:name w:val="normaltextrun"/>
    <w:basedOn w:val="Fuentedeprrafopredeter"/>
    <w:rsid w:val="00A35D58"/>
  </w:style>
  <w:style w:type="table" w:styleId="Tablaconcuadrcula">
    <w:name w:val="Table Grid"/>
    <w:basedOn w:val="Tablanormal"/>
    <w:uiPriority w:val="39"/>
    <w:rsid w:val="00A35D58"/>
    <w:rPr>
      <w:rFonts w:asciiTheme="minorHAnsi" w:cstheme="minorBidi" w:eastAsiaTheme="minorHAnsi" w:hAnsiTheme="minorHAnsi"/>
      <w:kern w:val="2"/>
      <w:sz w:val="22"/>
      <w:szCs w:val="22"/>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f3"/>
    <w:rPr>
      <w:rFonts w:ascii="Cambria" w:cs="Cambria" w:eastAsia="Cambria" w:hAnsi="Cambria"/>
      <w:sz w:val="22"/>
      <w:szCs w:val="22"/>
    </w:rPr>
    <w:tblPr>
      <w:tblStyleRowBandSize w:val="1"/>
      <w:tblStyleColBandSize w:val="1"/>
      <w:tblCellMar>
        <w:left w:w="108.0" w:type="dxa"/>
        <w:right w:w="108.0" w:type="dxa"/>
      </w:tblCellMar>
    </w:tblPr>
  </w:style>
  <w:style w:type="table" w:styleId="a2" w:customStyle="1">
    <w:basedOn w:val="TableNormalf3"/>
    <w:rPr>
      <w:rFonts w:ascii="Cambria" w:cs="Cambria" w:eastAsia="Cambria" w:hAnsi="Cambria"/>
      <w:sz w:val="22"/>
      <w:szCs w:val="22"/>
    </w:rPr>
    <w:tblPr>
      <w:tblStyleRowBandSize w:val="1"/>
      <w:tblStyleColBandSize w:val="1"/>
      <w:tblCellMar>
        <w:left w:w="108.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534008"/>
    <w:rPr>
      <w:b w:val="1"/>
      <w:bCs w:val="1"/>
    </w:rPr>
  </w:style>
  <w:style w:type="character" w:styleId="AsuntodelcomentarioCar" w:customStyle="1">
    <w:name w:val="Asunto del comentario Car"/>
    <w:basedOn w:val="TextocomentarioCar"/>
    <w:link w:val="Asuntodelcomentario"/>
    <w:uiPriority w:val="99"/>
    <w:semiHidden w:val="1"/>
    <w:rsid w:val="00534008"/>
    <w:rPr>
      <w:b w:val="1"/>
      <w:bCs w:val="1"/>
      <w:sz w:val="20"/>
      <w:szCs w:val="20"/>
    </w:rPr>
  </w:style>
  <w:style w:type="paragraph" w:styleId="Prrafodelista">
    <w:name w:val="List Paragraph"/>
    <w:basedOn w:val="Normal"/>
    <w:uiPriority w:val="34"/>
    <w:qFormat w:val="1"/>
    <w:rsid w:val="004C3974"/>
    <w:pPr>
      <w:ind w:left="720"/>
      <w:contextualSpacing w:val="1"/>
    </w:pPr>
  </w:style>
  <w:style w:type="character" w:styleId="Referenciaintensa">
    <w:name w:val="Intense Reference"/>
    <w:basedOn w:val="Fuentedeprrafopredeter"/>
    <w:uiPriority w:val="32"/>
    <w:qFormat w:val="1"/>
    <w:rsid w:val="00A775CB"/>
    <w:rPr>
      <w:b w:val="1"/>
      <w:bCs w:val="1"/>
      <w:smallCaps w:val="1"/>
      <w:color w:val="365f91" w:themeColor="accent1" w:themeShade="0000BF"/>
      <w:spacing w:val="5"/>
    </w:rPr>
  </w:style>
  <w:style w:type="table" w:styleId="a3" w:customStyle="1">
    <w:basedOn w:val="TableNormal8"/>
    <w:tblPr>
      <w:tblStyleRowBandSize w:val="1"/>
      <w:tblStyleColBandSize w:val="1"/>
      <w:tblCellMar>
        <w:left w:w="108.0" w:type="dxa"/>
        <w:right w:w="108.0" w:type="dxa"/>
      </w:tblCellMar>
    </w:tblPr>
    <w:tblStylePr w:type="firstRow">
      <w:rPr>
        <w:b w:val="1"/>
        <w:color w:val="ffffff"/>
      </w:rPr>
      <w:tblPr/>
      <w:tcPr>
        <w:tcBorders>
          <w:top w:color="39d9cd" w:space="0" w:sz="4" w:val="single"/>
          <w:left w:color="39d9cd" w:space="0" w:sz="4" w:val="single"/>
          <w:bottom w:color="39d9cd" w:space="0" w:sz="4" w:val="single"/>
          <w:right w:color="39d9cd" w:space="0" w:sz="4" w:val="single"/>
          <w:insideH w:space="0" w:sz="0" w:val="nil"/>
          <w:insideV w:space="0" w:sz="0" w:val="nil"/>
        </w:tcBorders>
        <w:shd w:color="auto" w:fill="39d9cd" w:val="clear"/>
      </w:tcPr>
    </w:tblStylePr>
    <w:tblStylePr w:type="lastRow">
      <w:rPr>
        <w:b w:val="1"/>
      </w:rPr>
      <w:tblPr/>
      <w:tcPr>
        <w:tcBorders>
          <w:top w:color="39d9cd" w:space="0" w:sz="4" w:val="single"/>
        </w:tcBorders>
      </w:tcPr>
    </w:tblStylePr>
    <w:tblStylePr w:type="firstCol">
      <w:rPr>
        <w:b w:val="1"/>
      </w:rPr>
    </w:tblStylePr>
    <w:tblStylePr w:type="lastCol">
      <w:rPr>
        <w:b w:val="1"/>
      </w:rPr>
    </w:tblStylePr>
    <w:tblStylePr w:type="band1Vert">
      <w:tblPr/>
      <w:tcPr>
        <w:shd w:color="auto" w:fill="d7f7f4" w:val="clear"/>
      </w:tcPr>
    </w:tblStylePr>
    <w:tblStylePr w:type="band1Horz">
      <w:tblPr/>
      <w:tcPr>
        <w:shd w:color="auto" w:fill="d7f7f4" w:val="clear"/>
      </w:tcPr>
    </w:tblStylePr>
  </w:style>
  <w:style w:type="character" w:styleId="Hipervnculovisitado">
    <w:name w:val="FollowedHyperlink"/>
    <w:basedOn w:val="Fuentedeprrafopredeter"/>
    <w:uiPriority w:val="99"/>
    <w:semiHidden w:val="1"/>
    <w:unhideWhenUsed w:val="1"/>
    <w:rsid w:val="009B09EE"/>
    <w:rPr>
      <w:color w:val="800080" w:themeColor="followedHyperlink"/>
      <w:u w:val="single"/>
    </w:rPr>
  </w:style>
  <w:style w:type="table" w:styleId="Tablaconcuadrcula5oscura-nfasis1">
    <w:name w:val="Grid Table 5 Dark Accent 1"/>
    <w:basedOn w:val="Tablanormal"/>
    <w:uiPriority w:val="50"/>
    <w:rsid w:val="00B7768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5oscura-nfasis5">
    <w:name w:val="Grid Table 5 Dark Accent 5"/>
    <w:basedOn w:val="Tablanormal"/>
    <w:uiPriority w:val="50"/>
    <w:rsid w:val="002827A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a4" w:customStyle="1">
    <w:basedOn w:val="TableNormal0"/>
    <w:tblPr>
      <w:tblStyleRowBandSize w:val="1"/>
      <w:tblStyleColBandSize w:val="1"/>
      <w:tblCellMar>
        <w:left w:w="115.0" w:type="dxa"/>
        <w:right w:w="115.0" w:type="dxa"/>
      </w:tblCellMar>
    </w:tblPr>
    <w:tcPr>
      <w:shd w:color="auto" w:fill="dbe5f1"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f81bd"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f81bd"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f81bd"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f81bd" w:val="clear"/>
      </w:tcPr>
    </w:tblStylePr>
    <w:tblStylePr w:type="band1Vert">
      <w:tblPr/>
      <w:tcPr>
        <w:shd w:color="auto" w:fill="b8cce4" w:val="clear"/>
      </w:tcPr>
    </w:tblStylePr>
    <w:tblStylePr w:type="band1Horz">
      <w:tblPr/>
      <w:tcPr>
        <w:shd w:color="auto" w:fill="b8cce4"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fotocasa.es/indice/" TargetMode="External"/><Relationship Id="rId10" Type="http://schemas.openxmlformats.org/officeDocument/2006/relationships/hyperlink" Target="https://www.fotocasa.es" TargetMode="External"/><Relationship Id="rId21" Type="http://schemas.openxmlformats.org/officeDocument/2006/relationships/footer" Target="footer1.xml"/><Relationship Id="rId13" Type="http://schemas.openxmlformats.org/officeDocument/2006/relationships/hyperlink" Target="http://prensa.fotocasa.es" TargetMode="External"/><Relationship Id="rId12" Type="http://schemas.openxmlformats.org/officeDocument/2006/relationships/hyperlink" Target="https://www.research.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www.habitaclia.com/" TargetMode="External"/><Relationship Id="rId14" Type="http://schemas.openxmlformats.org/officeDocument/2006/relationships/hyperlink" Target="https://www.fotocasa.es" TargetMode="External"/><Relationship Id="rId17" Type="http://schemas.openxmlformats.org/officeDocument/2006/relationships/hyperlink" Target="https://datavenues.com/" TargetMode="External"/><Relationship Id="rId16" Type="http://schemas.openxmlformats.org/officeDocument/2006/relationships/hyperlink" Target="https://profesionales.fotocasa.es/" TargetMode="External"/><Relationship Id="rId5" Type="http://schemas.openxmlformats.org/officeDocument/2006/relationships/styles" Target="styles.xml"/><Relationship Id="rId19" Type="http://schemas.openxmlformats.org/officeDocument/2006/relationships/hyperlink" Target="https://www.inmoweb.es/" TargetMode="External"/><Relationship Id="rId6" Type="http://schemas.openxmlformats.org/officeDocument/2006/relationships/customXml" Target="../customXML/item1.xml"/><Relationship Id="rId18" Type="http://schemas.openxmlformats.org/officeDocument/2006/relationships/hyperlink" Target="https://get.witei.com/en/" TargetMode="External"/><Relationship Id="rId7" Type="http://schemas.openxmlformats.org/officeDocument/2006/relationships/image" Target="media/image2.png"/><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Jts04pdkEeri8xHYxykQUJD6w==">CgMxLjA4AHIhMU5zcWR1SjRtNzMwbHdCRWx5YXRNR2JZT1dGcWNWVl8x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2024-02-06T13:46:00Z</dcterms:created>
</cp:coreProperties>
</file>