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-1080117</wp:posOffset>
            </wp:positionH>
            <wp:positionV relativeFrom="paragraph">
              <wp:posOffset>-654666</wp:posOffset>
            </wp:positionV>
            <wp:extent cx="7581265" cy="1019175"/>
            <wp:effectExtent b="0" l="0" r="0" t="0"/>
            <wp:wrapNone/>
            <wp:docPr id="20668166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b w:val="1"/>
          <w:bCs w:val="1"/>
          <w:color w:val="1dbdc5"/>
          <w:sz w:val="34"/>
          <w:szCs w:val="34"/>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bCs w:val="1"/>
          <w:color w:val="1dbdc5"/>
          <w:sz w:val="34"/>
          <w:szCs w:val="34"/>
        </w:rPr>
      </w:pPr>
      <w:r w:rsidDel="00000000" w:rsidR="00000000" w:rsidRPr="00000000">
        <w:rPr>
          <w:rFonts w:ascii="National" w:cs="National" w:eastAsia="National" w:hAnsi="National"/>
          <w:b w:val="1"/>
          <w:bCs w:val="1"/>
          <w:color w:val="1dbdc5"/>
          <w:sz w:val="34"/>
          <w:szCs w:val="34"/>
          <w:rtl w:val="0"/>
        </w:rPr>
        <w:t xml:space="preserve">BIG DATA Y GEOLOCALIZACIÓN EN EL SECTOR INMOBILIARIO</w:t>
      </w:r>
    </w:p>
    <w:p w:rsidR="00000000" w:rsidDel="00000000" w:rsidP="00000000" w:rsidRDefault="00000000" w:rsidRPr="00000000" w14:paraId="00000005">
      <w:pPr>
        <w:jc w:val="center"/>
        <w:rPr>
          <w:rFonts w:ascii="National" w:cs="National" w:eastAsia="National" w:hAnsi="National"/>
          <w:b w:val="1"/>
          <w:bCs w:val="1"/>
          <w:color w:val="303ab2"/>
          <w:sz w:val="44"/>
          <w:szCs w:val="44"/>
        </w:rPr>
      </w:pPr>
      <w:bookmarkStart w:colFirst="0" w:colLast="0" w:name="_heading=h.zfvo5dj6unsq" w:id="0"/>
      <w:bookmarkEnd w:id="0"/>
      <w:r w:rsidDel="00000000" w:rsidR="00000000" w:rsidRPr="00000000">
        <w:rPr>
          <w:rFonts w:ascii="National" w:cs="National" w:eastAsia="National" w:hAnsi="National"/>
          <w:b w:val="1"/>
          <w:bCs w:val="1"/>
          <w:color w:val="303ab2"/>
          <w:sz w:val="44"/>
          <w:szCs w:val="44"/>
          <w:rtl w:val="0"/>
        </w:rPr>
        <w:t xml:space="preserve">Atarazanas (Málaga), Plaza de Cuba (Sevilla) y Argentinita (Granada) concentran la oferta de vivienda de compra más cara de la red de Metro de estas capitales andaluzas</w:t>
      </w:r>
    </w:p>
    <w:p w:rsidR="00000000" w:rsidDel="00000000" w:rsidP="00000000" w:rsidRDefault="00000000" w:rsidRPr="00000000" w14:paraId="00000006">
      <w:pPr>
        <w:jc w:val="center"/>
        <w:rPr>
          <w:rFonts w:ascii="Open Sans" w:cs="Open Sans" w:eastAsia="Open Sans" w:hAnsi="Open Sans"/>
          <w:color w:val="303ab2"/>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Las paradas más caras de la red suburbana de Málaga se encuentran en el centro de la ciudad: Atarazanas, El Perchel y Guadalmina</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Los distritos de Triana y Nervión concentran las estaciones con mayores valoraciones de la vivienda en Sevilla: Plaza de Cuba, Parque de los Príncipes y San Bernardo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En el caso de Granada, los barrios de Ronda y Norte tienen las estaciones más exclusivas: Argentinita, Alcázar Genil y Recogidas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24 de noviembre de 2025</w:t>
        <w:tab/>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Las estaciones de Atarazanas (Málaga), Plaza de Cuba (Sevilla) y Argentinita (Granada) concentran la oferta de vivienda de compra más cara de la red de Metro de estas tres capitales andaluzas, con valores medios que oscilan entre los 6.300 y los 3.500 euros por metro cuadrado. Así, en un radio de 300 metros de estas estaciones del Metro de las tres ciudades, encontramos viviendas con un precio medio de 6.330 euros por metro cuadrado en el caso de Atarazanas (Málaga), de 4.688 €/m² en la parada de Plaza de Cuba (Sevilla), y de 3.491 €/m² en lo relativo a la parada de Argentinita (Granada), </w:t>
      </w:r>
      <w:r w:rsidDel="00000000" w:rsidR="00000000" w:rsidRPr="00000000">
        <w:rPr>
          <w:rFonts w:ascii="Open Sans" w:cs="Open Sans" w:eastAsia="Open Sans" w:hAnsi="Open Sans"/>
          <w:b w:val="1"/>
          <w:bCs w:val="1"/>
          <w:rtl w:val="0"/>
        </w:rPr>
        <w:t xml:space="preserve">según los datos del portal inmobiliario </w:t>
      </w:r>
      <w:hyperlink r:id="rId8">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“El análisis del precio de la vivienda en torno a las estaciones de metro de las principales capitales andaluzas refleja cómo la accesibilidad y la conectividad siguen siendo factores determinantes en el valor de la vivienda. Las zonas mejor comunicadas, y especialmente las más céntricas, concentran la demanda más intensa y, por tanto, los precios más elevados. Málaga, Sevilla y Granada muestran patrones similares, ya que las estaciones situadas en los distritos más consolidados y con mayor actividad económica o cultural tienden a presentar precios sensiblemente superiores al resto de la red”,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Un trayecto por las paradas más caras del Metro de Málaga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Además de la céntrica estación de Atarazanas, las paradas de Metro más caras de la red suburbana de Málaga se encuentran también en medio de la ciudad, </w:t>
      </w:r>
      <w:r w:rsidDel="00000000" w:rsidR="00000000" w:rsidRPr="00000000">
        <w:rPr>
          <w:rFonts w:ascii="Open Sans" w:cs="Open Sans" w:eastAsia="Open Sans" w:hAnsi="Open Sans"/>
          <w:rtl w:val="0"/>
        </w:rPr>
        <w:t xml:space="preserve">siguiendo la confluencia de los ejes de las líneas 1 y 2. Es el caso de las estaciones de El Perchel (4.970 €/m²) o Guadalmina (4.465 €/m²), en el distrito Centro.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el contrario, completando la lista de las cinco estaciones más caras de Málaga, se encuentran las paradas de </w:t>
      </w:r>
      <w:r w:rsidDel="00000000" w:rsidR="00000000" w:rsidRPr="00000000">
        <w:rPr>
          <w:rFonts w:ascii="Open Sans" w:cs="Open Sans" w:eastAsia="Open Sans" w:hAnsi="Open Sans"/>
          <w:b w:val="1"/>
          <w:bCs w:val="1"/>
          <w:rtl w:val="0"/>
        </w:rPr>
        <w:t xml:space="preserve">Palacio de los Deportes (5.693 €/m²)</w:t>
      </w:r>
      <w:r w:rsidDel="00000000" w:rsidR="00000000" w:rsidRPr="00000000">
        <w:rPr>
          <w:rFonts w:ascii="Open Sans" w:cs="Open Sans" w:eastAsia="Open Sans" w:hAnsi="Open Sans"/>
          <w:rtl w:val="0"/>
        </w:rPr>
        <w:t xml:space="preserve">, en el extremo sur de la línea dos, ubicada en el distrito de Carretera de Cádiz; y la estación de </w:t>
      </w:r>
      <w:r w:rsidDel="00000000" w:rsidR="00000000" w:rsidRPr="00000000">
        <w:rPr>
          <w:rFonts w:ascii="Open Sans" w:cs="Open Sans" w:eastAsia="Open Sans" w:hAnsi="Open Sans"/>
          <w:b w:val="1"/>
          <w:bCs w:val="1"/>
          <w:rtl w:val="0"/>
        </w:rPr>
        <w:t xml:space="preserve">Ciudad de la Justicia (4.197 €/m²)</w:t>
      </w:r>
      <w:r w:rsidDel="00000000" w:rsidR="00000000" w:rsidRPr="00000000">
        <w:rPr>
          <w:rFonts w:ascii="Open Sans" w:cs="Open Sans" w:eastAsia="Open Sans" w:hAnsi="Open Sans"/>
          <w:rtl w:val="0"/>
        </w:rPr>
        <w:t xml:space="preserve">, accesible a través de la línea 1, en el distrito de Teatinos-Universidad.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su lado, </w:t>
      </w:r>
      <w:r w:rsidDel="00000000" w:rsidR="00000000" w:rsidRPr="00000000">
        <w:rPr>
          <w:rFonts w:ascii="Open Sans" w:cs="Open Sans" w:eastAsia="Open Sans" w:hAnsi="Open Sans"/>
          <w:b w:val="1"/>
          <w:bCs w:val="1"/>
          <w:rtl w:val="0"/>
        </w:rPr>
        <w:t xml:space="preserve">las estaciones más baratas de la capital malagueña se encuentran prácticamente seguidas en el eje de la línea 1 entre el centro de la ciudad y la zona más al este de la urbe</w:t>
      </w:r>
      <w:r w:rsidDel="00000000" w:rsidR="00000000" w:rsidRPr="00000000">
        <w:rPr>
          <w:rFonts w:ascii="Open Sans" w:cs="Open Sans" w:eastAsia="Open Sans" w:hAnsi="Open Sans"/>
          <w:rtl w:val="0"/>
        </w:rPr>
        <w:t xml:space="preserve">. Se trata de las paradas de La Unión (3.130 €/m²), en el distrito de Carretera de Cádiz, así como de Portada Alta (3.112 €/m²) y Barbarela (2.827 €/m²), en el barrio de Cruz de Humilladero.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“El análisis de la red de Metro de Málaga confirma el fuerte atractivo residencial del centro de la ciudad. Estaciones como Atarazanas, El Perchel o Guadalmina se sitúan entre las más caras porque concentran parte de la oferta más demandada, con un entorno muy consolidado, servicios próximos y una excelente conexión con el resto de la capital. La cercanía a ejes estratégicos y a zonas de alto interés comercial y turístico continúa empujando los precios al alza en estos puntos clave del mercado malagueño”, </w:t>
      </w:r>
      <w:r w:rsidDel="00000000" w:rsidR="00000000" w:rsidRPr="00000000">
        <w:rPr>
          <w:rFonts w:ascii="Open Sans" w:cs="Open Sans" w:eastAsia="Open Sans" w:hAnsi="Open Sans"/>
          <w:b w:val="1"/>
          <w:bCs w:val="1"/>
          <w:rtl w:val="0"/>
        </w:rPr>
        <w:t xml:space="preserve">comenta la directora de Estudios de </w:t>
      </w:r>
      <w:hyperlink r:id="rId10">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Los distritos de Triana y Nervión concentran las paradas prime de Sevilla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Si se realiza el mismo ejercicio en Sevilla, se puede comprobar que </w:t>
      </w:r>
      <w:r w:rsidDel="00000000" w:rsidR="00000000" w:rsidRPr="00000000">
        <w:rPr>
          <w:rFonts w:ascii="Open Sans" w:cs="Open Sans" w:eastAsia="Open Sans" w:hAnsi="Open Sans"/>
          <w:b w:val="1"/>
          <w:bCs w:val="1"/>
          <w:rtl w:val="0"/>
        </w:rPr>
        <w:t xml:space="preserve">las estaciones más caras de la capital andaluza están distribuidas en distintos puntos de su única línea suburbana</w:t>
      </w:r>
      <w:r w:rsidDel="00000000" w:rsidR="00000000" w:rsidRPr="00000000">
        <w:rPr>
          <w:rFonts w:ascii="Open Sans" w:cs="Open Sans" w:eastAsia="Open Sans" w:hAnsi="Open Sans"/>
          <w:rtl w:val="0"/>
        </w:rPr>
        <w:t xml:space="preserve">. Además de la mencionada estación de Plaza de Cuba, también en el distrito de Triana se encuentra la parada adyacente de Parque de los Príncipes (3.734 €/m²). Por otro lado, ya el distrito de Nervión, se ubican las paradas de San Bernardo (4.656 €/m²) y Nervión (3.436 €/m²). Fuera de la capital sevillana, en el municipio de Montequinto, podemos apearnos en la parada de Europa (3.475 €/m²), en el extremo sureste de la línea 1.</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el contrario, </w:t>
      </w:r>
      <w:r w:rsidDel="00000000" w:rsidR="00000000" w:rsidRPr="00000000">
        <w:rPr>
          <w:rFonts w:ascii="Open Sans" w:cs="Open Sans" w:eastAsia="Open Sans" w:hAnsi="Open Sans"/>
          <w:b w:val="1"/>
          <w:bCs w:val="1"/>
          <w:rtl w:val="0"/>
        </w:rPr>
        <w:t xml:space="preserve">la parada más barata de la red de Metro de Sevilla se encuentra casi en el extremo occidental de la línea 1</w:t>
      </w:r>
      <w:r w:rsidDel="00000000" w:rsidR="00000000" w:rsidRPr="00000000">
        <w:rPr>
          <w:rFonts w:ascii="Open Sans" w:cs="Open Sans" w:eastAsia="Open Sans" w:hAnsi="Open Sans"/>
          <w:rtl w:val="0"/>
        </w:rPr>
        <w:t xml:space="preserve">. Se trata de la estación de San Juan Alto (866 €/m²), en la localidad de San Juan de Aznalfarache. De vuelta al municipio de Sevilla, en el tramo más oriental de la red de Metro aparecen las estaciones de Primero de Mayo (889 €/m²), Amate (1.616 €/m²) y La Plata (1.586 €/m²), todas ellas en el distrito de Cerro-Amate.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“En Sevilla observamos un comportamiento muy marcado: las paradas situadas en Triana y Nervión siguen liderando el valor residencial por su combinación de ubicación, disponibilidad de servicios y dinamismo urbano. Plaza de Cuba, Parque de los Príncipes o San Bernardo reflejan perfectamente cómo el mercado responde a la calidad de vida, la centralidad y la conectividad que aportan estos barrios. La demanda sigue siendo muy sólida en estas zonas, lo que explica sus precios por encima de la media del área metropolitana”, </w:t>
      </w:r>
      <w:r w:rsidDel="00000000" w:rsidR="00000000" w:rsidRPr="00000000">
        <w:rPr>
          <w:rFonts w:ascii="Open Sans" w:cs="Open Sans" w:eastAsia="Open Sans" w:hAnsi="Open Sans"/>
          <w:b w:val="1"/>
          <w:bCs w:val="1"/>
          <w:rtl w:val="0"/>
        </w:rPr>
        <w:t xml:space="preserve">explica María Matos, directora de Estudios y portavoz de </w:t>
      </w:r>
      <w:hyperlink r:id="rId11">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Los barrios de Ronda y Norte tienen las estaciones de Metro más caras de Granada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el caso de Granada, además de la mencionada estación de Argentinita, situada en el distrito Norte, </w:t>
      </w:r>
      <w:r w:rsidDel="00000000" w:rsidR="00000000" w:rsidRPr="00000000">
        <w:rPr>
          <w:rFonts w:ascii="Open Sans" w:cs="Open Sans" w:eastAsia="Open Sans" w:hAnsi="Open Sans"/>
          <w:b w:val="1"/>
          <w:bCs w:val="1"/>
          <w:rtl w:val="0"/>
        </w:rPr>
        <w:t xml:space="preserve">las paradas de Metro más caras de la ciudad andaluza son Alcázar Genil (3.343 €/m²) y Recogidas (3.191 €/m²)</w:t>
      </w:r>
      <w:r w:rsidDel="00000000" w:rsidR="00000000" w:rsidRPr="00000000">
        <w:rPr>
          <w:rFonts w:ascii="Open Sans" w:cs="Open Sans" w:eastAsia="Open Sans" w:hAnsi="Open Sans"/>
          <w:rtl w:val="0"/>
        </w:rPr>
        <w:t xml:space="preserve">, ambas más al sur y ubicadas en el distrito de Ronda. Todavía más hacia la zona meridional de Granada, a bordo de la única línea de suburbano de la ciudad, se halla la parada de Parque Tecnológico (3.167 €/m²), en el barrio de Zaidín. En sentido contrario, hacia el norte de la urbe, podemos apearnos en la parada de Metro de Estación de Autobuses (3.153 €/m²), también en el distrito Norte.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cambio, </w:t>
      </w:r>
      <w:r w:rsidDel="00000000" w:rsidR="00000000" w:rsidRPr="00000000">
        <w:rPr>
          <w:rFonts w:ascii="Open Sans" w:cs="Open Sans" w:eastAsia="Open Sans" w:hAnsi="Open Sans"/>
          <w:b w:val="1"/>
          <w:bCs w:val="1"/>
          <w:rtl w:val="0"/>
        </w:rPr>
        <w:t xml:space="preserve">las estaciones más baratas de la red de Metro de Granada se encuentran fuera de la capital</w:t>
      </w:r>
      <w:r w:rsidDel="00000000" w:rsidR="00000000" w:rsidRPr="00000000">
        <w:rPr>
          <w:rFonts w:ascii="Open Sans" w:cs="Open Sans" w:eastAsia="Open Sans" w:hAnsi="Open Sans"/>
          <w:rtl w:val="0"/>
        </w:rPr>
        <w:t xml:space="preserve">. Se trata de las paradas de Anfiteatro (1.836 €/m²) y Maracena (1.737 €/m²), ambas en el municipio de Maracena, en dirección noroeste a través de la línea 1. Lo mismo ocurre con la estación de Alborote (1.893 €/m²), situada en la localidad homónima, que se encuentra en el extremo norte de la infraestructura ferroviaria.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“Granada presenta una distribución muy clara de valor residencial alrededor de su única línea de metro. Paradas como Argentinita, Alcázar Genil o Recogidas se posicionan como las más caras porque se ubican en áreas consolidadas y muy buscadas, donde se combina buena accesibilidad con servicios, actividad económica y oferta cultural. La diferencia de precios con respecto a las paradas situadas fuera de la capital refleja ese contraste entre zonas prime y áreas más periféricas del área metropolitana”, </w:t>
      </w:r>
      <w:r w:rsidDel="00000000" w:rsidR="00000000" w:rsidRPr="00000000">
        <w:rPr>
          <w:rFonts w:ascii="Open Sans" w:cs="Open Sans" w:eastAsia="Open Sans" w:hAnsi="Open Sans"/>
          <w:b w:val="1"/>
          <w:bCs w:val="1"/>
          <w:rtl w:val="0"/>
        </w:rPr>
        <w:t xml:space="preserve">concluye la directora de Estudios de </w:t>
      </w:r>
      <w:hyperlink r:id="rId12">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30">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31">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3">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w:t>
      </w:r>
    </w:p>
    <w:p w:rsidR="00000000" w:rsidDel="00000000" w:rsidP="00000000" w:rsidRDefault="00000000" w:rsidRPr="00000000" w14:paraId="00000032">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Desde 2017, desarrolla además estudios sociológicos bajo el sello </w:t>
      </w:r>
      <w:hyperlink r:id="rId14">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33">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5">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34">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35">
      <w:pPr>
        <w:spacing w:line="276" w:lineRule="auto"/>
        <w:jc w:val="right"/>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36">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3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3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6">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8">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9">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20">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21">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9">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A">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En Fotocasa Group, </w:t>
      </w:r>
      <w:r w:rsidDel="00000000" w:rsidR="00000000" w:rsidRPr="00000000">
        <w:rPr>
          <w:rFonts w:ascii="Open Sans" w:cs="Open Sans" w:eastAsia="Open Sans" w:hAnsi="Open Sans"/>
          <w:b w:val="1"/>
          <w:bCs w:val="1"/>
          <w:sz w:val="22"/>
          <w:szCs w:val="22"/>
          <w:rtl w:val="0"/>
        </w:rPr>
        <w:t xml:space="preserve">unimos personas y propiedades</w:t>
      </w:r>
      <w:r w:rsidDel="00000000" w:rsidR="00000000" w:rsidRPr="00000000">
        <w:rPr>
          <w:rFonts w:ascii="Open Sans" w:cs="Open Sans" w:eastAsia="Open Sans" w:hAnsi="Open Sans"/>
          <w:sz w:val="22"/>
          <w:szCs w:val="22"/>
          <w:rtl w:val="0"/>
        </w:rPr>
        <w:t xml:space="preserve"> a través de una plataforma inteligente, diseñada para hacer que </w:t>
      </w:r>
      <w:r w:rsidDel="00000000" w:rsidR="00000000" w:rsidRPr="00000000">
        <w:rPr>
          <w:rFonts w:ascii="Open Sans" w:cs="Open Sans" w:eastAsia="Open Sans" w:hAnsi="Open Sans"/>
          <w:b w:val="1"/>
          <w:bCs w:val="1"/>
          <w:sz w:val="22"/>
          <w:szCs w:val="22"/>
          <w:rtl w:val="0"/>
        </w:rPr>
        <w:t xml:space="preserve">buscar, comprar o alquilar vivienda</w:t>
      </w:r>
      <w:r w:rsidDel="00000000" w:rsidR="00000000" w:rsidRPr="00000000">
        <w:rPr>
          <w:rFonts w:ascii="Open Sans" w:cs="Open Sans" w:eastAsia="Open Sans" w:hAnsi="Open Sans"/>
          <w:sz w:val="22"/>
          <w:szCs w:val="22"/>
          <w:rtl w:val="0"/>
        </w:rPr>
        <w:t xml:space="preserve"> sea una experiencia más fácil, transparente y eficiente.</w:t>
      </w:r>
    </w:p>
    <w:p w:rsidR="00000000" w:rsidDel="00000000" w:rsidP="00000000" w:rsidRDefault="00000000" w:rsidRPr="00000000" w14:paraId="0000003B">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Nuestra visión es clara</w:t>
      </w:r>
      <w:r w:rsidDel="00000000" w:rsidR="00000000" w:rsidRPr="00000000">
        <w:rPr>
          <w:rFonts w:ascii="Open Sans" w:cs="Open Sans" w:eastAsia="Open Sans" w:hAnsi="Open Sans"/>
          <w:b w:val="1"/>
          <w:bCs w:val="1"/>
          <w:sz w:val="22"/>
          <w:szCs w:val="22"/>
          <w:rtl w:val="0"/>
        </w:rPr>
        <w:t xml:space="preserve">: ser el lugar donde tu nuevo hogar te encuentra</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C">
      <w:pPr>
        <w:spacing w:line="276" w:lineRule="auto"/>
        <w:jc w:val="right"/>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E">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F">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López</w:t>
      </w:r>
    </w:p>
    <w:p w:rsidR="00000000" w:rsidDel="00000000" w:rsidP="00000000" w:rsidRDefault="00000000" w:rsidRPr="00000000" w14:paraId="00000040">
      <w:pPr>
        <w:shd w:fill="ffffff" w:val="clear"/>
        <w:spacing w:line="276" w:lineRule="auto"/>
        <w:rPr>
          <w:rFonts w:ascii="Open Sans" w:cs="Open Sans" w:eastAsia="Open Sans" w:hAnsi="Open Sans"/>
          <w:color w:val="0000ff"/>
          <w:sz w:val="22"/>
          <w:szCs w:val="22"/>
          <w:u w:val="single"/>
        </w:rPr>
      </w:pPr>
      <w:hyperlink r:id="rId22">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41">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sectPr>
      <w:footerReference r:id="rId23"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-1068041</wp:posOffset>
          </wp:positionH>
          <wp:positionV relativeFrom="paragraph">
            <wp:posOffset>174608</wp:posOffset>
          </wp:positionV>
          <wp:extent cx="7670550" cy="451315"/>
          <wp:effectExtent b="0" l="0" r="0" t="0"/>
          <wp:wrapNone/>
          <wp:docPr id="20668166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a" w:customStyle="1">
    <w:basedOn w:val="TableNormalf6"/>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table" w:styleId="a0" w:customStyle="1">
    <w:basedOn w:val="TableNormalf6"/>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character" w:styleId="Hipervnculo">
    <w:name w:val="Hyperlink"/>
    <w:basedOn w:val="Fuentedeprrafopredeter"/>
    <w:uiPriority w:val="99"/>
    <w:unhideWhenUsed w:val="1"/>
    <w:rsid w:val="00FE7DB6"/>
    <w:rPr>
      <w:color w:val="0000ff" w:themeColor="hyperlink"/>
      <w:u w:val="single"/>
    </w:rPr>
  </w:style>
  <w:style w:type="character" w:styleId="Mencinsinresolver">
    <w:name w:val="Unresolved Mention"/>
    <w:basedOn w:val="Fuentedeprrafopredeter"/>
    <w:uiPriority w:val="99"/>
    <w:semiHidden w:val="1"/>
    <w:unhideWhenUsed w:val="1"/>
    <w:rsid w:val="00FE7DB6"/>
    <w:rPr>
      <w:color w:val="605e5c"/>
      <w:shd w:color="auto" w:fill="e1dfdd" w:val="clear"/>
    </w:rPr>
  </w:style>
  <w:style w:type="paragraph" w:styleId="NormalWeb">
    <w:name w:val="Normal (Web)"/>
    <w:basedOn w:val="Normal"/>
    <w:uiPriority w:val="99"/>
    <w:unhideWhenUsed w:val="1"/>
    <w:rsid w:val="003D48F5"/>
    <w:pPr>
      <w:spacing w:after="100" w:afterAutospacing="1" w:before="100" w:beforeAutospacing="1"/>
    </w:pPr>
    <w:rPr>
      <w:rFonts w:ascii="Times New Roman" w:cs="Times New Roman" w:eastAsia="Times New Roman" w:hAnsi="Times New Roman"/>
      <w:lang w:val="es-ES"/>
    </w:rPr>
  </w:style>
  <w:style w:type="paragraph" w:styleId="Textocomentario">
    <w:name w:val="annotation text"/>
    <w:basedOn w:val="Normal"/>
    <w:link w:val="TextocomentarioCar"/>
    <w:uiPriority w:val="99"/>
    <w:unhideWhenUsed w:val="1"/>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normaltextrun" w:customStyle="1">
    <w:name w:val="normaltextrun"/>
    <w:basedOn w:val="Fuentedeprrafopredeter"/>
    <w:rsid w:val="00A35D58"/>
  </w:style>
  <w:style w:type="table" w:styleId="Tablaconcuadrcula">
    <w:name w:val="Table Grid"/>
    <w:basedOn w:val="Tablanormal"/>
    <w:uiPriority w:val="39"/>
    <w:rsid w:val="00A35D58"/>
    <w:rPr>
      <w:rFonts w:asciiTheme="minorHAnsi" w:cstheme="minorBidi" w:eastAsiaTheme="minorHAnsi" w:hAnsiTheme="minorHAnsi"/>
      <w:kern w:val="2"/>
      <w:sz w:val="22"/>
      <w:szCs w:val="22"/>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f3"/>
    <w:rPr>
      <w:rFonts w:ascii="Cambria" w:cs="Cambria" w:eastAsia="Cambria" w:hAnsi="Cambria"/>
      <w:sz w:val="22"/>
      <w:szCs w:val="22"/>
    </w:rPr>
    <w:tblPr>
      <w:tblStyleRowBandSize w:val="1"/>
      <w:tblStyleColBandSize w:val="1"/>
      <w:tblCellMar>
        <w:left w:w="108.0" w:type="dxa"/>
        <w:right w:w="108.0" w:type="dxa"/>
      </w:tblCellMar>
    </w:tblPr>
  </w:style>
  <w:style w:type="table" w:styleId="a2" w:customStyle="1">
    <w:basedOn w:val="TableNormalf3"/>
    <w:rPr>
      <w:rFonts w:ascii="Cambria" w:cs="Cambria" w:eastAsia="Cambria" w:hAnsi="Cambria"/>
      <w:sz w:val="22"/>
      <w:szCs w:val="22"/>
    </w:rPr>
    <w:tblPr>
      <w:tblStyleRowBandSize w:val="1"/>
      <w:tblStyleColBandSize w:val="1"/>
      <w:tblCellMar>
        <w:left w:w="108.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534008"/>
    <w:rPr>
      <w:b w:val="1"/>
      <w:bCs w:val="1"/>
    </w:rPr>
  </w:style>
  <w:style w:type="character" w:styleId="AsuntodelcomentarioCar" w:customStyle="1">
    <w:name w:val="Asunto del comentario Car"/>
    <w:basedOn w:val="TextocomentarioCar"/>
    <w:link w:val="Asuntodelcomentario"/>
    <w:uiPriority w:val="99"/>
    <w:semiHidden w:val="1"/>
    <w:rsid w:val="00534008"/>
    <w:rPr>
      <w:b w:val="1"/>
      <w:bCs w:val="1"/>
      <w:sz w:val="20"/>
      <w:szCs w:val="20"/>
    </w:rPr>
  </w:style>
  <w:style w:type="paragraph" w:styleId="Prrafodelista">
    <w:name w:val="List Paragraph"/>
    <w:basedOn w:val="Normal"/>
    <w:uiPriority w:val="34"/>
    <w:qFormat w:val="1"/>
    <w:rsid w:val="004C3974"/>
    <w:pPr>
      <w:ind w:left="720"/>
      <w:contextualSpacing w:val="1"/>
    </w:pPr>
  </w:style>
  <w:style w:type="character" w:styleId="Referenciaintensa">
    <w:name w:val="Intense Reference"/>
    <w:basedOn w:val="Fuentedeprrafopredeter"/>
    <w:uiPriority w:val="32"/>
    <w:qFormat w:val="1"/>
    <w:rsid w:val="00A775CB"/>
    <w:rPr>
      <w:b w:val="1"/>
      <w:bCs w:val="1"/>
      <w:smallCaps w:val="1"/>
      <w:color w:val="365f91" w:themeColor="accent1" w:themeShade="0000BF"/>
      <w:spacing w:val="5"/>
    </w:rPr>
  </w:style>
  <w:style w:type="table" w:styleId="a3" w:customStyle="1">
    <w:basedOn w:val="TableNormal8"/>
    <w:tblPr>
      <w:tblStyleRowBandSize w:val="1"/>
      <w:tblStyleColBandSize w:val="1"/>
      <w:tblCellMar>
        <w:left w:w="108.0" w:type="dxa"/>
        <w:right w:w="108.0" w:type="dxa"/>
      </w:tblCellMar>
    </w:tblPr>
    <w:tblStylePr w:type="firstRow">
      <w:rPr>
        <w:b w:val="1"/>
        <w:color w:val="ffffff"/>
      </w:rPr>
      <w:tblPr/>
      <w:tcPr>
        <w:tcBorders>
          <w:top w:color="39d9cd" w:space="0" w:sz="4" w:val="single"/>
          <w:left w:color="39d9cd" w:space="0" w:sz="4" w:val="single"/>
          <w:bottom w:color="39d9cd" w:space="0" w:sz="4" w:val="single"/>
          <w:right w:color="39d9cd" w:space="0" w:sz="4" w:val="single"/>
          <w:insideH w:space="0" w:sz="0" w:val="nil"/>
          <w:insideV w:space="0" w:sz="0" w:val="nil"/>
        </w:tcBorders>
        <w:shd w:color="auto" w:fill="39d9cd" w:val="clear"/>
      </w:tcPr>
    </w:tblStylePr>
    <w:tblStylePr w:type="lastRow">
      <w:rPr>
        <w:b w:val="1"/>
      </w:rPr>
      <w:tblPr/>
      <w:tcPr>
        <w:tcBorders>
          <w:top w:color="39d9cd" w:space="0" w:sz="4" w:val="single"/>
        </w:tcBorders>
      </w:tcPr>
    </w:tblStylePr>
    <w:tblStylePr w:type="firstCol">
      <w:rPr>
        <w:b w:val="1"/>
      </w:rPr>
    </w:tblStylePr>
    <w:tblStylePr w:type="lastCol">
      <w:rPr>
        <w:b w:val="1"/>
      </w:rPr>
    </w:tblStylePr>
    <w:tblStylePr w:type="band1Vert">
      <w:tblPr/>
      <w:tcPr>
        <w:shd w:color="auto" w:fill="d7f7f4" w:val="clear"/>
      </w:tcPr>
    </w:tblStylePr>
    <w:tblStylePr w:type="band1Horz">
      <w:tblPr/>
      <w:tcPr>
        <w:shd w:color="auto" w:fill="d7f7f4" w:val="clear"/>
      </w:tcPr>
    </w:tblStylePr>
  </w:style>
  <w:style w:type="character" w:styleId="Hipervnculovisitado">
    <w:name w:val="FollowedHyperlink"/>
    <w:basedOn w:val="Fuentedeprrafopredeter"/>
    <w:uiPriority w:val="99"/>
    <w:semiHidden w:val="1"/>
    <w:unhideWhenUsed w:val="1"/>
    <w:rsid w:val="009B09EE"/>
    <w:rPr>
      <w:color w:val="800080" w:themeColor="followedHyperlink"/>
      <w:u w:val="single"/>
    </w:rPr>
  </w:style>
  <w:style w:type="table" w:styleId="Tablaconcuadrcula5oscura-nfasis1">
    <w:name w:val="Grid Table 5 Dark Accent 1"/>
    <w:basedOn w:val="Tablanormal"/>
    <w:uiPriority w:val="50"/>
    <w:rsid w:val="00B7768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5oscura-nfasis5">
    <w:name w:val="Grid Table 5 Dark Accent 5"/>
    <w:basedOn w:val="Tablanormal"/>
    <w:uiPriority w:val="50"/>
    <w:rsid w:val="002827A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a4" w:customStyle="1">
    <w:basedOn w:val="TableNormal0"/>
    <w:tblPr>
      <w:tblStyleRowBandSize w:val="1"/>
      <w:tblStyleColBandSize w:val="1"/>
      <w:tblCellMar>
        <w:left w:w="115.0" w:type="dxa"/>
        <w:right w:w="115.0" w:type="dxa"/>
      </w:tblCellMar>
    </w:tblPr>
    <w:tcPr>
      <w:shd w:color="auto" w:fill="dbe5f1"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4f81bd"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4f81bd"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4f81bd"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4f81bd" w:val="clear"/>
      </w:tcPr>
    </w:tblStylePr>
    <w:tblStylePr w:type="band1Vert">
      <w:tblPr/>
      <w:tcPr>
        <w:shd w:color="auto" w:fill="b8cce4" w:val="clear"/>
      </w:tcPr>
    </w:tblStylePr>
    <w:tblStylePr w:type="band1Horz">
      <w:tblPr/>
      <w:tcPr>
        <w:shd w:color="auto" w:fill="b8cce4"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get.witei.com/en/" TargetMode="External"/><Relationship Id="rId11" Type="http://schemas.openxmlformats.org/officeDocument/2006/relationships/hyperlink" Target="https://www.fotocasa.es" TargetMode="External"/><Relationship Id="rId22" Type="http://schemas.openxmlformats.org/officeDocument/2006/relationships/hyperlink" Target="mailto:comunicacion@fotocasa.es" TargetMode="External"/><Relationship Id="rId10" Type="http://schemas.openxmlformats.org/officeDocument/2006/relationships/hyperlink" Target="https://www.fotocasa.es" TargetMode="External"/><Relationship Id="rId21" Type="http://schemas.openxmlformats.org/officeDocument/2006/relationships/hyperlink" Target="https://www.inmoweb.es/" TargetMode="External"/><Relationship Id="rId13" Type="http://schemas.openxmlformats.org/officeDocument/2006/relationships/hyperlink" Target="https://www.fotocasa.es/indice/" TargetMode="External"/><Relationship Id="rId12" Type="http://schemas.openxmlformats.org/officeDocument/2006/relationships/hyperlink" Target="https://www.fotocasa.e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prensa.fotocasa.es" TargetMode="External"/><Relationship Id="rId14" Type="http://schemas.openxmlformats.org/officeDocument/2006/relationships/hyperlink" Target="https://www.research.fotocasa.es" TargetMode="External"/><Relationship Id="rId17" Type="http://schemas.openxmlformats.org/officeDocument/2006/relationships/hyperlink" Target="https://www.habitaclia.com/" TargetMode="External"/><Relationship Id="rId16" Type="http://schemas.openxmlformats.org/officeDocument/2006/relationships/hyperlink" Target="https://www.fotocasa.es" TargetMode="External"/><Relationship Id="rId5" Type="http://schemas.openxmlformats.org/officeDocument/2006/relationships/styles" Target="styles.xml"/><Relationship Id="rId19" Type="http://schemas.openxmlformats.org/officeDocument/2006/relationships/hyperlink" Target="https://datavenues.com/" TargetMode="External"/><Relationship Id="rId6" Type="http://schemas.openxmlformats.org/officeDocument/2006/relationships/customXml" Target="../customXML/item1.xml"/><Relationship Id="rId18" Type="http://schemas.openxmlformats.org/officeDocument/2006/relationships/hyperlink" Target="https://profesionales.fotocasa.es/" TargetMode="External"/><Relationship Id="rId7" Type="http://schemas.openxmlformats.org/officeDocument/2006/relationships/image" Target="media/image2.png"/><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U/Mn7PC4O9xjcbtp2J5KVu94A==">CgMxLjAyDmguemZ2bzVkajZ1bnNxOAByITFxTDZPUmdPWlUxdWk5T3BtNm9jcEZEQllHelQwUG41Qg==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2024-02-06T13:46:00Z</dcterms:created>
</cp:coreProperties>
</file>